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p>
      <w:pPr>
        <w:pStyle w:val="Author"/>
      </w:pPr>
      <w:r>
        <w:t xml:space="preserve">���������������������T1-CN���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第八章-结语与展望"/>
    <w:p>
      <w:pPr>
        <w:pStyle w:val="Heading1"/>
      </w:pPr>
      <w:r>
        <w:t xml:space="preserve">第八章 结语与展望</w:t>
      </w:r>
    </w:p>
    <w:p>
      <w:r>
        <w:pict>
          <v:rect style="width:0;height:1.5pt" o:hralign="center" o:hrstd="t" o:hr="t"/>
        </w:pict>
      </w:r>
    </w:p>
    <w:p>
      <w:pPr>
        <w:pStyle w:val="BlockText"/>
      </w:pPr>
      <w:r>
        <w:rPr>
          <w:bCs/>
          <w:b/>
        </w:rPr>
        <w:t xml:space="preserve">引导案例：</w:t>
      </w:r>
      <w:r>
        <w:rPr>
          <w:bCs/>
          <w:b/>
        </w:rPr>
        <w:t xml:space="preserve">“</w:t>
      </w:r>
      <w:r>
        <w:rPr>
          <w:bCs/>
          <w:b/>
        </w:rPr>
        <w:t xml:space="preserve">无人值守夜班</w:t>
      </w:r>
      <w:r>
        <w:rPr>
          <w:bCs/>
          <w:b/>
        </w:rPr>
        <w:t xml:space="preserve">”</w:t>
      </w:r>
      <w:r>
        <w:rPr>
          <w:bCs/>
          <w:b/>
        </w:rPr>
        <w:t xml:space="preserve">背后的范式转换</w:t>
      </w:r>
    </w:p>
    <w:p>
      <w:pPr>
        <w:pStyle w:val="BlockText"/>
      </w:pPr>
      <w:r>
        <w:t xml:space="preserve">2024年秋，某省级调水干线在汛后平稳期开展了为期一个月的夜间低人值守试运行。传统模式下，调度中心夜班需要6名值班人员：2名调度员监控水位和闸站状态、2名运维人员巡检设备、1名通信值班和1名带班调度长。试运行期间，值班人数降至2人——1名调度员和1名带班调度长，其余职能由系统在预设ODD范围内自动完成。</w:t>
      </w:r>
    </w:p>
    <w:p>
      <w:pPr>
        <w:pStyle w:val="BlockText"/>
      </w:pPr>
      <w:r>
        <w:t xml:space="preserve">一个月后的复盘数据令人印象深刻：系统自主处置了47次常规水位波动，平均响应时间比人工快3.2分钟；触发了3次黄区预警，均由值班调度员在5分钟内确认处置；四态机降级0次，审计链完整记录了全部1,247次控制动作。</w:t>
      </w:r>
    </w:p>
    <w:p>
      <w:pPr>
        <w:pStyle w:val="BlockText"/>
      </w:pPr>
      <w:r>
        <w:t xml:space="preserve">但最深刻的启示不在这些数字中。复盘会上，带班调度长说了一句话：</w:t>
      </w:r>
      <w:r>
        <w:t xml:space="preserve">“</w:t>
      </w:r>
      <w:r>
        <w:t xml:space="preserve">以前夜班的6个人大多数时间都在等——等异常发生然后反应。现在2个人做的事更有价值——审查系统的决策记录、分析可能的风险趋势、讨论ODD是否需要调整。</w:t>
      </w:r>
      <w:r>
        <w:t xml:space="preserve">”</w:t>
      </w:r>
    </w:p>
    <w:p>
      <w:pPr>
        <w:pStyle w:val="BlockText"/>
      </w:pPr>
      <w:r>
        <w:t xml:space="preserve">这段话揭示了CHS技术的真正意义：</w:t>
      </w:r>
      <w:r>
        <w:rPr>
          <w:bCs/>
          <w:b/>
        </w:rPr>
        <w:t xml:space="preserve">不是”用机器替代人”，而是”让人从重复劳动中解放出来，做只有人才能做的事——判断、预见和决策”。</w:t>
      </w:r>
      <w:r>
        <w:t xml:space="preserve"> </w:t>
      </w:r>
      <w:r>
        <w:t xml:space="preserve">这是从”经验驱动”到”规则+模型+治理协同驱动”的运行范式转换，也是本书八章内容最终指向的目标。</w:t>
      </w:r>
    </w:p>
    <w:p>
      <w:r>
        <w:pict>
          <v:rect style="width:0;height:1.5pt" o:hralign="center" o:hrstd="t" o:hr="t"/>
        </w:pict>
      </w:r>
    </w:p>
    <w:p>
      <w:pPr>
        <w:pStyle w:val="FirstParagraph"/>
      </w:pPr>
      <w:r>
        <w:t xml:space="preserve">本章作为全书的收尾，有三个任务：回望全书主线、展望未来方向、给出行动建议。</w:t>
      </w:r>
    </w:p>
    <w:bookmarkStart w:id="22" w:name="全书回顾从问题到方法的完整链条"/>
    <w:p>
      <w:pPr>
        <w:pStyle w:val="Heading2"/>
      </w:pPr>
      <w:r>
        <w:t xml:space="preserve">8.1 全书回顾：从问题到方法的完整链条</w:t>
      </w:r>
    </w:p>
    <w:p>
      <w:pPr>
        <w:pStyle w:val="FirstParagraph"/>
      </w:pPr>
      <w:r>
        <w:t xml:space="preserve">在展望未来之前，有必要回望来路——不是简单地罗列每章的内容摘要，而是抽取贯穿全书八章的核心逻辑链条。就像登山者在营地回望走过的路线，目的不是欣赏风景，而是为下一段攀登找到最佳方向。本节首先以”一条主线”串联全书七环（§8.1.1），然后以”一张矩阵”揭示核心概念在各章之间的网状关联（§8.1.2），为后续的展望讨论建立坐标系。理解”我们已经走了多远”，才能准确判断”我们还需要走多远”。这也为那些选择性阅读的读者提供了一份全书的”导读地图”——通过矩阵可以快速定位感兴趣的概念在哪些章节有深入讨论，实现跨章的”按需阅读”——这在一本近500页的技术专著中尤为实用——不必从头读到尾，可以从任何感兴趣的概念入手。</w:t>
      </w:r>
    </w:p>
    <w:bookmarkStart w:id="20" w:name="一条主线水系统如何走向可信自主"/>
    <w:p>
      <w:pPr>
        <w:pStyle w:val="Heading3"/>
      </w:pPr>
      <w:r>
        <w:t xml:space="preserve">8.1.1 一条主线：水系统如何走向可信自主</w:t>
      </w:r>
    </w:p>
    <w:p>
      <w:pPr>
        <w:pStyle w:val="FirstParagraph"/>
      </w:pPr>
      <w:r>
        <w:t xml:space="preserve">本书以”水系统如何从传统SCADA时代走向可信自主时代”为核心问题，沿”问题—原理—等级—架构—实践—人才”的逻辑链条逐章展开。回顾全书八章，每一章都回答了这条链条上的一个关键环节：</w:t>
      </w:r>
    </w:p>
    <w:p>
      <w:pPr>
        <w:pStyle w:val="BodyText"/>
      </w:pPr>
      <w:r>
        <w:rPr>
          <w:bCs/>
          <w:b/>
        </w:rPr>
        <w:t xml:space="preserve">第一章”为什么需要水系统控制论”</w:t>
      </w:r>
      <w:r>
        <w:t xml:space="preserve">回答了出发点——水利行业面临的挑战不是”缺少算法”而是”缺少系统性的运行能力建设框架”。传统SCADA系统提供了监控能力，但无法回答”在什么条件下系统可以自主运行”</w:t>
      </w:r>
      <w:r>
        <w:t xml:space="preserve">“</w:t>
      </w:r>
      <w:r>
        <w:t xml:space="preserve">出了问题如何安全降级</w:t>
      </w:r>
      <w:r>
        <w:t xml:space="preserve">”</w:t>
      </w:r>
      <w:r>
        <w:t xml:space="preserve">“</w:t>
      </w:r>
      <w:r>
        <w:t xml:space="preserve">长期运行如何保持效果</w:t>
      </w:r>
      <w:r>
        <w:t xml:space="preserve">”</w:t>
      </w:r>
      <w:r>
        <w:t xml:space="preserve">这些核心问题。</w:t>
      </w:r>
    </w:p>
    <w:p>
      <w:pPr>
        <w:pStyle w:val="BodyText"/>
      </w:pPr>
      <w:r>
        <w:rPr>
          <w:bCs/>
          <w:b/>
        </w:rPr>
        <w:t xml:space="preserve">第二章”水系统控制论的理论基础”</w:t>
      </w:r>
      <w:r>
        <w:t xml:space="preserve">回答了认识论——水利系统作为控制对象有什么独特性？水系统是一类特殊的信息物理社会系统（CPSS），其控制挑战源于物理层（大时滞、非线性、开放边界）、信息层（传感器稀疏、通信不可靠）和社会层（多利益方、多目标冲突）的深度耦合。这一认识奠定了CHS理论的基础。</w:t>
      </w:r>
    </w:p>
    <w:p>
      <w:pPr>
        <w:pStyle w:val="BodyText"/>
      </w:pPr>
      <w:r>
        <w:rPr>
          <w:bCs/>
          <w:b/>
        </w:rPr>
        <w:t xml:space="preserve">第三章”CHS八大原理”</w:t>
      </w:r>
      <w:r>
        <w:t xml:space="preserve">回答了方法论——用什么原则来指导水系统的控制设计？从可控可观性（原理一）到持续演进（原理八），八大原理构成了一个从”能不能控制”到”如何持续改进”的完整方法论框架。</w:t>
      </w:r>
    </w:p>
    <w:p>
      <w:pPr>
        <w:pStyle w:val="BodyText"/>
      </w:pPr>
      <w:r>
        <w:rPr>
          <w:bCs/>
          <w:b/>
        </w:rPr>
        <w:t xml:space="preserve">第四章”水网自主等级（WNAL）“</w:t>
      </w:r>
      <w:r>
        <w:t xml:space="preserve">回答了度量——如何衡量一个水利工程的智能化水平？WNAL L0—L5六级分类提供了统一的”标尺”，ODD定义了每个等级的”有效范围”，等级跃迁机制定义了”升级条件”。</w:t>
      </w:r>
    </w:p>
    <w:p>
      <w:pPr>
        <w:pStyle w:val="BodyText"/>
      </w:pPr>
      <w:r>
        <w:rPr>
          <w:bCs/>
          <w:b/>
        </w:rPr>
        <w:t xml:space="preserve">第五章”HydroOS：水网操作系统”</w:t>
      </w:r>
      <w:r>
        <w:t xml:space="preserve">回答了载体——用什么架构来实现CHS的理论要求？HydroOS的三层架构（数据保障层DAL、物理AI引擎PAI、认知AI引擎CAI）和运行时治理机制（策略门禁、四态机、审计链）提供了从理论到工程的转化平台。</w:t>
      </w:r>
    </w:p>
    <w:p>
      <w:pPr>
        <w:pStyle w:val="BodyText"/>
      </w:pPr>
      <w:r>
        <w:rPr>
          <w:bCs/>
          <w:b/>
        </w:rPr>
        <w:t xml:space="preserve">第六章”关键工程实践”</w:t>
      </w:r>
      <w:r>
        <w:t xml:space="preserve">回答了验证——CHS在真实工程中效果如何？胶东调水、沙坪水电站和南水北调中线三个案例从不同角度证明了CHS框架的工程可行性，失败案例则证明了每一道安全防线的必要性。</w:t>
      </w:r>
    </w:p>
    <w:p>
      <w:pPr>
        <w:pStyle w:val="BodyText"/>
      </w:pPr>
      <w:r>
        <w:rPr>
          <w:bCs/>
          <w:b/>
        </w:rPr>
        <w:t xml:space="preserve">第七章”学科前景与人才培养”</w:t>
      </w:r>
      <w:r>
        <w:t xml:space="preserve">回答了保障——谁来建设、谁来运维、谁来持续迭代？四类复合能力、四支柱课程体系、三级实践平台和十年路线图提供了人才和组织层面的系统方案。</w:t>
      </w:r>
    </w:p>
    <w:bookmarkEnd w:id="20"/>
    <w:bookmarkStart w:id="21" w:name="chs核心概念关系总图"/>
    <w:p>
      <w:pPr>
        <w:pStyle w:val="Heading3"/>
      </w:pPr>
      <w:r>
        <w:t xml:space="preserve">8.1.2 CHS核心概念关系总图</w:t>
      </w:r>
    </w:p>
    <w:p>
      <w:pPr>
        <w:pStyle w:val="FirstParagraph"/>
      </w:pPr>
      <w:r>
        <w:t xml:space="preserve">全书的核心概念不是”一章一个、互不相干”的，而是像一张网——每个概念在不同章节以不同面貌反复出现，每次出现都增加一层理解深度。这就像学习一门外语：一个词汇第一次出现时记住了”定义”，第二次在句子中理解了”用法”，第三次在对话中掌握了”语感”。CHS的核心概念也是如此——ODD在第四章是”定义”，在第五章是”工程实现”，在第六章是”实践中的扩展与失败教训”，在第七章是”教学内容”。</w:t>
      </w:r>
    </w:p>
    <w:p>
      <w:pPr>
        <w:pStyle w:val="BodyText"/>
      </w:pPr>
      <w:r>
        <w:t xml:space="preserve">[图8-2: CHS核心概念关系总图]</w:t>
      </w:r>
    </w:p>
    <w:p>
      <w:pPr>
        <w:pStyle w:val="BodyText"/>
      </w:pPr>
      <w:r>
        <w:t xml:space="preserve">表8-1以矩阵形式展示了CHS核心概念在各章的分布和关联。读者可以将此表作为全书的”索引地图”——当需要深入理解某个概念时，沿着矩阵的行查看其在不同章节的呈现。</w:t>
      </w:r>
    </w:p>
    <w:p>
      <w:pPr>
        <w:pStyle w:val="BodyText"/>
      </w:pPr>
      <w:r>
        <w:t xml:space="preserve">表8-1 CHS核心概念跨章映射矩阵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核心概念</w:t>
            </w:r>
          </w:p>
        </w:tc>
        <w:tc>
          <w:tcPr/>
          <w:p>
            <w:pPr>
              <w:pStyle w:val="Compact"/>
              <w:jc w:val="left"/>
            </w:pPr>
            <w:r>
              <w:t xml:space="preserve">理论定义</w:t>
            </w:r>
          </w:p>
        </w:tc>
        <w:tc>
          <w:tcPr/>
          <w:p>
            <w:pPr>
              <w:pStyle w:val="Compact"/>
              <w:jc w:val="left"/>
            </w:pPr>
            <w:r>
              <w:t xml:space="preserve">工程实现</w:t>
            </w:r>
          </w:p>
        </w:tc>
        <w:tc>
          <w:tcPr/>
          <w:p>
            <w:pPr>
              <w:pStyle w:val="Compact"/>
              <w:jc w:val="left"/>
            </w:pPr>
            <w:r>
              <w:t xml:space="preserve">实践验证</w:t>
            </w:r>
          </w:p>
        </w:tc>
        <w:tc>
          <w:tcPr/>
          <w:p>
            <w:pPr>
              <w:pStyle w:val="Compact"/>
              <w:jc w:val="left"/>
            </w:pPr>
            <w:r>
              <w:t xml:space="preserve">人才要求</w:t>
            </w:r>
          </w:p>
        </w:tc>
      </w:tr>
      <w:tr>
        <w:tc>
          <w:tcPr/>
          <w:p>
            <w:pPr>
              <w:pStyle w:val="Compact"/>
              <w:jc w:val="left"/>
            </w:pPr>
            <w:r>
              <w:t xml:space="preserve">八大原理</w:t>
            </w:r>
          </w:p>
        </w:tc>
        <w:tc>
          <w:tcPr/>
          <w:p>
            <w:pPr>
              <w:pStyle w:val="Compact"/>
              <w:jc w:val="left"/>
            </w:pPr>
            <w:r>
              <w:t xml:space="preserve">Ch3</w:t>
            </w:r>
          </w:p>
        </w:tc>
        <w:tc>
          <w:tcPr/>
          <w:p>
            <w:pPr>
              <w:pStyle w:val="Compact"/>
              <w:jc w:val="left"/>
            </w:pPr>
            <w:r>
              <w:t xml:space="preserve">Ch5（架构设计依据）</w:t>
            </w:r>
          </w:p>
        </w:tc>
        <w:tc>
          <w:tcPr/>
          <w:p>
            <w:pPr>
              <w:pStyle w:val="Compact"/>
              <w:jc w:val="left"/>
            </w:pPr>
            <w:r>
              <w:t xml:space="preserve">Ch6（每个案例映射）</w:t>
            </w:r>
          </w:p>
        </w:tc>
        <w:tc>
          <w:tcPr/>
          <w:p>
            <w:pPr>
              <w:pStyle w:val="Compact"/>
              <w:jc w:val="left"/>
            </w:pPr>
            <w:r>
              <w:t xml:space="preserve">Ch7（能力A/B）</w:t>
            </w:r>
          </w:p>
        </w:tc>
      </w:tr>
      <w:tr>
        <w:tc>
          <w:tcPr/>
          <w:p>
            <w:pPr>
              <w:pStyle w:val="Compact"/>
              <w:jc w:val="left"/>
            </w:pPr>
            <w:r>
              <w:t xml:space="preserve">WNAL L0-L5</w:t>
            </w:r>
          </w:p>
        </w:tc>
        <w:tc>
          <w:tcPr/>
          <w:p>
            <w:pPr>
              <w:pStyle w:val="Compact"/>
              <w:jc w:val="left"/>
            </w:pPr>
            <w:r>
              <w:t xml:space="preserve">Ch4</w:t>
            </w:r>
          </w:p>
        </w:tc>
        <w:tc>
          <w:tcPr/>
          <w:p>
            <w:pPr>
              <w:pStyle w:val="Compact"/>
              <w:jc w:val="left"/>
            </w:pPr>
            <w:r>
              <w:t xml:space="preserve">Ch5（运行时等级管理）</w:t>
            </w:r>
          </w:p>
        </w:tc>
        <w:tc>
          <w:tcPr/>
          <w:p>
            <w:pPr>
              <w:pStyle w:val="Compact"/>
              <w:jc w:val="left"/>
            </w:pPr>
            <w:r>
              <w:t xml:space="preserve">Ch6（三案例等级跃迁）</w:t>
            </w:r>
          </w:p>
        </w:tc>
        <w:tc>
          <w:tcPr/>
          <w:p>
            <w:pPr>
              <w:pStyle w:val="Compact"/>
              <w:jc w:val="left"/>
            </w:pPr>
            <w:r>
              <w:t xml:space="preserve">Ch7（CE认证挂钩）</w:t>
            </w:r>
          </w:p>
        </w:tc>
      </w:tr>
      <w:tr>
        <w:tc>
          <w:tcPr/>
          <w:p>
            <w:pPr>
              <w:pStyle w:val="Compact"/>
              <w:jc w:val="left"/>
            </w:pPr>
            <w:r>
              <w:t xml:space="preserve">ODD</w:t>
            </w:r>
          </w:p>
        </w:tc>
        <w:tc>
          <w:tcPr/>
          <w:p>
            <w:pPr>
              <w:pStyle w:val="Compact"/>
              <w:jc w:val="left"/>
            </w:pPr>
            <w:r>
              <w:t xml:space="preserve">Ch4§4.4</w:t>
            </w:r>
          </w:p>
        </w:tc>
        <w:tc>
          <w:tcPr/>
          <w:p>
            <w:pPr>
              <w:pStyle w:val="Compact"/>
              <w:jc w:val="left"/>
            </w:pPr>
            <w:r>
              <w:t xml:space="preserve">Ch5（ODD参数管理）</w:t>
            </w:r>
          </w:p>
        </w:tc>
        <w:tc>
          <w:tcPr/>
          <w:p>
            <w:pPr>
              <w:pStyle w:val="Compact"/>
              <w:jc w:val="left"/>
            </w:pPr>
            <w:r>
              <w:t xml:space="preserve">Ch6（胶东/沙坪/南水北调）</w:t>
            </w:r>
          </w:p>
        </w:tc>
        <w:tc>
          <w:tcPr/>
          <w:p>
            <w:pPr>
              <w:pStyle w:val="Compact"/>
              <w:jc w:val="left"/>
            </w:pPr>
            <w:r>
              <w:t xml:space="preserve">Ch7（D1课程）</w:t>
            </w:r>
          </w:p>
        </w:tc>
      </w:tr>
      <w:tr>
        <w:tc>
          <w:tcPr/>
          <w:p>
            <w:pPr>
              <w:pStyle w:val="Compact"/>
              <w:jc w:val="left"/>
            </w:pPr>
            <w:r>
              <w:t xml:space="preserve">安全包络</w:t>
            </w:r>
          </w:p>
        </w:tc>
        <w:tc>
          <w:tcPr/>
          <w:p>
            <w:pPr>
              <w:pStyle w:val="Compact"/>
              <w:jc w:val="left"/>
            </w:pPr>
            <w:r>
              <w:t xml:space="preserve">Ch3原理四</w:t>
            </w:r>
          </w:p>
        </w:tc>
        <w:tc>
          <w:tcPr/>
          <w:p>
            <w:pPr>
              <w:pStyle w:val="Compact"/>
              <w:jc w:val="left"/>
            </w:pPr>
            <w:r>
              <w:t xml:space="preserve">Ch5§5.6（三区边界）</w:t>
            </w:r>
          </w:p>
        </w:tc>
        <w:tc>
          <w:tcPr/>
          <w:p>
            <w:pPr>
              <w:pStyle w:val="Compact"/>
              <w:jc w:val="left"/>
            </w:pPr>
            <w:r>
              <w:t xml:space="preserve">Ch6§6.6（失败防线）</w:t>
            </w:r>
          </w:p>
        </w:tc>
        <w:tc>
          <w:tcPr/>
          <w:p>
            <w:pPr>
              <w:pStyle w:val="Compact"/>
              <w:jc w:val="left"/>
            </w:pPr>
            <w:r>
              <w:t xml:space="preserve">Ch7（D1课程）</w:t>
            </w:r>
          </w:p>
        </w:tc>
      </w:tr>
      <w:tr>
        <w:tc>
          <w:tcPr/>
          <w:p>
            <w:pPr>
              <w:pStyle w:val="Compact"/>
              <w:jc w:val="left"/>
            </w:pPr>
            <w:r>
              <w:t xml:space="preserve">HydroOS</w:t>
            </w:r>
          </w:p>
        </w:tc>
        <w:tc>
          <w:tcPr/>
          <w:p>
            <w:pPr>
              <w:pStyle w:val="Compact"/>
              <w:jc w:val="left"/>
            </w:pPr>
            <w:r>
              <w:t xml:space="preserve">Ch5</w:t>
            </w:r>
          </w:p>
        </w:tc>
        <w:tc>
          <w:tcPr/>
          <w:p>
            <w:pPr>
              <w:pStyle w:val="Compact"/>
              <w:jc w:val="left"/>
            </w:pPr>
            <w:r>
              <w:t xml:space="preserve">Ch5（完整架构）</w:t>
            </w:r>
          </w:p>
        </w:tc>
        <w:tc>
          <w:tcPr/>
          <w:p>
            <w:pPr>
              <w:pStyle w:val="Compact"/>
              <w:jc w:val="left"/>
            </w:pPr>
            <w:r>
              <w:t xml:space="preserve">Ch6（SCADA叠加部署）</w:t>
            </w:r>
          </w:p>
        </w:tc>
        <w:tc>
          <w:tcPr/>
          <w:p>
            <w:pPr>
              <w:pStyle w:val="Compact"/>
              <w:jc w:val="left"/>
            </w:pPr>
            <w:r>
              <w:t xml:space="preserve">Ch7（C1课程）</w:t>
            </w:r>
          </w:p>
        </w:tc>
      </w:tr>
      <w:tr>
        <w:tc>
          <w:tcPr/>
          <w:p>
            <w:pPr>
              <w:pStyle w:val="Compact"/>
              <w:jc w:val="left"/>
            </w:pPr>
            <w:r>
              <w:t xml:space="preserve">在环测试</w:t>
            </w:r>
          </w:p>
        </w:tc>
        <w:tc>
          <w:tcPr/>
          <w:p>
            <w:pPr>
              <w:pStyle w:val="Compact"/>
              <w:jc w:val="left"/>
            </w:pPr>
            <w:r>
              <w:t xml:space="preserve">Ch3原理五</w:t>
            </w:r>
          </w:p>
        </w:tc>
        <w:tc>
          <w:tcPr/>
          <w:p>
            <w:pPr>
              <w:pStyle w:val="Compact"/>
              <w:jc w:val="left"/>
            </w:pPr>
            <w:r>
              <w:t xml:space="preserve">Ch5§5.7（MIL/SIL/HIL）</w:t>
            </w:r>
          </w:p>
        </w:tc>
        <w:tc>
          <w:tcPr/>
          <w:p>
            <w:pPr>
              <w:pStyle w:val="Compact"/>
              <w:jc w:val="left"/>
            </w:pPr>
            <w:r>
              <w:t xml:space="preserve">Ch6§6.2.5（胶东实证）</w:t>
            </w:r>
          </w:p>
        </w:tc>
        <w:tc>
          <w:tcPr/>
          <w:p>
            <w:pPr>
              <w:pStyle w:val="Compact"/>
              <w:jc w:val="left"/>
            </w:pPr>
            <w:r>
              <w:t xml:space="preserve">Ch7（C3课程）</w:t>
            </w:r>
          </w:p>
        </w:tc>
      </w:tr>
      <w:tr>
        <w:tc>
          <w:tcPr/>
          <w:p>
            <w:pPr>
              <w:pStyle w:val="Compact"/>
              <w:jc w:val="left"/>
            </w:pPr>
            <w:r>
              <w:t xml:space="preserve">审计链</w:t>
            </w:r>
          </w:p>
        </w:tc>
        <w:tc>
          <w:tcPr/>
          <w:p>
            <w:pPr>
              <w:pStyle w:val="Compact"/>
              <w:jc w:val="left"/>
            </w:pPr>
            <w:r>
              <w:t xml:space="preserve">Ch3原理六</w:t>
            </w:r>
          </w:p>
        </w:tc>
        <w:tc>
          <w:tcPr/>
          <w:p>
            <w:pPr>
              <w:pStyle w:val="Compact"/>
              <w:jc w:val="left"/>
            </w:pPr>
            <w:r>
              <w:t xml:space="preserve">Ch5§5.6（审计记录）</w:t>
            </w:r>
          </w:p>
        </w:tc>
        <w:tc>
          <w:tcPr/>
          <w:p>
            <w:pPr>
              <w:pStyle w:val="Compact"/>
              <w:jc w:val="left"/>
            </w:pPr>
            <w:r>
              <w:t xml:space="preserve">Ch6（全案例贯穿）</w:t>
            </w:r>
          </w:p>
        </w:tc>
        <w:tc>
          <w:tcPr/>
          <w:p>
            <w:pPr>
              <w:pStyle w:val="Compact"/>
              <w:jc w:val="left"/>
            </w:pPr>
            <w:r>
              <w:t xml:space="preserve">Ch7（D3课程）</w:t>
            </w:r>
          </w:p>
        </w:tc>
      </w:tr>
      <w:tr>
        <w:tc>
          <w:tcPr/>
          <w:p>
            <w:pPr>
              <w:pStyle w:val="Compact"/>
              <w:jc w:val="left"/>
            </w:pPr>
            <w:r>
              <w:t xml:space="preserve">四态机</w:t>
            </w:r>
          </w:p>
        </w:tc>
        <w:tc>
          <w:tcPr/>
          <w:p>
            <w:pPr>
              <w:pStyle w:val="Compact"/>
              <w:jc w:val="left"/>
            </w:pPr>
            <w:r>
              <w:t xml:space="preserve">Ch3原理四</w:t>
            </w:r>
          </w:p>
        </w:tc>
        <w:tc>
          <w:tcPr/>
          <w:p>
            <w:pPr>
              <w:pStyle w:val="Compact"/>
              <w:jc w:val="left"/>
            </w:pPr>
            <w:r>
              <w:t xml:space="preserve">Ch5§5.6（状态转换）</w:t>
            </w:r>
          </w:p>
        </w:tc>
        <w:tc>
          <w:tcPr/>
          <w:p>
            <w:pPr>
              <w:pStyle w:val="Compact"/>
              <w:jc w:val="left"/>
            </w:pPr>
            <w:r>
              <w:t xml:space="preserve">Ch6§6.2.5（降级统计）</w:t>
            </w:r>
          </w:p>
        </w:tc>
        <w:tc>
          <w:tcPr/>
          <w:p>
            <w:pPr>
              <w:pStyle w:val="Compact"/>
              <w:jc w:val="left"/>
            </w:pPr>
            <w:r>
              <w:t xml:space="preserve">Ch7（CE4培训）</w:t>
            </w:r>
          </w:p>
        </w:tc>
      </w:tr>
    </w:tbl>
    <w:p>
      <w:pPr>
        <w:pStyle w:val="BodyText"/>
      </w:pPr>
      <w:r>
        <w:t xml:space="preserve">这张矩阵揭示了一个重要的结构特征：</w:t>
      </w:r>
      <w:r>
        <w:rPr>
          <w:bCs/>
          <w:b/>
        </w:rPr>
        <w:t xml:space="preserve">CHS不是一组独立概念的集合，而是一个高度关联的概念网络</w:t>
      </w:r>
      <w:r>
        <w:t xml:space="preserve">——每个概念都在多个章节中出现，每次出现都带来更深一层的理解。例如，ODD在第四章是”定义”，在第五章是”工程实现”，在第六章是”实践中的扩展与失败”，在第七章是”教学内容”。</w:t>
      </w:r>
    </w:p>
    <w:p>
      <w:pPr>
        <w:pStyle w:val="BodyText"/>
      </w:pPr>
      <w:r>
        <w:t xml:space="preserve">全书回顾建立了”我们已经走了多远”的坐标，接下来讨论”我们还要走多远、走向哪里”。</w:t>
      </w:r>
    </w:p>
    <w:p>
      <w:r>
        <w:pict>
          <v:rect style="width:0;height:1.5pt" o:hralign="center" o:hrstd="t" o:hr="t"/>
        </w:pict>
      </w:r>
    </w:p>
    <w:bookmarkEnd w:id="21"/>
    <w:bookmarkEnd w:id="22"/>
    <w:bookmarkStart w:id="27" w:name="技术前沿未来十年的关键方向"/>
    <w:p>
      <w:pPr>
        <w:pStyle w:val="Heading2"/>
      </w:pPr>
      <w:r>
        <w:t xml:space="preserve">8.2 技术前沿：未来十年的关键方向</w:t>
      </w:r>
    </w:p>
    <w:p>
      <w:pPr>
        <w:pStyle w:val="FirstParagraph"/>
      </w:pPr>
      <w:r>
        <w:t xml:space="preserve">CHS目前的理论和工程实践，就像汽车工业在20世纪50年代的状态——基本技术已经成熟（发动机可靠、底盘稳定），但安全带、ABS、自动变速箱等关键创新还在路上。本节不做面面俱到的技术综述，而是聚焦四个对CHS未来十年影响最深远的方向：从确定性控制到不确定性管理（§8.2.1）、从物理AI到认知AI的深化（§8.2.2）、从单一水系统到水-能-食纽带（§8.2.3）、以及从工程定制到标准化智能（§8.2.4）。每个方向都与前面章节的内容直接关联，是”已有理论的自然延伸”而非”另起炉灶”——就像汽车从手动挡到自动挡到无人驾驶，每一步都是在上一步的基础上渐进演化，而非推倒重来，这给了从业者渐进跟进的信心。</w:t>
      </w:r>
    </w:p>
    <w:bookmarkStart w:id="23" w:name="从确定性控制到不确定性管理"/>
    <w:p>
      <w:pPr>
        <w:pStyle w:val="Heading3"/>
      </w:pPr>
      <w:r>
        <w:t xml:space="preserve">8.2.1 从确定性控制到不确定性管理</w:t>
      </w:r>
    </w:p>
    <w:p>
      <w:pPr>
        <w:pStyle w:val="FirstParagraph"/>
      </w:pPr>
      <w:r>
        <w:t xml:space="preserve">CHS目前的核心控制工具——MPC——建立在”模型基本准确、扰动基本可预测”的假设之上。但水利系统面临的不确定性正在加剧：极端气候事件的频率和强度增加、城镇化改变了流域的产汇流特性、跨流域调水使得系统边界更加开放和动态。</w:t>
      </w:r>
    </w:p>
    <w:p>
      <w:pPr>
        <w:pStyle w:val="BodyText"/>
      </w:pPr>
      <w:r>
        <w:t xml:space="preserve">未来十年，CHS的控制理论需要从”确定性最优”向”不确定性鲁棒”演进。具体的技术方向包括：</w:t>
      </w:r>
    </w:p>
    <w:p>
      <w:pPr>
        <w:pStyle w:val="BodyText"/>
      </w:pPr>
      <w:r>
        <w:rPr>
          <w:bCs/>
          <w:b/>
        </w:rPr>
        <w:t xml:space="preserve">随机MPC与场景优化。</w:t>
      </w:r>
      <w:r>
        <w:t xml:space="preserve"> </w:t>
      </w:r>
      <w:r>
        <w:t xml:space="preserve">将来水预报的不确定性（通常以集合预报的形式表达）直接纳入MPC的优化框架，在多个可能的未来场景中寻找”最不坏”的控制策略，而非在单一预报下寻找”最优”策略 [8-1]。第六章沙坪水电站的实践已经表明，在来水预报不确定性较大时，确定性MPC的决策可能误导调度员。</w:t>
      </w:r>
    </w:p>
    <w:p>
      <w:pPr>
        <w:pStyle w:val="BodyText"/>
      </w:pPr>
      <w:r>
        <w:rPr>
          <w:bCs/>
          <w:b/>
        </w:rPr>
        <w:t xml:space="preserve">分布式鲁棒优化。</w:t>
      </w:r>
      <w:r>
        <w:t xml:space="preserve"> </w:t>
      </w:r>
      <w:r>
        <w:t xml:space="preserve">对于南水北调中线这样的超大规模系统，集中式MPC面临”维数灾难”——状态变量超过500维、约束数千个。分布式MPC将全局问题分解为多个子问题，各子问题在本地求解后通过协商机制达成全局一致 [8-2]。这一方向的挑战不在算法本身，而在如何保证分布式求解的收敛性和全局安全性。</w:t>
      </w:r>
    </w:p>
    <w:p>
      <w:pPr>
        <w:pStyle w:val="BodyText"/>
      </w:pPr>
      <w:r>
        <w:rPr>
          <w:bCs/>
          <w:b/>
        </w:rPr>
        <w:t xml:space="preserve">自适应ODD管理。</w:t>
      </w:r>
      <w:r>
        <w:t xml:space="preserve"> </w:t>
      </w:r>
      <w:r>
        <w:t xml:space="preserve">当前ODD是”静态定义、人工扩展”——每次扩展都需要完整的SIL/HIL验证。未来的方向是”动态ODD”——系统根据实时状态和历史数据，自动评估当前工况是否仍在ODD范围内，并在检测到ODD边界趋近时提前预警或自动收缩自主权限 [8-3]。这需要高可靠的在线状态估计和ODD边界检测算法。</w:t>
      </w:r>
    </w:p>
    <w:bookmarkEnd w:id="23"/>
    <w:bookmarkStart w:id="24" w:name="从物理ai到认知ai的深化"/>
    <w:p>
      <w:pPr>
        <w:pStyle w:val="Heading3"/>
      </w:pPr>
      <w:r>
        <w:t xml:space="preserve">8.2.2 从物理AI到认知AI的深化</w:t>
      </w:r>
    </w:p>
    <w:p>
      <w:pPr>
        <w:pStyle w:val="FirstParagraph"/>
      </w:pPr>
      <w:r>
        <w:t xml:space="preserve">第五章引入的PAI-CAI双引擎架构，目前PAI（物理AI）引擎的技术成熟度显著高于CAI（认知AI）引擎。PAI的核心——基于物理模型的数值优化——已有半个世纪的理论积累和工程实践。而CAI的核心功能——态势感知、方案解释、人机对话——仍处于早期探索阶段。</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给水利工程师的速览：CAI能做什么、不能做什么？</w:t>
            </w:r>
          </w:p>
        </w:tc>
      </w:tr>
      <w:tr>
        <w:tc>
          <w:tcPr/>
          <w:p>
            <w:pPr>
              <w:pStyle w:val="Compact"/>
              <w:jc w:val="left"/>
            </w:pPr>
            <w:r>
              <w:t xml:space="preserve">当前CAI引擎能做的：将多源信息（SCADA数据、预报、设备状态）整合为结构化态势报告、为PAI生成的优化方案附加自然语言解释、在多方案中按调度员偏好推荐最适方案。当前CAI不能做的：独立做出超出PAI计算范围的创造性决策、理解和预测人类调度员的心理状态（如疲劳、注意力分散）、在完全未知的工况下提供可靠的安全判断。简言之，CAI是”高级参谋”而不是”决策者”。</w:t>
            </w:r>
          </w:p>
        </w:tc>
      </w:tr>
    </w:tbl>
    <w:p>
      <w:pPr>
        <w:pStyle w:val="FirstParagraph"/>
      </w:pPr>
      <w:r>
        <w:t xml:space="preserve">未来十年CAI发展的关键方向包括：</w:t>
      </w:r>
    </w:p>
    <w:p>
      <w:pPr>
        <w:pStyle w:val="BodyText"/>
      </w:pPr>
      <w:r>
        <w:rPr>
          <w:bCs/>
          <w:b/>
        </w:rPr>
        <w:t xml:space="preserve">多模态态势感知。</w:t>
      </w:r>
      <w:r>
        <w:t xml:space="preserve"> </w:t>
      </w:r>
      <w:r>
        <w:t xml:space="preserve">目前CAI的输入主要是SCADA数据（结构化数值）。未来应扩展到图像（水面状态、设备外观）、声音（泵站和闸门的运行噪声异常检测）和自然语言（调度员的口头报告和日志）。多模态信息的融合将显著提升CAI的态势感知覆盖面和鲁棒性 [8-4]。</w:t>
      </w:r>
    </w:p>
    <w:p>
      <w:pPr>
        <w:pStyle w:val="BodyText"/>
      </w:pPr>
      <w:r>
        <w:rPr>
          <w:bCs/>
          <w:b/>
        </w:rPr>
        <w:t xml:space="preserve">可解释性的深化。</w:t>
      </w:r>
      <w:r>
        <w:t xml:space="preserve"> </w:t>
      </w:r>
      <w:r>
        <w:t xml:space="preserve">当前CAI的”解释”主要是对PAI优化结果的文字描述。更深层的可解释性意味着：CAI能够回答”为什么不选方案B”（反事实解释）、</w:t>
      </w:r>
      <w:r>
        <w:t xml:space="preserve">“</w:t>
      </w:r>
      <w:r>
        <w:t xml:space="preserve">如果来水预报变了会怎样</w:t>
      </w:r>
      <w:r>
        <w:t xml:space="preserve">”</w:t>
      </w:r>
      <w:r>
        <w:t xml:space="preserve">（敏感性分析）、以及”这个建议的置信度有多高”（不确定性量化）。这些能力对于建立调度员对系统的信任至关重要 [8-5]。</w:t>
      </w:r>
    </w:p>
    <w:p>
      <w:pPr>
        <w:pStyle w:val="BodyText"/>
      </w:pPr>
      <w:r>
        <w:rPr>
          <w:bCs/>
          <w:b/>
        </w:rPr>
        <w:t xml:space="preserve">人机协作模式的演进。</w:t>
      </w:r>
      <w:r>
        <w:t xml:space="preserve"> </w:t>
      </w:r>
      <w:r>
        <w:t xml:space="preserve">从”系统建议→人工确认”的单向模式，向”系统建议↔人工反馈→系统学习”的双向模式演进。CAI应能从调度员的决策偏好中学习——例如，某位调度长在暴雨工况下倾向于更保守的策略——并在后续类似工况中自动调整推荐方案的风格。这涉及强化学习和偏好建模的交叉领域 [8-6]。</w:t>
      </w:r>
    </w:p>
    <w:bookmarkEnd w:id="24"/>
    <w:bookmarkStart w:id="25" w:name="从单一水系统到水-能-食纽带"/>
    <w:p>
      <w:pPr>
        <w:pStyle w:val="Heading3"/>
      </w:pPr>
      <w:r>
        <w:t xml:space="preserve">8.2.3 从单一水系统到水-能-食纽带</w:t>
      </w:r>
    </w:p>
    <w:p>
      <w:pPr>
        <w:pStyle w:val="FirstParagraph"/>
      </w:pPr>
      <w:r>
        <w:t xml:space="preserve">水利系统从来不是孤立的。水电站的运行与电网调度直接关联，灌区的供水与粮食生产直接关联，城市供水与能源消耗（泵站用电）直接关联。这种”水-能-食纽带”（Water-Energy-Food Nexus）关系意味着，水系统的最优运行不能只在水利系统内部寻找，而需要考虑与其他基础设施系统的协同优化 [8-7]。</w:t>
      </w:r>
    </w:p>
    <w:p>
      <w:pPr>
        <w:pStyle w:val="BodyText"/>
      </w:pPr>
      <w:r>
        <w:t xml:space="preserve">对CHS框架而言，这提出了一个深层的理论挑战：</w:t>
      </w:r>
      <w:r>
        <w:rPr>
          <w:bCs/>
          <w:b/>
        </w:rPr>
        <w:t xml:space="preserve">当控制边界从单一水系统扩展到水-能-食纽带时，ODD如何定义？安全包络如何设计？责任如何划分？</w:t>
      </w:r>
      <w:r>
        <w:t xml:space="preserve"> </w:t>
      </w:r>
      <w:r>
        <w:t xml:space="preserve">一个水电站的泄洪决策可能影响电网的频率稳定性，一个灌区的供水决策可能影响下游城市的供水安全——在这种跨系统耦合下，</w:t>
      </w:r>
      <w:r>
        <w:t xml:space="preserve">“</w:t>
      </w:r>
      <w:r>
        <w:t xml:space="preserve">谁有权做决策</w:t>
      </w:r>
      <w:r>
        <w:t xml:space="preserve">”</w:t>
      </w:r>
      <w:r>
        <w:t xml:space="preserve">和”谁承担后果”的问题变得更加复杂。</w:t>
      </w:r>
    </w:p>
    <w:p>
      <w:pPr>
        <w:pStyle w:val="BodyText"/>
      </w:pPr>
      <w:r>
        <w:rPr>
          <w:bCs/>
          <w:b/>
        </w:rPr>
        <w:t xml:space="preserve">具体的技术挑战包括：</w:t>
      </w:r>
      <w:r>
        <w:t xml:space="preserve"> </w:t>
      </w:r>
      <w:r>
        <w:t xml:space="preserve">① 多系统ODD的交叉定义——水电站的ODD需要同时满足水利和电力两套安全标准，当两套标准发生冲突时如何取舍？② 跨系统控制的时间尺度不匹配——电网调频在秒级，水库调度在小时级，灌区水权分配在日级——多时间尺度的协同优化目前缺乏成熟的理论框架。③ 数据共享的治理障碍——水利、电力和农业分属不同的管理部门，数据标准不统一、共享意愿不足，这是技术问题更是制度问题 [8-8]。</w:t>
      </w:r>
    </w:p>
    <w:p>
      <w:pPr>
        <w:pStyle w:val="BlockText"/>
      </w:pPr>
      <w:r>
        <w:rPr>
          <w:bCs/>
          <w:b/>
        </w:rPr>
        <w:t xml:space="preserve">概念辨析框：系统边界（System Boundary） vs 控制边界（Control Boundary）</w:t>
      </w:r>
      <w:r>
        <w:t xml:space="preserve"> </w:t>
      </w:r>
      <w:r>
        <w:t xml:space="preserve">系统边界是物理意义上的——水从哪里来、到哪里去，涉及哪些工程设施。控制边界是管理意义上的——谁有权调整哪些设备，谁对哪些后果负责。在传统水利管理中，两者大致重合——一个管理段就是一个控制边界。但在水-能-食纽带的视角下，系统边界扩大了（需要考虑电网和农业的约束），而控制边界可能保持不变（水利部门仍然只管水利设施）。这种”系统边界＞控制边界”的不匹配是未来CHS理论需要解决的核心问题之一。</w:t>
      </w:r>
    </w:p>
    <w:bookmarkEnd w:id="25"/>
    <w:bookmarkStart w:id="26" w:name="从工程智能到标准智能"/>
    <w:p>
      <w:pPr>
        <w:pStyle w:val="Heading3"/>
      </w:pPr>
      <w:r>
        <w:t xml:space="preserve">8.2.4 从工程智能到标准智能</w:t>
      </w:r>
    </w:p>
    <w:p>
      <w:pPr>
        <w:pStyle w:val="FirstParagraph"/>
      </w:pPr>
      <w:r>
        <w:t xml:space="preserve">目前CHS的工程实践高度依赖”定制化”——每个工程的模型需要单独建立、控制器需要单独调试、ODD需要单独定义。这种”一事一议”的模式成本高、周期长，是CHS技术大规模推广的主要障碍。</w:t>
      </w:r>
    </w:p>
    <w:p>
      <w:pPr>
        <w:pStyle w:val="BodyText"/>
      </w:pPr>
      <w:r>
        <w:t xml:space="preserve">未来的方向是”标准化”——建立一套标准化的工程模板，让新工程能够以”配置”而非”开发”的方式接入CHS能力。具体包括：</w:t>
      </w:r>
    </w:p>
    <w:p>
      <w:pPr>
        <w:pStyle w:val="BodyText"/>
      </w:pPr>
      <w:r>
        <w:rPr>
          <w:bCs/>
          <w:b/>
        </w:rPr>
        <w:t xml:space="preserve">标准化的模型库。</w:t>
      </w:r>
      <w:r>
        <w:t xml:space="preserve"> </w:t>
      </w:r>
      <w:r>
        <w:t xml:space="preserve">为常见的水利工程类型（明渠、管网、水库、泵站、闸门）建立参数化的标准模型。新工程只需提供几何参数和运行参数，就能自动生成控制导向的水力模型——而不是每次都从Saint-Venant方程开始推导 [8-8]。</w:t>
      </w:r>
    </w:p>
    <w:p>
      <w:pPr>
        <w:pStyle w:val="BodyText"/>
      </w:pPr>
      <w:r>
        <w:rPr>
          <w:bCs/>
          <w:b/>
        </w:rPr>
        <w:t xml:space="preserve">标准化的ODD模板。</w:t>
      </w:r>
      <w:r>
        <w:t xml:space="preserve"> </w:t>
      </w:r>
      <w:r>
        <w:t xml:space="preserve">为每种工程类型和WNAL等级定义标准的ODD维度和参考阈值。新工程的ODD定义从模板出发，根据本地条件微调——而不是每次都从空白开始设计。</w:t>
      </w:r>
    </w:p>
    <w:p>
      <w:pPr>
        <w:pStyle w:val="BodyText"/>
      </w:pPr>
      <w:r>
        <w:rPr>
          <w:bCs/>
          <w:b/>
        </w:rPr>
        <w:t xml:space="preserve">标准化的测试场景库。</w:t>
      </w:r>
      <w:r>
        <w:t xml:space="preserve"> </w:t>
      </w:r>
      <w:r>
        <w:t xml:space="preserve">第七章提到的基准测试库（benchmark），不仅用于学术研究，也用于工程验收——每个WNAL等级的跃迁都需要通过对应的标准测试场景集 [8-9]。</w:t>
      </w:r>
    </w:p>
    <w:p>
      <w:pPr>
        <w:pStyle w:val="BodyText"/>
      </w:pPr>
      <w:r>
        <w:t xml:space="preserve">技术前沿描绘了”方向”，但真正落地还需要产业生态和治理框架的支撑。</w:t>
      </w:r>
    </w:p>
    <w:p>
      <w:r>
        <w:pict>
          <v:rect style="width:0;height:1.5pt" o:hralign="center" o:hrstd="t" o:hr="t"/>
        </w:pict>
      </w:r>
    </w:p>
    <w:bookmarkEnd w:id="26"/>
    <w:bookmarkEnd w:id="27"/>
    <w:bookmarkStart w:id="31" w:name="产业生态从点状成功到系统能力"/>
    <w:p>
      <w:pPr>
        <w:pStyle w:val="Heading2"/>
      </w:pPr>
      <w:r>
        <w:t xml:space="preserve">8.3 产业生态：从点状成功到系统能力</w:t>
      </w:r>
    </w:p>
    <w:p>
      <w:pPr>
        <w:pStyle w:val="FirstParagraph"/>
      </w:pPr>
      <w:r>
        <w:t xml:space="preserve">技术再先进，如果没有产业生态的支撑就无法大规模落地。就像电动汽车的普及不仅取决于电池技术，还取决于充电网络、维修体系和消费者认知——CHS的推广同样需要从”个别团队做个别项目”升级为”整个行业的系统能力”。本节从三个层面讨论产业生态的建设：十年路线图给出时间节奏（§8.3.1），角色分析明确各方定位（§8.3.2），中小工程普惠路径确保技术红利不只惠及大型工程（§8.3.3）。如果说技术前沿讨论的是”天花板在哪里”，产业生态讨论的就是”地板怎么铺”——让CHS从少数精英团队的专利变成整个行业的基础能力——包括占全国水利工程总量95%以上、目前几乎零智能化覆盖的中小型项目——它们恰恰是未来增长空间最大的市场。</w:t>
      </w:r>
    </w:p>
    <w:bookmarkStart w:id="28" w:name="十年路线图三阶段推进"/>
    <w:p>
      <w:pPr>
        <w:pStyle w:val="Heading3"/>
      </w:pPr>
      <w:r>
        <w:t xml:space="preserve">8.3.1 十年路线图：三阶段推进</w:t>
      </w:r>
    </w:p>
    <w:p>
      <w:pPr>
        <w:pStyle w:val="FirstParagraph"/>
      </w:pPr>
      <w:r>
        <w:t xml:space="preserve">[图8-1: 从SCADA到自主运行生态的十年路线图]</w:t>
      </w:r>
    </w:p>
    <w:p>
      <w:pPr>
        <w:pStyle w:val="BodyText"/>
      </w:pPr>
      <w:r>
        <w:t xml:space="preserve">表8-2 十年产业路线图三阶段里程碑</w:t>
      </w:r>
    </w:p>
    <w:tbl>
      <w:tblPr>
        <w:tblStyle w:val="Table"/>
        <w:tblW w:type="pct" w:w="5000"/>
        <w:tblLook w:firstRow="1" w:lastRow="0" w:firstColumn="0" w:lastColumn="0" w:noHBand="0" w:noVBand="0" w:val="0020"/>
        <w:jc w:val="start"/>
      </w:tblPr>
      <w:tblGrid>
        <w:gridCol w:w="990"/>
        <w:gridCol w:w="990"/>
        <w:gridCol w:w="1485"/>
        <w:gridCol w:w="1485"/>
        <w:gridCol w:w="1485"/>
        <w:gridCol w:w="1485"/>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核心目标</w:t>
            </w:r>
          </w:p>
        </w:tc>
        <w:tc>
          <w:tcPr/>
          <w:p>
            <w:pPr>
              <w:pStyle w:val="Compact"/>
              <w:jc w:val="left"/>
            </w:pPr>
            <w:r>
              <w:t xml:space="preserve">技术维度</w:t>
            </w:r>
          </w:p>
        </w:tc>
        <w:tc>
          <w:tcPr/>
          <w:p>
            <w:pPr>
              <w:pStyle w:val="Compact"/>
              <w:jc w:val="left"/>
            </w:pPr>
            <w:r>
              <w:t xml:space="preserve">组织维度</w:t>
            </w:r>
          </w:p>
        </w:tc>
        <w:tc>
          <w:tcPr/>
          <w:p>
            <w:pPr>
              <w:pStyle w:val="Compact"/>
              <w:jc w:val="left"/>
            </w:pPr>
            <w:r>
              <w:t xml:space="preserve">治理维度</w:t>
            </w:r>
          </w:p>
        </w:tc>
      </w:tr>
      <w:tr>
        <w:tc>
          <w:tcPr/>
          <w:p>
            <w:pPr>
              <w:pStyle w:val="Compact"/>
              <w:jc w:val="left"/>
            </w:pPr>
            <w:r>
              <w:t xml:space="preserve">I: 标准化与试点</w:t>
            </w:r>
          </w:p>
        </w:tc>
        <w:tc>
          <w:tcPr/>
          <w:p>
            <w:pPr>
              <w:pStyle w:val="Compact"/>
              <w:jc w:val="left"/>
            </w:pPr>
            <w:r>
              <w:t xml:space="preserve">2026—2028</w:t>
            </w:r>
          </w:p>
        </w:tc>
        <w:tc>
          <w:tcPr/>
          <w:p>
            <w:pPr>
              <w:pStyle w:val="Compact"/>
              <w:jc w:val="left"/>
            </w:pPr>
            <w:r>
              <w:t xml:space="preserve">可复制样板</w:t>
            </w:r>
          </w:p>
        </w:tc>
        <w:tc>
          <w:tcPr/>
          <w:p>
            <w:pPr>
              <w:pStyle w:val="Compact"/>
              <w:jc w:val="left"/>
            </w:pPr>
            <w:r>
              <w:t xml:space="preserve">统一术语/分级/测试口径</w:t>
            </w:r>
          </w:p>
        </w:tc>
        <w:tc>
          <w:tcPr/>
          <w:p>
            <w:pPr>
              <w:pStyle w:val="Compact"/>
              <w:jc w:val="left"/>
            </w:pPr>
            <w:r>
              <w:t xml:space="preserve">首批产学研联合体</w:t>
            </w:r>
          </w:p>
        </w:tc>
        <w:tc>
          <w:tcPr/>
          <w:p>
            <w:pPr>
              <w:pStyle w:val="Compact"/>
              <w:jc w:val="left"/>
            </w:pPr>
            <w:r>
              <w:t xml:space="preserve">ODD标准+审计导则</w:t>
            </w:r>
          </w:p>
        </w:tc>
      </w:tr>
      <w:tr>
        <w:tc>
          <w:tcPr/>
          <w:p>
            <w:pPr>
              <w:pStyle w:val="Compact"/>
              <w:jc w:val="left"/>
            </w:pPr>
            <w:r>
              <w:t xml:space="preserve">II: 规模化与认证</w:t>
            </w:r>
          </w:p>
        </w:tc>
        <w:tc>
          <w:tcPr/>
          <w:p>
            <w:pPr>
              <w:pStyle w:val="Compact"/>
              <w:jc w:val="left"/>
            </w:pPr>
            <w:r>
              <w:t xml:space="preserve">2029—2031</w:t>
            </w:r>
          </w:p>
        </w:tc>
        <w:tc>
          <w:tcPr/>
          <w:p>
            <w:pPr>
              <w:pStyle w:val="Compact"/>
              <w:jc w:val="left"/>
            </w:pPr>
            <w:r>
              <w:t xml:space="preserve">行业常态</w:t>
            </w:r>
          </w:p>
        </w:tc>
        <w:tc>
          <w:tcPr/>
          <w:p>
            <w:pPr>
              <w:pStyle w:val="Compact"/>
              <w:jc w:val="left"/>
            </w:pPr>
            <w:r>
              <w:t xml:space="preserve">跨流域部署+标准模型库</w:t>
            </w:r>
          </w:p>
        </w:tc>
        <w:tc>
          <w:tcPr/>
          <w:p>
            <w:pPr>
              <w:pStyle w:val="Compact"/>
              <w:jc w:val="left"/>
            </w:pPr>
            <w:r>
              <w:t xml:space="preserve">认证体系+继续教育</w:t>
            </w:r>
          </w:p>
        </w:tc>
        <w:tc>
          <w:tcPr/>
          <w:p>
            <w:pPr>
              <w:pStyle w:val="Compact"/>
              <w:jc w:val="left"/>
            </w:pPr>
            <w:r>
              <w:t xml:space="preserve">WNAL准入制度</w:t>
            </w:r>
          </w:p>
        </w:tc>
      </w:tr>
      <w:tr>
        <w:tc>
          <w:tcPr/>
          <w:p>
            <w:pPr>
              <w:pStyle w:val="Compact"/>
              <w:jc w:val="left"/>
            </w:pPr>
            <w:r>
              <w:t xml:space="preserve">III: 生态化与国际协同</w:t>
            </w:r>
          </w:p>
        </w:tc>
        <w:tc>
          <w:tcPr/>
          <w:p>
            <w:pPr>
              <w:pStyle w:val="Compact"/>
              <w:jc w:val="left"/>
            </w:pPr>
            <w:r>
              <w:t xml:space="preserve">2032—2035</w:t>
            </w:r>
          </w:p>
        </w:tc>
        <w:tc>
          <w:tcPr/>
          <w:p>
            <w:pPr>
              <w:pStyle w:val="Compact"/>
              <w:jc w:val="left"/>
            </w:pPr>
            <w:r>
              <w:t xml:space="preserve">自主运行生态</w:t>
            </w:r>
          </w:p>
        </w:tc>
        <w:tc>
          <w:tcPr/>
          <w:p>
            <w:pPr>
              <w:pStyle w:val="Compact"/>
              <w:jc w:val="left"/>
            </w:pPr>
            <w:r>
              <w:t xml:space="preserve">平台互联+标准互认</w:t>
            </w:r>
          </w:p>
        </w:tc>
        <w:tc>
          <w:tcPr/>
          <w:p>
            <w:pPr>
              <w:pStyle w:val="Compact"/>
              <w:jc w:val="left"/>
            </w:pPr>
            <w:r>
              <w:t xml:space="preserve">国际人才流动</w:t>
            </w:r>
          </w:p>
        </w:tc>
        <w:tc>
          <w:tcPr/>
          <w:p>
            <w:pPr>
              <w:pStyle w:val="Compact"/>
              <w:jc w:val="left"/>
            </w:pPr>
            <w:r>
              <w:t xml:space="preserve">跨境水系统治理</w:t>
            </w:r>
          </w:p>
        </w:tc>
      </w:tr>
    </w:tbl>
    <w:p>
      <w:pPr>
        <w:pStyle w:val="BodyText"/>
      </w:pPr>
      <w:r>
        <w:rPr>
          <w:bCs/>
          <w:b/>
        </w:rPr>
        <w:t xml:space="preserve">阶段I（2026—2028）：标准化与试点。</w:t>
      </w:r>
      <w:r>
        <w:t xml:space="preserve"> </w:t>
      </w:r>
      <w:r>
        <w:t xml:space="preserve">这一阶段的关键不是”做更多试点”，而是”让已有的试点可复制”。胶东调水、沙坪水电站等工程积累了大量的工程经验，但这些经验目前仍以”隐性知识”的形式存在于核心团队的头脑中。阶段I的核心任务是将这些经验转化为”显性知识”——标准化的术语（CHS术语词典）、标准化的分级（WNAL评估导则）、标准化的测试（在环测试基准库）和标准化的培训（继续教育模块）。</w:t>
      </w:r>
    </w:p>
    <w:p>
      <w:pPr>
        <w:pStyle w:val="BodyText"/>
      </w:pPr>
      <w:r>
        <w:rPr>
          <w:bCs/>
          <w:b/>
        </w:rPr>
        <w:t xml:space="preserve">阶段II（2029—2031）：规模化与认证。</w:t>
      </w:r>
      <w:r>
        <w:t xml:space="preserve"> </w:t>
      </w:r>
      <w:r>
        <w:t xml:space="preserve">当标准化工具就绪后，新工程的CHS部署成本和周期将大幅下降。这一阶段的重点是从”3—5个示范工程”扩展到”30—50个常规工程”。扩展的关键不是技术，而是认证——建立WNAL等级的行业准入制度，让”达到WNAL L2/L3”成为水利工程智能化建设的标准要求，而不是”锦上添花”的加分项。</w:t>
      </w:r>
    </w:p>
    <w:p>
      <w:pPr>
        <w:pStyle w:val="BodyText"/>
      </w:pPr>
      <w:r>
        <w:rPr>
          <w:bCs/>
          <w:b/>
        </w:rPr>
        <w:t xml:space="preserve">阶段III（2032—2035）：生态化与国际协同。</w:t>
      </w:r>
      <w:r>
        <w:t xml:space="preserve"> </w:t>
      </w:r>
      <w:r>
        <w:t xml:space="preserve">当国内形成了30—50个WNAL L3+的工程群后，产业生态将自然形成——模型提供商、控制器厂商、在环测试服务商、运维外包公司——各环节分工协作，形成完整的产业链。国际协同方面，通过IAHR和SWAN等平台推动WNAL标准的国际互认，使CHS框架成为全球水利行业的共同语言。</w:t>
      </w:r>
    </w:p>
    <w:bookmarkEnd w:id="28"/>
    <w:bookmarkStart w:id="29" w:name="产业生态的关键角色"/>
    <w:p>
      <w:pPr>
        <w:pStyle w:val="Heading3"/>
      </w:pPr>
      <w:r>
        <w:t xml:space="preserve">8.3.2 产业生态的关键角色</w:t>
      </w:r>
    </w:p>
    <w:p>
      <w:pPr>
        <w:pStyle w:val="FirstParagraph"/>
      </w:pPr>
      <w:r>
        <w:t xml:space="preserve">一个健康的产业生态需要多种角色各司其职、协同运转——就像一个交响乐团，每种乐器都不可或缺，但关键在于指挥（标准）让它们协调合奏。当前CHS产业生态的最大问题是”角色缺位”：设计院不懂控制、软件商不懂水利、流域机构只会”采购”而不会”定义需求”。表8-3列出了CHS产业生态中的六种关键角色，分析了每种角色的当前状态和发展方向。其中，流域管理机构从”被动的技术接受者”转变为”主动的需求定义者”，是生态能否良性运转的关键——因为只有最终用户才能准确定义ODD的边界和安全的底线。这种角色转变需要第七章讨论的继续教育体系来支撑——流域机构的技术骨干完成CE1和CE4培训后，才有能力从”我需要一套智能系统”提升为”我需要一套ODD覆盖这些工况、WNAL达到L3、审计链满足这些要求的系统”。</w:t>
      </w:r>
    </w:p>
    <w:p>
      <w:pPr>
        <w:pStyle w:val="BodyText"/>
      </w:pPr>
      <w:r>
        <w:t xml:space="preserve">表8-3 CHS产业生态的关键角色与价值</w:t>
      </w:r>
    </w:p>
    <w:tbl>
      <w:tblPr>
        <w:tblStyle w:val="Table"/>
        <w:tblW w:type="pct" w:w="5000"/>
        <w:tblLook w:firstRow="1" w:lastRow="0" w:firstColumn="0" w:lastColumn="0" w:noHBand="0" w:noVBand="0" w:val="0020"/>
        <w:jc w:val="start"/>
      </w:tblPr>
      <w:tblGrid>
        <w:gridCol w:w="1440"/>
        <w:gridCol w:w="2160"/>
        <w:gridCol w:w="2160"/>
        <w:gridCol w:w="2160"/>
      </w:tblGrid>
      <w:tr>
        <w:trPr>
          <w:tblHeader w:val="true"/>
        </w:trPr>
        <w:tc>
          <w:tcPr/>
          <w:p>
            <w:pPr>
              <w:pStyle w:val="Compact"/>
              <w:jc w:val="left"/>
            </w:pPr>
            <w:r>
              <w:t xml:space="preserve">角色</w:t>
            </w:r>
          </w:p>
        </w:tc>
        <w:tc>
          <w:tcPr/>
          <w:p>
            <w:pPr>
              <w:pStyle w:val="Compact"/>
              <w:jc w:val="left"/>
            </w:pPr>
            <w:r>
              <w:t xml:space="preserve">核心价值</w:t>
            </w:r>
          </w:p>
        </w:tc>
        <w:tc>
          <w:tcPr/>
          <w:p>
            <w:pPr>
              <w:pStyle w:val="Compact"/>
              <w:jc w:val="left"/>
            </w:pPr>
            <w:r>
              <w:t xml:space="preserve">当前状态</w:t>
            </w:r>
          </w:p>
        </w:tc>
        <w:tc>
          <w:tcPr/>
          <w:p>
            <w:pPr>
              <w:pStyle w:val="Compact"/>
              <w:jc w:val="left"/>
            </w:pPr>
            <w:r>
              <w:t xml:space="preserve">发展方向</w:t>
            </w:r>
          </w:p>
        </w:tc>
      </w:tr>
      <w:tr>
        <w:tc>
          <w:tcPr/>
          <w:p>
            <w:pPr>
              <w:pStyle w:val="Compact"/>
              <w:jc w:val="left"/>
            </w:pPr>
            <w:r>
              <w:t xml:space="preserve">流域管理机构</w:t>
            </w:r>
          </w:p>
        </w:tc>
        <w:tc>
          <w:tcPr/>
          <w:p>
            <w:pPr>
              <w:pStyle w:val="Compact"/>
              <w:jc w:val="left"/>
            </w:pPr>
            <w:r>
              <w:t xml:space="preserve">需求定义+应用验证</w:t>
            </w:r>
          </w:p>
        </w:tc>
        <w:tc>
          <w:tcPr/>
          <w:p>
            <w:pPr>
              <w:pStyle w:val="Compact"/>
              <w:jc w:val="left"/>
            </w:pPr>
            <w:r>
              <w:t xml:space="preserve">最终用户，被动接受技术</w:t>
            </w:r>
          </w:p>
        </w:tc>
        <w:tc>
          <w:tcPr/>
          <w:p>
            <w:pPr>
              <w:pStyle w:val="Compact"/>
              <w:jc w:val="left"/>
            </w:pPr>
            <w:r>
              <w:t xml:space="preserve">主动参与ODD定义和WNAL评估</w:t>
            </w:r>
          </w:p>
        </w:tc>
      </w:tr>
      <w:tr>
        <w:tc>
          <w:tcPr/>
          <w:p>
            <w:pPr>
              <w:pStyle w:val="Compact"/>
              <w:jc w:val="left"/>
            </w:pPr>
            <w:r>
              <w:t xml:space="preserve">设计院</w:t>
            </w:r>
          </w:p>
        </w:tc>
        <w:tc>
          <w:tcPr/>
          <w:p>
            <w:pPr>
              <w:pStyle w:val="Compact"/>
              <w:jc w:val="left"/>
            </w:pPr>
            <w:r>
              <w:t xml:space="preserve">工程设计+系统集成</w:t>
            </w:r>
          </w:p>
        </w:tc>
        <w:tc>
          <w:tcPr/>
          <w:p>
            <w:pPr>
              <w:pStyle w:val="Compact"/>
              <w:jc w:val="left"/>
            </w:pPr>
            <w:r>
              <w:t xml:space="preserve">传统水利设计为主</w:t>
            </w:r>
          </w:p>
        </w:tc>
        <w:tc>
          <w:tcPr/>
          <w:p>
            <w:pPr>
              <w:pStyle w:val="Compact"/>
              <w:jc w:val="left"/>
            </w:pPr>
            <w:r>
              <w:t xml:space="preserve">增加CHS控制设计能力</w:t>
            </w:r>
          </w:p>
        </w:tc>
      </w:tr>
      <w:tr>
        <w:tc>
          <w:tcPr/>
          <w:p>
            <w:pPr>
              <w:pStyle w:val="Compact"/>
              <w:jc w:val="left"/>
            </w:pPr>
            <w:r>
              <w:t xml:space="preserve">设备制造商</w:t>
            </w:r>
          </w:p>
        </w:tc>
        <w:tc>
          <w:tcPr/>
          <w:p>
            <w:pPr>
              <w:pStyle w:val="Compact"/>
              <w:jc w:val="left"/>
            </w:pPr>
            <w:r>
              <w:t xml:space="preserve">硬件供给（传感器/执行器）</w:t>
            </w:r>
          </w:p>
        </w:tc>
        <w:tc>
          <w:tcPr/>
          <w:p>
            <w:pPr>
              <w:pStyle w:val="Compact"/>
              <w:jc w:val="left"/>
            </w:pPr>
            <w:r>
              <w:t xml:space="preserve">单品供应</w:t>
            </w:r>
          </w:p>
        </w:tc>
        <w:tc>
          <w:tcPr/>
          <w:p>
            <w:pPr>
              <w:pStyle w:val="Compact"/>
              <w:jc w:val="left"/>
            </w:pPr>
            <w:r>
              <w:t xml:space="preserve">提供CHS兼容的智能设备</w:t>
            </w:r>
          </w:p>
        </w:tc>
      </w:tr>
      <w:tr>
        <w:tc>
          <w:tcPr/>
          <w:p>
            <w:pPr>
              <w:pStyle w:val="Compact"/>
              <w:jc w:val="left"/>
            </w:pPr>
            <w:r>
              <w:t xml:space="preserve">软件开发商</w:t>
            </w:r>
          </w:p>
        </w:tc>
        <w:tc>
          <w:tcPr/>
          <w:p>
            <w:pPr>
              <w:pStyle w:val="Compact"/>
              <w:jc w:val="left"/>
            </w:pPr>
            <w:r>
              <w:t xml:space="preserve">平台建设+算法服务</w:t>
            </w:r>
          </w:p>
        </w:tc>
        <w:tc>
          <w:tcPr/>
          <w:p>
            <w:pPr>
              <w:pStyle w:val="Compact"/>
              <w:jc w:val="left"/>
            </w:pPr>
            <w:r>
              <w:t xml:space="preserve">碎片化的项目定制</w:t>
            </w:r>
          </w:p>
        </w:tc>
        <w:tc>
          <w:tcPr/>
          <w:p>
            <w:pPr>
              <w:pStyle w:val="Compact"/>
              <w:jc w:val="left"/>
            </w:pPr>
            <w:r>
              <w:t xml:space="preserve">标准化的HydroOS平台产品</w:t>
            </w:r>
          </w:p>
        </w:tc>
      </w:tr>
      <w:tr>
        <w:tc>
          <w:tcPr/>
          <w:p>
            <w:pPr>
              <w:pStyle w:val="Compact"/>
              <w:jc w:val="left"/>
            </w:pPr>
            <w:r>
              <w:t xml:space="preserve">高校/研究机构</w:t>
            </w:r>
          </w:p>
        </w:tc>
        <w:tc>
          <w:tcPr/>
          <w:p>
            <w:pPr>
              <w:pStyle w:val="Compact"/>
              <w:jc w:val="left"/>
            </w:pPr>
            <w:r>
              <w:t xml:space="preserve">知识生产+人才培养</w:t>
            </w:r>
          </w:p>
        </w:tc>
        <w:tc>
          <w:tcPr/>
          <w:p>
            <w:pPr>
              <w:pStyle w:val="Compact"/>
              <w:jc w:val="left"/>
            </w:pPr>
            <w:r>
              <w:t xml:space="preserve">各自为政</w:t>
            </w:r>
          </w:p>
        </w:tc>
        <w:tc>
          <w:tcPr/>
          <w:p>
            <w:pPr>
              <w:pStyle w:val="Compact"/>
              <w:jc w:val="left"/>
            </w:pPr>
            <w:r>
              <w:t xml:space="preserve">共享平台+联合培养</w:t>
            </w:r>
          </w:p>
        </w:tc>
      </w:tr>
      <w:tr>
        <w:tc>
          <w:tcPr/>
          <w:p>
            <w:pPr>
              <w:pStyle w:val="Compact"/>
              <w:jc w:val="left"/>
            </w:pPr>
            <w:r>
              <w:t xml:space="preserve">标准化组织</w:t>
            </w:r>
          </w:p>
        </w:tc>
        <w:tc>
          <w:tcPr/>
          <w:p>
            <w:pPr>
              <w:pStyle w:val="Compact"/>
              <w:jc w:val="left"/>
            </w:pPr>
            <w:r>
              <w:t xml:space="preserve">规则制定+质量保障</w:t>
            </w:r>
          </w:p>
        </w:tc>
        <w:tc>
          <w:tcPr/>
          <w:p>
            <w:pPr>
              <w:pStyle w:val="Compact"/>
              <w:jc w:val="left"/>
            </w:pPr>
            <w:r>
              <w:t xml:space="preserve">水利标准与控制标准分离</w:t>
            </w:r>
          </w:p>
        </w:tc>
        <w:tc>
          <w:tcPr/>
          <w:p>
            <w:pPr>
              <w:pStyle w:val="Compact"/>
              <w:jc w:val="left"/>
            </w:pPr>
            <w:r>
              <w:t xml:space="preserve">融合性的CHS标准体系</w:t>
            </w:r>
          </w:p>
        </w:tc>
      </w:tr>
    </w:tbl>
    <w:bookmarkEnd w:id="29"/>
    <w:bookmarkStart w:id="30" w:name="中小型工程的普惠路径"/>
    <w:p>
      <w:pPr>
        <w:pStyle w:val="Heading3"/>
      </w:pPr>
      <w:r>
        <w:t xml:space="preserve">8.3.3 中小型工程的普惠路径</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给水利工程师的速览：中小型工程也能智能化吗？</w:t>
            </w:r>
          </w:p>
        </w:tc>
      </w:tr>
      <w:tr>
        <w:tc>
          <w:tcPr/>
          <w:p>
            <w:pPr>
              <w:pStyle w:val="Compact"/>
              <w:jc w:val="left"/>
            </w:pPr>
            <w:r>
              <w:t xml:space="preserve">CHS框架的设计不仅面向胶东调水、南水北调这样的大型工程。对于50 km以下的中小型灌区、单座水电站或城市泵站群，CHS同样适用——只是实现方式不同。大型工程可能需要定制化的MPC和全套HydroOS，中小型工程更适合”轻量级CHS”：标准化的PID/前馈控制+简化的ODD定义+基本的审计日志。关键是WNAL分级框架对所有规模的工程都适用——即使是L1到L2的跃迁，对中小型工程的安全性和效率也有显著提升。</w:t>
            </w:r>
          </w:p>
        </w:tc>
      </w:tr>
    </w:tbl>
    <w:p>
      <w:pPr>
        <w:pStyle w:val="FirstParagraph"/>
      </w:pPr>
      <w:r>
        <w:t xml:space="preserve">中小型工程（50 km以下的灌渠、50 MW以下的水电站、日供水量10万吨以下的城市供水系统）占全国水利工程总量的95%以上，但智能化程度普遍停留在L0—L1。中小型工程的智能化不是”大型工程方案的缩小版”，而需要一套全新的技术路线——就像农村医疗不是把三甲医院搬到村里，而是建立适合基层的医疗服务体系。</w:t>
      </w:r>
    </w:p>
    <w:p>
      <w:pPr>
        <w:pStyle w:val="BodyText"/>
      </w:pPr>
      <w:r>
        <w:t xml:space="preserve">对这些工程而言，CHS技术落地的主要障碍不是技术本身，而是成本和人才。</w:t>
      </w:r>
    </w:p>
    <w:p>
      <w:pPr>
        <w:pStyle w:val="BodyText"/>
      </w:pPr>
      <w:r>
        <w:t xml:space="preserve">解决路径包括三个方向。第一，</w:t>
      </w:r>
      <w:r>
        <w:rPr>
          <w:bCs/>
          <w:b/>
        </w:rPr>
        <w:t xml:space="preserve">云化部署</w:t>
      </w:r>
      <w:r>
        <w:t xml:space="preserve">——将HydroOS的核心功能以云服务的形式提供，中小型工程无需自建服务器和专业运维团队，通过订阅即可接入MPC计算和ODD管理功能。第二，</w:t>
      </w:r>
      <w:r>
        <w:rPr>
          <w:bCs/>
          <w:b/>
        </w:rPr>
        <w:t xml:space="preserve">标准化模板</w:t>
      </w:r>
      <w:r>
        <w:t xml:space="preserve">——为常见的工程类型提供”开箱即用”的配置模板，工程师只需填写基本参数即可生成控制方案和ODD文档。第三，</w:t>
      </w:r>
      <w:r>
        <w:rPr>
          <w:bCs/>
          <w:b/>
        </w:rPr>
        <w:t xml:space="preserve">远程运维</w:t>
      </w:r>
      <w:r>
        <w:t xml:space="preserve">——建立区域性的CHS运维中心，为辖区内的中小型工程提供集中的模型校正、在环测试和故障诊断服务 [8-10]。</w:t>
      </w:r>
    </w:p>
    <w:p>
      <w:pPr>
        <w:pStyle w:val="BodyText"/>
      </w:pPr>
      <w:r>
        <w:t xml:space="preserve">产业生态回答了”谁来做”的问题，但”怎么做不出事”同样重要。</w:t>
      </w:r>
    </w:p>
    <w:p>
      <w:r>
        <w:pict>
          <v:rect style="width:0;height:1.5pt" o:hralign="center" o:hrstd="t" o:hr="t"/>
        </w:pict>
      </w:r>
    </w:p>
    <w:bookmarkEnd w:id="30"/>
    <w:bookmarkEnd w:id="31"/>
    <w:bookmarkStart w:id="35" w:name="三条底线安全治理与工程"/>
    <w:p>
      <w:pPr>
        <w:pStyle w:val="Heading2"/>
      </w:pPr>
      <w:r>
        <w:t xml:space="preserve">8.4 三条底线：安全、治理与工程</w:t>
      </w:r>
    </w:p>
    <w:p>
      <w:pPr>
        <w:pStyle w:val="FirstParagraph"/>
      </w:pPr>
      <w:r>
        <w:t xml:space="preserve">技术前沿描绘了”能走多远”，三条底线定义了”不能越过什么”。在追求自主运行的道路上，底线意识比创新精神更重要——一次严重的安全事故足以让整个行业对智能化技术丧失信心，正如航空领域的每一次空难都会引发数年的技术审查和监管收紧。CHS的三条底线——安全底线（人命关天不可妥协）、治理底线（责任必须清晰可追溯）、工程底线（验证必须充分才能上线）——不是”保守”，而是”负责任的创新”的前提。它们贯穿了本书从第三章原理到第六章实践的全部内容，本节将其凝练为可操作的行为准则，每条底线都配有具体的工程落地机制——不只是”原则上要安全”，而是”安全包络的红区边界必须硬编码、四态机降级必须自动触发、审计链记录必须不可篡改”。</w:t>
      </w:r>
    </w:p>
    <w:bookmarkStart w:id="32" w:name="安全底线"/>
    <w:p>
      <w:pPr>
        <w:pStyle w:val="Heading3"/>
      </w:pPr>
      <w:r>
        <w:t xml:space="preserve">8.4.1 安全底线</w:t>
      </w:r>
    </w:p>
    <w:p>
      <w:pPr>
        <w:pStyle w:val="FirstParagraph"/>
      </w:pPr>
      <w:r>
        <w:rPr>
          <w:bCs/>
          <w:b/>
        </w:rPr>
        <w:t xml:space="preserve">安全包络先于性能最优——任何优化不得越过安全红线。</w:t>
      </w:r>
    </w:p>
    <w:p>
      <w:pPr>
        <w:pStyle w:val="BodyText"/>
      </w:pPr>
      <w:r>
        <w:t xml:space="preserve">这条底线看似显而易见，但在工程实践中经常被违反。第六章的失败案例已经证明：当控制系统追求”更高的水位控制精度”或”更低的泵站能耗”时，如果没有安全包络的硬约束，优化算法可能将系统推向不安全的运行状态。</w:t>
      </w:r>
    </w:p>
    <w:p>
      <w:pPr>
        <w:pStyle w:val="BodyText"/>
      </w:pPr>
      <w:r>
        <w:t xml:space="preserve">安全底线违反的后果是什么？以水库为例：安全包络被突破可能导致超蓄泄洪，影响下游数十万居民；以供水系统为例：安全约束被忽视可能导致水质污染事故——2014年兰州自来水苯超标事件影响240万人供水。这些都是不可逆的、涉及公共安全的严重后果，与工业控制中的经济损失有本质区别。因此，安全底线的工程落地需要三层保障。第一层，</w:t>
      </w:r>
      <w:r>
        <w:rPr>
          <w:bCs/>
          <w:b/>
        </w:rPr>
        <w:t xml:space="preserve">安全包络的刚性定义</w:t>
      </w:r>
      <w:r>
        <w:t xml:space="preserve">——红区边界不可动态调整，不可被任何级别的控制策略覆盖，不可被任何人（包括系统管理员）临时取消。第二层，</w:t>
      </w:r>
      <w:r>
        <w:rPr>
          <w:bCs/>
          <w:b/>
        </w:rPr>
        <w:t xml:space="preserve">四态机的自动降级</w:t>
      </w:r>
      <w:r>
        <w:t xml:space="preserve">——当系统检测到安全包络边界趋近时，不等人工干预就自动降级到更保守的控制模式。第三层，</w:t>
      </w:r>
      <w:r>
        <w:rPr>
          <w:bCs/>
          <w:b/>
        </w:rPr>
        <w:t xml:space="preserve">审计链的事后追溯</w:t>
      </w:r>
      <w:r>
        <w:t xml:space="preserve">——每一次安全包络触发和四态机降级都有完整记录，支持事后分析和责任认定。</w:t>
      </w:r>
    </w:p>
    <w:bookmarkEnd w:id="32"/>
    <w:bookmarkStart w:id="33" w:name="治理底线"/>
    <w:p>
      <w:pPr>
        <w:pStyle w:val="Heading3"/>
      </w:pPr>
      <w:r>
        <w:t xml:space="preserve">8.4.2 治理底线</w:t>
      </w:r>
    </w:p>
    <w:p>
      <w:pPr>
        <w:pStyle w:val="FirstParagraph"/>
      </w:pPr>
      <w:r>
        <w:rPr>
          <w:bCs/>
          <w:b/>
        </w:rPr>
        <w:t xml:space="preserve">人机职责清晰、接管规则透明、审计链完整。</w:t>
      </w:r>
    </w:p>
    <w:p>
      <w:pPr>
        <w:pStyle w:val="BodyText"/>
      </w:pPr>
      <w:r>
        <w:t xml:space="preserve">WNAL等级越高，人机交互越少。但”交互越少”不意味着”责任越不清楚”——恰恰相反，自主程度越高，责任划分就越需要精确。当一个L3系统在ODD范围内自主做出了一个导致水位偏差的决策时，谁负责？是设计系统的算法工程师、是定义ODD的项目经理、还是监督系统运行的值班调度员？</w:t>
      </w:r>
    </w:p>
    <w:p>
      <w:pPr>
        <w:pStyle w:val="BodyText"/>
      </w:pPr>
      <w:r>
        <w:t xml:space="preserve">CHS框架对这个问题的回答是：</w:t>
      </w:r>
      <w:r>
        <w:rPr>
          <w:bCs/>
          <w:b/>
        </w:rPr>
        <w:t xml:space="preserve">责任跟着决策权走</w:t>
      </w:r>
      <w:r>
        <w:t xml:space="preserve">。在ODD范围内的自主决策，责任在于ODD的定义者和系统的验证者（他们保证系统在ODD范围内的决策是安全的）。在ODD之外的接管决策，责任在于执行接管的调度员。四态机和审计链的设计目的之一，就是确保”在任何时刻都能明确回答’谁在做决策’</w:t>
      </w:r>
      <w:r>
        <w:t xml:space="preserve">“</w:t>
      </w:r>
      <w:r>
        <w:t xml:space="preserve">这个问题 [8-11]。具体的责任划分可以按WNAL等级细化：L0—L1阶段，所有决策由人工做出，责任完全在操作员和其管理链；L2—L3阶段，ODD内的自动决策由系统执行，责任在于ODD的定义者（保证ODD的完备性）和系统的验证者（保证系统在ODD内行为正确），ODD外的人工接管决策由接管者负责；L4—L5阶段，系统具备更广泛的自主决策权，需要引入</w:t>
      </w:r>
      <w:r>
        <w:t xml:space="preserve">”</w:t>
      </w:r>
      <w:r>
        <w:t xml:space="preserve">设计责任”——系统设计方对系统在整个生命周期内的安全性承担持续责任，类似于汽车制造商的产品责任。这种分层责任框架的建立是L4/L5工程化的前提条件。</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给水利工程师的速览：自动驾驶的责任争议对CHS有什么启示？</w:t>
            </w:r>
          </w:p>
        </w:tc>
      </w:tr>
      <w:tr>
        <w:tc>
          <w:tcPr/>
          <w:p>
            <w:pPr>
              <w:pStyle w:val="Compact"/>
              <w:jc w:val="left"/>
            </w:pPr>
            <w:r>
              <w:t xml:space="preserve">自动驾驶行业在”谁对事故负责”这个问题上已经争论了十年。特斯拉的Autopilot、Waymo的全自动驾驶在多起事故中引发了复杂的法律纠纷——驾驶员、车企和软件开发商各执一词。CHS可以从中汲取的教训是：</w:t>
            </w:r>
            <w:r>
              <w:rPr>
                <w:bCs/>
                <w:b/>
              </w:rPr>
              <w:t xml:space="preserve">在技术部署之前就解决责任划分问题，而不是等到事故发生后再争论</w:t>
            </w:r>
            <w:r>
              <w:t xml:space="preserve">。WNAL的每个等级都应该有明确的责任矩阵——这不是法律问题，而是工程设计问题。</w:t>
            </w:r>
          </w:p>
        </w:tc>
      </w:tr>
    </w:tbl>
    <w:bookmarkEnd w:id="33"/>
    <w:bookmarkStart w:id="34" w:name="工程底线"/>
    <w:p>
      <w:pPr>
        <w:pStyle w:val="Heading3"/>
      </w:pPr>
      <w:r>
        <w:t xml:space="preserve">8.4.3 工程底线</w:t>
      </w:r>
    </w:p>
    <w:p>
      <w:pPr>
        <w:pStyle w:val="FirstParagraph"/>
      </w:pPr>
      <w:r>
        <w:rPr>
          <w:bCs/>
          <w:b/>
        </w:rPr>
        <w:t xml:space="preserve">先可控可观，再高级智能；先灰度验证，再规模推广。</w:t>
      </w:r>
    </w:p>
    <w:p>
      <w:pPr>
        <w:pStyle w:val="BodyText"/>
      </w:pPr>
      <w:r>
        <w:t xml:space="preserve">这条底线是第六章四阶段实施路线图的精华浓缩。它强调两个”先后顺序”：</w:t>
      </w:r>
    </w:p>
    <w:p>
      <w:pPr>
        <w:pStyle w:val="BodyText"/>
      </w:pPr>
      <w:r>
        <w:t xml:space="preserve">第一个先后：</w:t>
      </w:r>
      <w:r>
        <w:rPr>
          <w:bCs/>
          <w:b/>
        </w:rPr>
        <w:t xml:space="preserve">先确保基础设施健全，再追求高级功能。</w:t>
      </w:r>
      <w:r>
        <w:t xml:space="preserve"> </w:t>
      </w:r>
      <w:r>
        <w:t xml:space="preserve">如果传感器覆盖率不足、执行器响应不可靠、通信链路不稳定，那么在这个基础上部署再先进的MPC或MAS都是徒劳的。</w:t>
      </w:r>
      <w:r>
        <w:t xml:space="preserve">“</w:t>
      </w:r>
      <w:r>
        <w:t xml:space="preserve">上来就装MPC</w:t>
      </w:r>
      <w:r>
        <w:t xml:space="preserve">”</w:t>
      </w:r>
      <w:r>
        <w:t xml:space="preserve">是最常见的工程错误，第六章的失败模式一（ODD缺失）和失败模式二（验证不足）本质上都源于这个错误。</w:t>
      </w:r>
    </w:p>
    <w:p>
      <w:pPr>
        <w:pStyle w:val="BodyText"/>
      </w:pPr>
      <w:r>
        <w:t xml:space="preserve">第二个先后：</w:t>
      </w:r>
      <w:r>
        <w:rPr>
          <w:bCs/>
          <w:b/>
        </w:rPr>
        <w:t xml:space="preserve">先在局部验证，再向全局推广。</w:t>
      </w:r>
      <w:r>
        <w:t xml:space="preserve"> </w:t>
      </w:r>
      <w:r>
        <w:t xml:space="preserve">灰度上线（Canary Deployment）不是”胆小”，而是”聪明”——在1—2个渠段或机组上先跑三个月，暴露所有模型与现实之间的差距，修复后再推广到全线。这比”一步到位全线上线然后修bug”的成本低两个数量级。</w:t>
      </w:r>
    </w:p>
    <w:p>
      <w:pPr>
        <w:pStyle w:val="BodyText"/>
      </w:pPr>
      <w:r>
        <w:t xml:space="preserve">三条底线共同定义了”负责任的技术创新”的边界。接下来，针对不同的读者群体给出差异化的行动建议。</w:t>
      </w:r>
    </w:p>
    <w:p>
      <w:r>
        <w:pict>
          <v:rect style="width:0;height:1.5pt" o:hralign="center" o:hrstd="t" o:hr="t"/>
        </w:pict>
      </w:r>
    </w:p>
    <w:bookmarkEnd w:id="34"/>
    <w:bookmarkEnd w:id="35"/>
    <w:bookmarkStart w:id="40" w:name="行业实施建议"/>
    <w:p>
      <w:pPr>
        <w:pStyle w:val="Heading2"/>
      </w:pPr>
      <w:r>
        <w:t xml:space="preserve">8.5 行业实施建议</w:t>
      </w:r>
    </w:p>
    <w:p>
      <w:pPr>
        <w:pStyle w:val="FirstParagraph"/>
      </w:pPr>
      <w:r>
        <w:t xml:space="preserve">前面四节从全书回顾、技术前沿、产业生态和底线原则四个维度勾勒了CHS的发展蓝图。但对于不同角色的读者，</w:t>
      </w:r>
      <w:r>
        <w:t xml:space="preserve">“</w:t>
      </w:r>
      <w:r>
        <w:t xml:space="preserve">明天该做什么</w:t>
      </w:r>
      <w:r>
        <w:t xml:space="preserve">”</w:t>
      </w:r>
      <w:r>
        <w:t xml:space="preserve">的答案是不同的——管理者需要知道”先投资什么”，调度团队需要知道”先练什么”，技术团队需要知道”上线门槛在哪”，高校需要知道”课该怎么改”。本节针对这四类读者给出差异化的行动建议——像医生开处方一样，对症下药，而不是给所有人开同样的”综合维生素”。每类建议都锚定在本书具体章节的内容上，读者可以按图索骥、深入阅读相关章节。每类建议的篇幅控制在一页以内，方便打印、分发给团队中对应角色的同事——这也是本节的设计初衷：不是”给所有人看的总结”，而是”可直接分发给特定岗位角色的行动指南”。</w:t>
      </w:r>
    </w:p>
    <w:bookmarkStart w:id="36" w:name="给管理决策者的建议"/>
    <w:p>
      <w:pPr>
        <w:pStyle w:val="Heading3"/>
      </w:pPr>
      <w:r>
        <w:t xml:space="preserve">8.5.1 给管理决策者的建议</w:t>
      </w:r>
    </w:p>
    <w:p>
      <w:pPr>
        <w:pStyle w:val="FirstParagraph"/>
      </w:pPr>
      <w:r>
        <w:t xml:space="preserve">管理者面临的核心挑战不是”要不要做CHS”（趋势已不可逆），而是”如何做才能避免浪费”。过去十年，国内水利智能化建设的最大教训就是”重采购、轻运营”——花了大钱买系统，验收后无人维护，三年变摆设（参见第六章§6.6的失败案例统计）。以下行动清单按优先级排序——前两项是”诊断”（知道我们在哪里），后三项是”治疗”（走向我们要去的地方）。核心原则是”先诊断后治疗、先组织后技术”。</w:t>
      </w:r>
    </w:p>
    <w:p>
      <w:pPr>
        <w:pStyle w:val="BodyText"/>
      </w:pPr>
      <w:r>
        <w:t xml:space="preserve">表8-4 管理决策者行动清单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优先级</w:t>
            </w:r>
          </w:p>
        </w:tc>
        <w:tc>
          <w:tcPr/>
          <w:p>
            <w:pPr>
              <w:pStyle w:val="Compact"/>
              <w:jc w:val="left"/>
            </w:pPr>
            <w:r>
              <w:t xml:space="preserve">行动项</w:t>
            </w:r>
          </w:p>
        </w:tc>
        <w:tc>
          <w:tcPr/>
          <w:p>
            <w:pPr>
              <w:pStyle w:val="Compact"/>
              <w:jc w:val="left"/>
            </w:pPr>
            <w:r>
              <w:t xml:space="preserve">预期产出</w:t>
            </w:r>
          </w:p>
        </w:tc>
        <w:tc>
          <w:tcPr/>
          <w:p>
            <w:pPr>
              <w:pStyle w:val="Compact"/>
              <w:jc w:val="left"/>
            </w:pPr>
            <w:r>
              <w:t xml:space="preserve">时间框架</w:t>
            </w:r>
          </w:p>
        </w:tc>
      </w:tr>
      <w:tr>
        <w:tc>
          <w:tcPr/>
          <w:p>
            <w:pPr>
              <w:pStyle w:val="Compact"/>
              <w:jc w:val="left"/>
            </w:pPr>
            <w:r>
              <w:t xml:space="preserve">1</w:t>
            </w:r>
          </w:p>
        </w:tc>
        <w:tc>
          <w:tcPr/>
          <w:p>
            <w:pPr>
              <w:pStyle w:val="Compact"/>
              <w:jc w:val="left"/>
            </w:pPr>
            <w:r>
              <w:t xml:space="preserve">组织全员CHS概念培训</w:t>
            </w:r>
          </w:p>
        </w:tc>
        <w:tc>
          <w:tcPr/>
          <w:p>
            <w:pPr>
              <w:pStyle w:val="Compact"/>
              <w:jc w:val="left"/>
            </w:pPr>
            <w:r>
              <w:t xml:space="preserve">统一语言、消除认知差异</w:t>
            </w:r>
          </w:p>
        </w:tc>
        <w:tc>
          <w:tcPr/>
          <w:p>
            <w:pPr>
              <w:pStyle w:val="Compact"/>
              <w:jc w:val="left"/>
            </w:pPr>
            <w:r>
              <w:t xml:space="preserve">1—2个月</w:t>
            </w:r>
          </w:p>
        </w:tc>
      </w:tr>
      <w:tr>
        <w:tc>
          <w:tcPr/>
          <w:p>
            <w:pPr>
              <w:pStyle w:val="Compact"/>
              <w:jc w:val="left"/>
            </w:pPr>
            <w:r>
              <w:t xml:space="preserve">2</w:t>
            </w:r>
          </w:p>
        </w:tc>
        <w:tc>
          <w:tcPr/>
          <w:p>
            <w:pPr>
              <w:pStyle w:val="Compact"/>
              <w:jc w:val="left"/>
            </w:pPr>
            <w:r>
              <w:t xml:space="preserve">完成现有工程的WNAL等级评估</w:t>
            </w:r>
          </w:p>
        </w:tc>
        <w:tc>
          <w:tcPr/>
          <w:p>
            <w:pPr>
              <w:pStyle w:val="Compact"/>
              <w:jc w:val="left"/>
            </w:pPr>
            <w:r>
              <w:t xml:space="preserve">知道”我们在哪里”</w:t>
            </w:r>
          </w:p>
        </w:tc>
        <w:tc>
          <w:tcPr/>
          <w:p>
            <w:pPr>
              <w:pStyle w:val="Compact"/>
              <w:jc w:val="left"/>
            </w:pPr>
            <w:r>
              <w:t xml:space="preserve">2—3个月</w:t>
            </w:r>
          </w:p>
        </w:tc>
      </w:tr>
      <w:tr>
        <w:tc>
          <w:tcPr/>
          <w:p>
            <w:pPr>
              <w:pStyle w:val="Compact"/>
              <w:jc w:val="left"/>
            </w:pPr>
            <w:r>
              <w:t xml:space="preserve">3</w:t>
            </w:r>
          </w:p>
        </w:tc>
        <w:tc>
          <w:tcPr/>
          <w:p>
            <w:pPr>
              <w:pStyle w:val="Compact"/>
              <w:jc w:val="left"/>
            </w:pPr>
            <w:r>
              <w:t xml:space="preserve">制定WNAL目标等级和时间表</w:t>
            </w:r>
          </w:p>
        </w:tc>
        <w:tc>
          <w:tcPr/>
          <w:p>
            <w:pPr>
              <w:pStyle w:val="Compact"/>
              <w:jc w:val="left"/>
            </w:pPr>
            <w:r>
              <w:t xml:space="preserve">知道”我们要去哪里”</w:t>
            </w:r>
          </w:p>
        </w:tc>
        <w:tc>
          <w:tcPr/>
          <w:p>
            <w:pPr>
              <w:pStyle w:val="Compact"/>
              <w:jc w:val="left"/>
            </w:pPr>
            <w:r>
              <w:t xml:space="preserve">3—6个月</w:t>
            </w:r>
          </w:p>
        </w:tc>
      </w:tr>
      <w:tr>
        <w:tc>
          <w:tcPr/>
          <w:p>
            <w:pPr>
              <w:pStyle w:val="Compact"/>
              <w:jc w:val="left"/>
            </w:pPr>
            <w:r>
              <w:t xml:space="preserve">4</w:t>
            </w:r>
          </w:p>
        </w:tc>
        <w:tc>
          <w:tcPr/>
          <w:p>
            <w:pPr>
              <w:pStyle w:val="Compact"/>
              <w:jc w:val="left"/>
            </w:pPr>
            <w:r>
              <w:t xml:space="preserve">建立ODD和审计链的制度框架</w:t>
            </w:r>
          </w:p>
        </w:tc>
        <w:tc>
          <w:tcPr/>
          <w:p>
            <w:pPr>
              <w:pStyle w:val="Compact"/>
              <w:jc w:val="left"/>
            </w:pPr>
            <w:r>
              <w:t xml:space="preserve">安全和治理的制度保障</w:t>
            </w:r>
          </w:p>
        </w:tc>
        <w:tc>
          <w:tcPr/>
          <w:p>
            <w:pPr>
              <w:pStyle w:val="Compact"/>
              <w:jc w:val="left"/>
            </w:pPr>
            <w:r>
              <w:t xml:space="preserve">6—12个月</w:t>
            </w:r>
          </w:p>
        </w:tc>
      </w:tr>
      <w:tr>
        <w:tc>
          <w:tcPr/>
          <w:p>
            <w:pPr>
              <w:pStyle w:val="Compact"/>
              <w:jc w:val="left"/>
            </w:pPr>
            <w:r>
              <w:t xml:space="preserve">5</w:t>
            </w:r>
          </w:p>
        </w:tc>
        <w:tc>
          <w:tcPr/>
          <w:p>
            <w:pPr>
              <w:pStyle w:val="Compact"/>
              <w:jc w:val="left"/>
            </w:pPr>
            <w:r>
              <w:t xml:space="preserve">推动产学研合作建设实践平台</w:t>
            </w:r>
          </w:p>
        </w:tc>
        <w:tc>
          <w:tcPr/>
          <w:p>
            <w:pPr>
              <w:pStyle w:val="Compact"/>
              <w:jc w:val="left"/>
            </w:pPr>
            <w:r>
              <w:t xml:space="preserve">长期能力建设的基础</w:t>
            </w:r>
          </w:p>
        </w:tc>
        <w:tc>
          <w:tcPr/>
          <w:p>
            <w:pPr>
              <w:pStyle w:val="Compact"/>
              <w:jc w:val="left"/>
            </w:pPr>
            <w:r>
              <w:t xml:space="preserve">12—24个月</w:t>
            </w:r>
          </w:p>
        </w:tc>
      </w:tr>
    </w:tbl>
    <w:p>
      <w:pPr>
        <w:pStyle w:val="BodyText"/>
      </w:pPr>
      <w:r>
        <w:t xml:space="preserve">管理者最需要理解的一点是：</w:t>
      </w:r>
      <w:r>
        <w:rPr>
          <w:bCs/>
          <w:b/>
        </w:rPr>
        <w:t xml:space="preserve">CHS不是一次性的技术采购，而是持续的能力建设。</w:t>
      </w:r>
      <w:r>
        <w:t xml:space="preserve"> </w:t>
      </w:r>
      <w:r>
        <w:t xml:space="preserve">购买一套MPC系统只需要预算审批，但让这套系统持续有效地运行十年需要人才培养、制度建设和组织变革——后者的投入远大于前者，但也是投资回报率最高的部分。</w:t>
      </w:r>
    </w:p>
    <w:bookmarkEnd w:id="36"/>
    <w:bookmarkStart w:id="37" w:name="给调度运行团队的建议"/>
    <w:p>
      <w:pPr>
        <w:pStyle w:val="Heading3"/>
      </w:pPr>
      <w:r>
        <w:t xml:space="preserve">8.5.2 给调度运行团队的建议</w:t>
      </w:r>
    </w:p>
    <w:p>
      <w:pPr>
        <w:pStyle w:val="FirstParagraph"/>
      </w:pPr>
      <w:r>
        <w:t xml:space="preserve">调度团队是CHS技术的”最终用户”，其接受程度直接决定技术的落地效果。</w:t>
      </w:r>
    </w:p>
    <w:p>
      <w:pPr>
        <w:pStyle w:val="BodyText"/>
      </w:pPr>
      <w:r>
        <w:rPr>
          <w:bCs/>
          <w:b/>
        </w:rPr>
        <w:t xml:space="preserve">先做异常工况演练，再追求复杂优化。</w:t>
      </w:r>
      <w:r>
        <w:t xml:space="preserve"> </w:t>
      </w:r>
      <w:r>
        <w:t xml:space="preserve">调度团队最有价值的实践不是”学会按MPC的按钮”，而是”在MPC失效时知道怎么办”。建议每季度至少进行一次未预告的异常场景演练，覆盖四态机降级、手动接管和安全恢复的全流程。</w:t>
      </w:r>
    </w:p>
    <w:p>
      <w:pPr>
        <w:pStyle w:val="BodyText"/>
      </w:pPr>
      <w:r>
        <w:rPr>
          <w:bCs/>
          <w:b/>
        </w:rPr>
        <w:t xml:space="preserve">建立”运行日志”文化。</w:t>
      </w:r>
      <w:r>
        <w:t xml:space="preserve"> </w:t>
      </w:r>
      <w:r>
        <w:t xml:space="preserve">每一次非常规操作（如手动覆盖MPC建议、触发四态机降级、ODD边界事件）都应详细记录原因、过程和结果。这些记录不仅是审计链的一部分，更是模型校正和系统改进的宝贵数据来源。</w:t>
      </w:r>
    </w:p>
    <w:p>
      <w:pPr>
        <w:pStyle w:val="BodyText"/>
      </w:pPr>
      <w:r>
        <w:rPr>
          <w:bCs/>
          <w:b/>
        </w:rPr>
        <w:t xml:space="preserve">从”被动接受”到”主动参与”。</w:t>
      </w:r>
      <w:r>
        <w:t xml:space="preserve"> </w:t>
      </w:r>
      <w:r>
        <w:t xml:space="preserve">调度团队不应该是CHS技术的被动接受者。具有丰富运行经验的调度员，在ODD定义、安全包络设计和异常场景库建设中有不可替代的价值——他们知道”什么工况最危险”</w:t>
      </w:r>
      <w:r>
        <w:t xml:space="preserve">“</w:t>
      </w:r>
      <w:r>
        <w:t xml:space="preserve">什么操作最容易出错</w:t>
      </w:r>
      <w:r>
        <w:t xml:space="preserve">”</w:t>
      </w:r>
      <w:r>
        <w:t xml:space="preserve">“</w:t>
      </w:r>
      <w:r>
        <w:t xml:space="preserve">什么信号最值得警惕</w:t>
      </w:r>
      <w:r>
        <w:t xml:space="preserve">”</w:t>
      </w:r>
      <w:r>
        <w:t xml:space="preserve">。建议在每一个CHS项目的ODD定义阶段，都邀请至少3名资深调度员参与工作坊，将他们的经验显式化为ODD的边界条件和安全包络的阈值参数。这不仅能提升ODD的质量，还能增强调度团队对系统的”拥有感”——</w:t>
      </w:r>
      <w:r>
        <w:t xml:space="preserve">“</w:t>
      </w:r>
      <w:r>
        <w:t xml:space="preserve">这套系统的安全规则有我的贡献</w:t>
      </w:r>
      <w:r>
        <w:t xml:space="preserve">”</w:t>
      </w:r>
      <w:r>
        <w:t xml:space="preserve">比”这套系统是外面公司开发的”有完全不同的信任基础”</w:t>
      </w:r>
      <w:r>
        <w:t xml:space="preserve">“</w:t>
      </w:r>
      <w:r>
        <w:t xml:space="preserve">系统在什么时候最容易出问题</w:t>
      </w:r>
      <w:r>
        <w:t xml:space="preserve">”</w:t>
      </w:r>
      <w:r>
        <w:t xml:space="preserve">。</w:t>
      </w:r>
    </w:p>
    <w:bookmarkEnd w:id="37"/>
    <w:bookmarkStart w:id="38" w:name="给技术研发团队的建议"/>
    <w:p>
      <w:pPr>
        <w:pStyle w:val="Heading3"/>
      </w:pPr>
      <w:r>
        <w:t xml:space="preserve">8.5.3 给技术研发团队的建议</w:t>
      </w:r>
    </w:p>
    <w:p>
      <w:pPr>
        <w:pStyle w:val="FirstParagraph"/>
      </w:pPr>
      <w:r>
        <w:t xml:space="preserve">技术团队是CHS的”造车人”，其工作质量直接决定系统的可靠性和可持续性。以下两条建议看似保守，但来自大量工程实践中血的教训。</w:t>
      </w:r>
    </w:p>
    <w:p>
      <w:pPr>
        <w:pStyle w:val="BodyText"/>
      </w:pPr>
      <w:r>
        <w:rPr>
          <w:bCs/>
          <w:b/>
        </w:rPr>
        <w:t xml:space="preserve">“</w:t>
      </w:r>
      <w:r>
        <w:rPr>
          <w:bCs/>
          <w:b/>
        </w:rPr>
        <w:t xml:space="preserve">可解释、可审计、可运维</w:t>
      </w:r>
      <w:r>
        <w:rPr>
          <w:bCs/>
          <w:b/>
        </w:rPr>
        <w:t xml:space="preserve">”</w:t>
      </w:r>
      <w:r>
        <w:rPr>
          <w:bCs/>
          <w:b/>
        </w:rPr>
        <w:t xml:space="preserve">是上线门槛，不是加分项。</w:t>
      </w:r>
      <w:r>
        <w:t xml:space="preserve"> </w:t>
      </w:r>
      <w:r>
        <w:t xml:space="preserve">技术团队往往倾向于追求”更先进的算法”和”更高的控制精度”，但忽视了工程化的基本要求。一个控制精度达到±2 cm但无法解释决策理由的MPC系统，在工程上不如一个精度±5 cm但每个决策都有完整解释和审计记录的系统——因为后者才能获得调度员的信任，才能在出问题时定位原因并修复 [8-12]。</w:t>
      </w:r>
    </w:p>
    <w:p>
      <w:pPr>
        <w:pStyle w:val="BodyText"/>
      </w:pPr>
      <w:r>
        <w:rPr>
          <w:bCs/>
          <w:b/>
        </w:rPr>
        <w:t xml:space="preserve">测试覆盖率比算法创新更重要。</w:t>
      </w:r>
      <w:r>
        <w:t xml:space="preserve"> </w:t>
      </w:r>
      <w:r>
        <w:t xml:space="preserve">在工程上线前，MIL/SIL/HIL三级验证的场景覆盖率（而非算法的理论性能指标）才是决定系统可靠性的关键因素。建议将测试预算设为开发预算的30%—40%（当前行业平均不足15%，这解释了为什么很多系统”实验室里跑得好、现场一用就出问题”）。NASA的航天软件开发标准要求测试成本占总开发成本的50%以上；汽车自动驾驶领域，Waymo在上路前积累了超过200亿英里的仿真测试里程 [8-13]。水利系统虽然不需要航天级的投入，但30%—40%的测试预算是保证系统可靠性的最低门槛）[8-13]。</w:t>
      </w:r>
    </w:p>
    <w:bookmarkEnd w:id="38"/>
    <w:bookmarkStart w:id="39" w:name="给高校和研究机构的建议"/>
    <w:p>
      <w:pPr>
        <w:pStyle w:val="Heading3"/>
      </w:pPr>
      <w:r>
        <w:t xml:space="preserve">8.5.4 给高校和研究机构的建议</w:t>
      </w:r>
    </w:p>
    <w:p>
      <w:pPr>
        <w:pStyle w:val="FirstParagraph"/>
      </w:pPr>
      <w:r>
        <w:t xml:space="preserve">高校是CHS人才的”育种场”，其教学和研究方向将在5—10年后决定行业的人才供给质量。以下两条建议针对CHS学科建设中最常见的两个误区。</w:t>
      </w:r>
    </w:p>
    <w:p>
      <w:pPr>
        <w:pStyle w:val="BodyText"/>
      </w:pPr>
      <w:r>
        <w:rPr>
          <w:bCs/>
          <w:b/>
        </w:rPr>
        <w:t xml:space="preserve">以真实问题牵引课程与课题。</w:t>
      </w:r>
      <w:r>
        <w:t xml:space="preserve"> </w:t>
      </w:r>
      <w:r>
        <w:t xml:space="preserve">CHS是一门实践导向的学科——脱离工程实际的纯理论研究难以产生真正的学术影响力。建议每个研究课题都有至少一个明确的工程合作方，确保研究问题来自真实需求、研究成果能在真实环境中验证。</w:t>
      </w:r>
    </w:p>
    <w:p>
      <w:pPr>
        <w:pStyle w:val="BodyText"/>
      </w:pPr>
      <w:r>
        <w:rPr>
          <w:bCs/>
          <w:b/>
        </w:rPr>
        <w:t xml:space="preserve">拥抱交叉而非回避交叉。</w:t>
      </w:r>
      <w:r>
        <w:t xml:space="preserve"> </w:t>
      </w:r>
      <w:r>
        <w:t xml:space="preserve">水利专业的教师可能对控制理论不熟悉，控制专业的教师可能对水力学不了解——这不是回避交叉的理由，而恰恰是推进交叉的动机。建议从联合授课开始——水利教师和控制教师共同讲授一门课，在教学过程中互相学习，逐步建立真正的交叉理解。具体操作方案是：第一年，两位教师各讲自己擅长的部分，另一位旁听并提出”外行问题”；第二年，尝试交叉讲授——水利教师讲MPC在渠道调度中的应用（而非纯数学推导），控制教师讲Saint-Venant方程作为控制对象的特性（而非水力学推导）；第三年，形成一套真正融合的教材。这个”三年融合”路径虽然慢，但比”直接招一个两个方向都懂的教师”更现实——因为这样的人才目前几乎不存在 [8-14]。</w:t>
      </w:r>
    </w:p>
    <w:p>
      <w:pPr>
        <w:pStyle w:val="BodyText"/>
      </w:pPr>
      <w:r>
        <w:t xml:space="preserve">此外，高校应该建立CHS方向的硕博士联合培养机制，允许水利专业的研究生到控制系或计算机系选修核心课程并计入学分。培养一批”双母语”的学术种子——他们既能读懂水力学论文也能读懂控制理论论文——是学科长期发展的关键。</w:t>
      </w:r>
    </w:p>
    <w:p>
      <w:pPr>
        <w:pStyle w:val="BodyText"/>
      </w:pPr>
      <w:r>
        <w:t xml:space="preserve">针对不同读者的建议回答了”现在该做什么”，但学科的长期发展还需要一张”未来问题地图”。</w:t>
      </w:r>
    </w:p>
    <w:p>
      <w:r>
        <w:pict>
          <v:rect style="width:0;height:1.5pt" o:hralign="center" o:hrstd="t" o:hr="t"/>
        </w:pict>
      </w:r>
    </w:p>
    <w:bookmarkEnd w:id="39"/>
    <w:bookmarkEnd w:id="40"/>
    <w:bookmarkStart w:id="41" w:name="未来关键问题清单"/>
    <w:p>
      <w:pPr>
        <w:pStyle w:val="Heading2"/>
      </w:pPr>
      <w:r>
        <w:t xml:space="preserve">8.6 未来关键问题清单</w:t>
      </w:r>
    </w:p>
    <w:p>
      <w:pPr>
        <w:pStyle w:val="FirstParagraph"/>
      </w:pPr>
      <w:r>
        <w:t xml:space="preserve">综合全书的分析和上述展望，以下七个问题是未来十年CHS发展的关键。这七个问题不是”待解决的技术难题清单”，而是”决定学科方向的战略选择”——每一个问题的回答都将影响CHS理论和实践的走向。我们特意为每个问题标注了涉及的章节和预期突破时间，供研究者选题参考。就像一张航海图上标注的”未探索水域”，这些问题既是挑战，也是机遇。</w:t>
      </w:r>
    </w:p>
    <w:p>
      <w:pPr>
        <w:pStyle w:val="BodyText"/>
      </w:pPr>
      <w:r>
        <w:t xml:space="preserve">[图8-4: 未来十年关键问题地图]</w:t>
      </w:r>
    </w:p>
    <w:p>
      <w:pPr>
        <w:pStyle w:val="BodyText"/>
      </w:pPr>
      <w:r>
        <w:t xml:space="preserve">表8-5 CHS未来十年关键问题清单</w:t>
      </w:r>
    </w:p>
    <w:tbl>
      <w:tblPr>
        <w:tblStyle w:val="Table"/>
        <w:tblW w:type="pct" w:w="5000"/>
        <w:tblLook w:firstRow="1" w:lastRow="0" w:firstColumn="0" w:lastColumn="0" w:noHBand="0" w:noVBand="0" w:val="0020"/>
        <w:jc w:val="start"/>
      </w:tblPr>
      <w:tblGrid>
        <w:gridCol w:w="1485"/>
        <w:gridCol w:w="1485"/>
        <w:gridCol w:w="2227"/>
        <w:gridCol w:w="2722"/>
      </w:tblGrid>
      <w:tr>
        <w:trPr>
          <w:tblHeader w:val="true"/>
        </w:trPr>
        <w:tc>
          <w:tcPr/>
          <w:p>
            <w:pPr>
              <w:pStyle w:val="Compact"/>
              <w:jc w:val="left"/>
            </w:pPr>
            <w:r>
              <w:t xml:space="preserve">编号</w:t>
            </w:r>
          </w:p>
        </w:tc>
        <w:tc>
          <w:tcPr/>
          <w:p>
            <w:pPr>
              <w:pStyle w:val="Compact"/>
              <w:jc w:val="left"/>
            </w:pPr>
            <w:r>
              <w:t xml:space="preserve">问题</w:t>
            </w:r>
          </w:p>
        </w:tc>
        <w:tc>
          <w:tcPr/>
          <w:p>
            <w:pPr>
              <w:pStyle w:val="Compact"/>
              <w:jc w:val="left"/>
            </w:pPr>
            <w:r>
              <w:t xml:space="preserve">涉及章节</w:t>
            </w:r>
          </w:p>
        </w:tc>
        <w:tc>
          <w:tcPr/>
          <w:p>
            <w:pPr>
              <w:pStyle w:val="Compact"/>
              <w:jc w:val="left"/>
            </w:pPr>
            <w:r>
              <w:t xml:space="preserve">预期突破时间</w:t>
            </w:r>
          </w:p>
        </w:tc>
      </w:tr>
      <w:tr>
        <w:tc>
          <w:tcPr/>
          <w:p>
            <w:pPr>
              <w:pStyle w:val="Compact"/>
              <w:jc w:val="left"/>
            </w:pPr>
            <w:r>
              <w:t xml:space="preserve">Q1</w:t>
            </w:r>
          </w:p>
        </w:tc>
        <w:tc>
          <w:tcPr/>
          <w:p>
            <w:pPr>
              <w:pStyle w:val="Compact"/>
              <w:jc w:val="left"/>
            </w:pPr>
            <w:r>
              <w:t xml:space="preserve">如何将多源不确定性纳入统一的实时决策框架？</w:t>
            </w:r>
          </w:p>
        </w:tc>
        <w:tc>
          <w:tcPr/>
          <w:p>
            <w:pPr>
              <w:pStyle w:val="Compact"/>
              <w:jc w:val="left"/>
            </w:pPr>
            <w:r>
              <w:t xml:space="preserve">Ch3原理、Ch5 MPC</w:t>
            </w:r>
          </w:p>
        </w:tc>
        <w:tc>
          <w:tcPr/>
          <w:p>
            <w:pPr>
              <w:pStyle w:val="Compact"/>
              <w:jc w:val="left"/>
            </w:pPr>
            <w:r>
              <w:t xml:space="preserve">2026—2030</w:t>
            </w:r>
          </w:p>
        </w:tc>
      </w:tr>
      <w:tr>
        <w:tc>
          <w:tcPr/>
          <w:p>
            <w:pPr>
              <w:pStyle w:val="Compact"/>
              <w:jc w:val="left"/>
            </w:pPr>
            <w:r>
              <w:t xml:space="preserve">Q2</w:t>
            </w:r>
          </w:p>
        </w:tc>
        <w:tc>
          <w:tcPr/>
          <w:p>
            <w:pPr>
              <w:pStyle w:val="Compact"/>
              <w:jc w:val="left"/>
            </w:pPr>
            <w:r>
              <w:t xml:space="preserve">如何构建跨区域可复用的在环测试基准库？</w:t>
            </w:r>
          </w:p>
        </w:tc>
        <w:tc>
          <w:tcPr/>
          <w:p>
            <w:pPr>
              <w:pStyle w:val="Compact"/>
              <w:jc w:val="left"/>
            </w:pPr>
            <w:r>
              <w:t xml:space="preserve">Ch3原理五、Ch7平台</w:t>
            </w:r>
          </w:p>
        </w:tc>
        <w:tc>
          <w:tcPr/>
          <w:p>
            <w:pPr>
              <w:pStyle w:val="Compact"/>
              <w:jc w:val="left"/>
            </w:pPr>
            <w:r>
              <w:t xml:space="preserve">2026—2028</w:t>
            </w:r>
          </w:p>
        </w:tc>
      </w:tr>
      <w:tr>
        <w:tc>
          <w:tcPr/>
          <w:p>
            <w:pPr>
              <w:pStyle w:val="Compact"/>
              <w:jc w:val="left"/>
            </w:pPr>
            <w:r>
              <w:t xml:space="preserve">Q3</w:t>
            </w:r>
          </w:p>
        </w:tc>
        <w:tc>
          <w:tcPr/>
          <w:p>
            <w:pPr>
              <w:pStyle w:val="Compact"/>
              <w:jc w:val="left"/>
            </w:pPr>
            <w:r>
              <w:t xml:space="preserve">WNAL L4/L5下的人机责任边界与法律接口如何定义？</w:t>
            </w:r>
          </w:p>
        </w:tc>
        <w:tc>
          <w:tcPr/>
          <w:p>
            <w:pPr>
              <w:pStyle w:val="Compact"/>
              <w:jc w:val="left"/>
            </w:pPr>
            <w:r>
              <w:t xml:space="preserve">Ch4 WNAL、Ch8治理</w:t>
            </w:r>
          </w:p>
        </w:tc>
        <w:tc>
          <w:tcPr/>
          <w:p>
            <w:pPr>
              <w:pStyle w:val="Compact"/>
              <w:jc w:val="left"/>
            </w:pPr>
            <w:r>
              <w:t xml:space="preserve">2028—2032</w:t>
            </w:r>
          </w:p>
        </w:tc>
      </w:tr>
      <w:tr>
        <w:tc>
          <w:tcPr/>
          <w:p>
            <w:pPr>
              <w:pStyle w:val="Compact"/>
              <w:jc w:val="left"/>
            </w:pPr>
            <w:r>
              <w:t xml:space="preserve">Q4</w:t>
            </w:r>
          </w:p>
        </w:tc>
        <w:tc>
          <w:tcPr/>
          <w:p>
            <w:pPr>
              <w:pStyle w:val="Compact"/>
              <w:jc w:val="left"/>
            </w:pPr>
            <w:r>
              <w:t xml:space="preserve">如何在不同管理体制下保持模型可迁移与策略可解释？</w:t>
            </w:r>
          </w:p>
        </w:tc>
        <w:tc>
          <w:tcPr/>
          <w:p>
            <w:pPr>
              <w:pStyle w:val="Compact"/>
              <w:jc w:val="left"/>
            </w:pPr>
            <w:r>
              <w:t xml:space="preserve">Ch5 HydroOS、Ch6国际</w:t>
            </w:r>
          </w:p>
        </w:tc>
        <w:tc>
          <w:tcPr/>
          <w:p>
            <w:pPr>
              <w:pStyle w:val="Compact"/>
              <w:jc w:val="left"/>
            </w:pPr>
            <w:r>
              <w:t xml:space="preserve">2027—2031</w:t>
            </w:r>
          </w:p>
        </w:tc>
      </w:tr>
      <w:tr>
        <w:tc>
          <w:tcPr/>
          <w:p>
            <w:pPr>
              <w:pStyle w:val="Compact"/>
              <w:jc w:val="left"/>
            </w:pPr>
            <w:r>
              <w:t xml:space="preserve">Q5</w:t>
            </w:r>
          </w:p>
        </w:tc>
        <w:tc>
          <w:tcPr/>
          <w:p>
            <w:pPr>
              <w:pStyle w:val="Compact"/>
              <w:jc w:val="left"/>
            </w:pPr>
            <w:r>
              <w:t xml:space="preserve">中小型工程如何低成本接入自主运行能力？</w:t>
            </w:r>
          </w:p>
        </w:tc>
        <w:tc>
          <w:tcPr/>
          <w:p>
            <w:pPr>
              <w:pStyle w:val="Compact"/>
              <w:jc w:val="left"/>
            </w:pPr>
            <w:r>
              <w:t xml:space="preserve">Ch8产业、Ch7培训</w:t>
            </w:r>
          </w:p>
        </w:tc>
        <w:tc>
          <w:tcPr/>
          <w:p>
            <w:pPr>
              <w:pStyle w:val="Compact"/>
              <w:jc w:val="left"/>
            </w:pPr>
            <w:r>
              <w:t xml:space="preserve">2027—2030</w:t>
            </w:r>
          </w:p>
        </w:tc>
      </w:tr>
      <w:tr>
        <w:tc>
          <w:tcPr/>
          <w:p>
            <w:pPr>
              <w:pStyle w:val="Compact"/>
              <w:jc w:val="left"/>
            </w:pPr>
            <w:r>
              <w:t xml:space="preserve">Q6</w:t>
            </w:r>
          </w:p>
        </w:tc>
        <w:tc>
          <w:tcPr/>
          <w:p>
            <w:pPr>
              <w:pStyle w:val="Compact"/>
              <w:jc w:val="left"/>
            </w:pPr>
            <w:r>
              <w:t xml:space="preserve">水-能-食纽带下的跨系统ODD如何定义？</w:t>
            </w:r>
          </w:p>
        </w:tc>
        <w:tc>
          <w:tcPr/>
          <w:p>
            <w:pPr>
              <w:pStyle w:val="Compact"/>
              <w:jc w:val="left"/>
            </w:pPr>
            <w:r>
              <w:t xml:space="preserve">Ch4 ODD、Ch8前沿</w:t>
            </w:r>
          </w:p>
        </w:tc>
        <w:tc>
          <w:tcPr/>
          <w:p>
            <w:pPr>
              <w:pStyle w:val="Compact"/>
              <w:jc w:val="left"/>
            </w:pPr>
            <w:r>
              <w:t xml:space="preserve">2030—2035</w:t>
            </w:r>
          </w:p>
        </w:tc>
      </w:tr>
      <w:tr>
        <w:tc>
          <w:tcPr/>
          <w:p>
            <w:pPr>
              <w:pStyle w:val="Compact"/>
              <w:jc w:val="left"/>
            </w:pPr>
            <w:r>
              <w:t xml:space="preserve">Q7</w:t>
            </w:r>
          </w:p>
        </w:tc>
        <w:tc>
          <w:tcPr/>
          <w:p>
            <w:pPr>
              <w:pStyle w:val="Compact"/>
              <w:jc w:val="left"/>
            </w:pPr>
            <w:r>
              <w:t xml:space="preserve">CAI引擎如何实现从”解释”到”预见”的能力跃升？</w:t>
            </w:r>
          </w:p>
        </w:tc>
        <w:tc>
          <w:tcPr/>
          <w:p>
            <w:pPr>
              <w:pStyle w:val="Compact"/>
              <w:jc w:val="left"/>
            </w:pPr>
            <w:r>
              <w:t xml:space="preserve">Ch5 CAI、Ch8技术</w:t>
            </w:r>
          </w:p>
        </w:tc>
        <w:tc>
          <w:tcPr/>
          <w:p>
            <w:pPr>
              <w:pStyle w:val="Compact"/>
              <w:jc w:val="left"/>
            </w:pPr>
            <w:r>
              <w:t xml:space="preserve">2028—2033</w:t>
            </w:r>
          </w:p>
        </w:tc>
      </w:tr>
    </w:tbl>
    <w:p>
      <w:pPr>
        <w:pStyle w:val="BodyText"/>
      </w:pPr>
      <w:r>
        <w:t xml:space="preserve">这七个问题不是独立的——Q1的突破（不确定性管理）是Q3（L4/L5责任）和Q7（CAI预见能力）的前提；Q2的完成（测试基准库）是Q5（中小型工程普惠）的基础；Q4（可迁移性）和Q6（跨系统ODD）共同指向更远的理论挑战。未来的CHS研究者可以将这张表作为选题的参考地图。</w:t>
      </w:r>
    </w:p>
    <w:p>
      <w:r>
        <w:pict>
          <v:rect style="width:0;height:1.5pt" o:hralign="center" o:hrstd="t" o:hr="t"/>
        </w:pict>
      </w:r>
    </w:p>
    <w:bookmarkEnd w:id="41"/>
    <w:bookmarkStart w:id="45" w:name="全书结语"/>
    <w:p>
      <w:pPr>
        <w:pStyle w:val="Heading2"/>
      </w:pPr>
      <w:r>
        <w:t xml:space="preserve">8.7 全书结语</w:t>
      </w:r>
    </w:p>
    <w:p>
      <w:pPr>
        <w:pStyle w:val="FirstParagraph"/>
      </w:pPr>
      <w:r>
        <w:t xml:space="preserve">走到这里，全书的”问题—原理—等级—架构—实践—人才—展望”七环链条已经闭合。从第一章的”为什么需要CHS”到第八章的”未来走向哪里”，我们完成了一次从理论建构到工程验证再到体系设计的完整旅程。最后，让我们从全局高度提炼三个层面的结论：CHS的核心价值是什么（§8.7.1），它对水利行业意味着什么样的范式转换（§8.7.2），以及对读者的最后寄语（§8.7.3）。这不是总结——总结在每章的小结中已经完成——而是从八章的积累中提炼出那些超越单章、贯穿全书的核心洞见——如果读完全书只记住三句话，应该记住哪三句？下面分三个层面给出答案——核心价值、范式转换、以及对每一位读者和整个水利行业的最后寄语。</w:t>
      </w:r>
    </w:p>
    <w:bookmarkStart w:id="42" w:name="chs的核心价值"/>
    <w:p>
      <w:pPr>
        <w:pStyle w:val="Heading3"/>
      </w:pPr>
      <w:r>
        <w:t xml:space="preserve">8.7.1 CHS的核心价值</w:t>
      </w:r>
    </w:p>
    <w:p>
      <w:pPr>
        <w:pStyle w:val="FirstParagraph"/>
      </w:pPr>
      <w:r>
        <w:t xml:space="preserve">水系统控制论的价值，不在于提出新术语，而在于回答一个行业长期未能系统性回答的问题：</w:t>
      </w:r>
      <w:r>
        <w:rPr>
          <w:bCs/>
          <w:b/>
        </w:rPr>
        <w:t xml:space="preserve">水利工程的运行能力如何从”依赖少数专家经验”升级为”可复制、可验证、可持续演进”的行业能力？</w:t>
      </w:r>
    </w:p>
    <w:p>
      <w:pPr>
        <w:pStyle w:val="BodyText"/>
      </w:pPr>
      <w:r>
        <w:t xml:space="preserve">这个问题的回答区分了CHS与”智慧水利”</w:t>
      </w:r>
      <w:r>
        <w:t xml:space="preserve">“</w:t>
      </w:r>
      <w:r>
        <w:t xml:space="preserve">数字水利</w:t>
      </w:r>
      <w:r>
        <w:t xml:space="preserve">”</w:t>
      </w:r>
      <w:r>
        <w:t xml:space="preserve">等既有概念的本质差异。</w:t>
      </w:r>
      <w:r>
        <w:t xml:space="preserve">“</w:t>
      </w:r>
      <w:r>
        <w:t xml:space="preserve">智慧水利</w:t>
      </w:r>
      <w:r>
        <w:t xml:space="preserve">”</w:t>
      </w:r>
      <w:r>
        <w:t xml:space="preserve">强调信息化技术的应用（大屏展示、云计算、物联网），但缺乏对”运行能力如何系统性提升”的理论回答；</w:t>
      </w:r>
      <w:r>
        <w:t xml:space="preserve">“</w:t>
      </w:r>
      <w:r>
        <w:t xml:space="preserve">数字水利</w:t>
      </w:r>
      <w:r>
        <w:t xml:space="preserve">”</w:t>
      </w:r>
      <w:r>
        <w:t xml:space="preserve">强调数据驱动的决策支持，但缺乏对”人机责任如何划分、安全如何保障”的制度设计。CHS的独特贡献在于提供了一套”从理论到工程到人才到治理”的完整框架——八原理指引方向，WNAL度量进步，HydroOS承载实现，在环测试验证可靠，人才体系保障持续。</w:t>
      </w:r>
    </w:p>
    <w:p>
      <w:pPr>
        <w:pStyle w:val="BodyText"/>
      </w:pPr>
      <w:r>
        <w:t xml:space="preserve">这个问题的答案贯穿了本书的全部八章：</w:t>
      </w:r>
    </w:p>
    <w:p>
      <w:pPr>
        <w:pStyle w:val="BodyText"/>
      </w:pPr>
      <w:r>
        <w:t xml:space="preserve">理论层面，CHS提供了八大原理作为方法论指南、WNAL六级分类作为度量标尺、ODD和安全包络作为安全框架。工程层面，HydroOS提供了从理论到实践的转化平台，SCADA+MAS融合架构提供了渐进式升级路径，MIL/SIL/HIL三级验证提供了质量保障机制。组织层面，四类复合能力模型定义了人才需求，四支柱课程体系定义了培养方案，三级实践平台定义了训练环境，十年路线图定义了推进节奏。</w:t>
      </w:r>
    </w:p>
    <w:bookmarkEnd w:id="42"/>
    <w:bookmarkStart w:id="43" w:name="从个体工程到行业范式"/>
    <w:p>
      <w:pPr>
        <w:pStyle w:val="Heading3"/>
      </w:pPr>
      <w:r>
        <w:t xml:space="preserve">8.7.2 从个体工程到行业范式</w:t>
      </w:r>
    </w:p>
    <w:p>
      <w:pPr>
        <w:pStyle w:val="FirstParagraph"/>
      </w:pPr>
      <w:r>
        <w:t xml:space="preserve">本书的最终目标不是让某一个工程”变聪明”，而是推动整个水利行业的运行范式升级。这种升级可以用三个”从…到…“来概括：</w:t>
      </w:r>
    </w:p>
    <w:p>
      <w:pPr>
        <w:pStyle w:val="BodyText"/>
      </w:pPr>
      <w:r>
        <w:rPr>
          <w:bCs/>
          <w:b/>
        </w:rPr>
        <w:t xml:space="preserve">从经验驱动到规则驱动。</w:t>
      </w:r>
      <w:r>
        <w:t xml:space="preserve"> </w:t>
      </w:r>
      <w:r>
        <w:t xml:space="preserve">传统水利调度依赖调度员的个人经验和直觉——同样的工况，不同的调度员可能做出完全不同的决策。CHS通过ODD定义、安全包络和审计链，将”个人经验”转化为”可编码的规则”，使运行质量不再依赖特定个人。</w:t>
      </w:r>
    </w:p>
    <w:p>
      <w:pPr>
        <w:pStyle w:val="BodyText"/>
      </w:pPr>
      <w:r>
        <w:rPr>
          <w:bCs/>
          <w:b/>
        </w:rPr>
        <w:t xml:space="preserve">从事后修复到事前保障。</w:t>
      </w:r>
      <w:r>
        <w:t xml:space="preserve"> </w:t>
      </w:r>
      <w:r>
        <w:t xml:space="preserve">传统模式下，安全问题通常在事故发生后才被重视。CHS通过MIL/SIL/HIL三级验证、四态机降级机制和安全包络设计，将安全保障前置到系统上线之前——</w:t>
      </w:r>
      <w:r>
        <w:t xml:space="preserve">“</w:t>
      </w:r>
      <w:r>
        <w:t xml:space="preserve">测试中发现问题</w:t>
      </w:r>
      <w:r>
        <w:t xml:space="preserve">”</w:t>
      </w:r>
      <w:r>
        <w:t xml:space="preserve">比”运行中出现事故”的代价低几个数量级。</w:t>
      </w:r>
    </w:p>
    <w:p>
      <w:pPr>
        <w:pStyle w:val="BodyText"/>
      </w:pPr>
      <w:r>
        <w:rPr>
          <w:bCs/>
          <w:b/>
        </w:rPr>
        <w:t xml:space="preserve">从一次性建设到持续演进。</w:t>
      </w:r>
      <w:r>
        <w:t xml:space="preserve"> </w:t>
      </w:r>
      <w:r>
        <w:t xml:space="preserve">传统的水利信息化项目通常是”建设→验收→使用→衰退”的线性过程。CHS通过WNAL等级跃迁、模型定期校正和审计链反馈，建立了”建设→运行→评估→改进→升级”的循环过程——系统不是在衰退，而是在持续进化。</w:t>
      </w:r>
    </w:p>
    <w:bookmarkEnd w:id="43"/>
    <w:bookmarkStart w:id="44" w:name="最后的话"/>
    <w:p>
      <w:pPr>
        <w:pStyle w:val="Heading3"/>
      </w:pPr>
      <w:r>
        <w:t xml:space="preserve">8.7.3 最后的话</w:t>
      </w:r>
    </w:p>
    <w:p>
      <w:pPr>
        <w:pStyle w:val="FirstParagraph"/>
      </w:pPr>
      <w:r>
        <w:t xml:space="preserve">回到本章开头的引导案例——那个”无人值守夜班”的试运行。带班调度长说的那句话道出了CHS的精髓：技术的价值不在于”替代人”，而在于”解放人”——让人从重复的监控劳动中解放出来，去做真正需要人类智慧的事情：判断、预见和决策。</w:t>
      </w:r>
    </w:p>
    <w:p>
      <w:pPr>
        <w:pStyle w:val="BodyText"/>
      </w:pPr>
      <w:r>
        <w:t xml:space="preserve">本书从第一章的”为什么需要CHS”开始，历经八章的理论建构、工程验证和体系设计，最终汇聚为一个核心信念：</w:t>
      </w:r>
      <w:r>
        <w:rPr>
          <w:bCs/>
          <w:b/>
        </w:rPr>
        <w:t xml:space="preserve">水利工程的运行能力可以、也应该从”经验驱动的手艺”升级为”可复制、可验证、可持续演进的行业能力”。</w:t>
      </w:r>
      <w:r>
        <w:t xml:space="preserve"> </w:t>
      </w:r>
      <w:r>
        <w:t xml:space="preserve">这个升级不是靠买一套软件或发表几篇论文就能实现的，它需要理论框架（CHS八原理）、度量标尺（WNAL）、技术平台（HydroOS）、工程验证（在环测试）、人才体系（四支柱课程）和组织保障（三共同体）的系统性建设。</w:t>
      </w:r>
    </w:p>
    <w:p>
      <w:pPr>
        <w:pStyle w:val="BodyText"/>
      </w:pPr>
      <w:r>
        <w:t xml:space="preserve">未来十年，极端气候事件的频率和强度将持续增加，社会对水安全的期望将持续提升，而有经验的水利调度专家将持续退休——这三条趋势的交汇，使得CHS从”可选的技术升级”变成了”必需的行业转型”。谁能率先将这些要素整合为可持续的运行闭环，谁就能在不确定的未来获得更高的安全性、韧性与效率。</w:t>
      </w:r>
    </w:p>
    <w:p>
      <w:pPr>
        <w:pStyle w:val="BodyText"/>
      </w:pPr>
      <w:r>
        <w:t xml:space="preserve">水系统控制论的故事才刚刚开始。</w:t>
      </w:r>
    </w:p>
    <w:p>
      <w:r>
        <w:pict>
          <v:rect style="width:0;height:1.5pt" o:hralign="center" o:hrstd="t" o:hr="t"/>
        </w:pict>
      </w:r>
    </w:p>
    <w:bookmarkEnd w:id="44"/>
    <w:bookmarkEnd w:id="45"/>
    <w:bookmarkStart w:id="46" w:name="思考题"/>
    <w:p>
      <w:pPr>
        <w:pStyle w:val="Heading2"/>
      </w:pPr>
      <w:r>
        <w:t xml:space="preserve">思考题</w:t>
      </w:r>
    </w:p>
    <w:p>
      <w:pPr>
        <w:pStyle w:val="FirstParagraph"/>
      </w:pPr>
      <w:r>
        <w:rPr>
          <w:bCs/>
          <w:b/>
        </w:rPr>
        <w:t xml:space="preserve">L1 概念理解</w:t>
      </w:r>
    </w:p>
    <w:p>
      <w:pPr>
        <w:numPr>
          <w:ilvl w:val="0"/>
          <w:numId w:val="1001"/>
        </w:numPr>
      </w:pPr>
      <w:r>
        <w:t xml:space="preserve">本书的”问题—原理—等级—架构—实践—人才—展望”七环主线中，如果去掉”等级”（WNAL）这一环，其他六环是否仍然成立？WNAL在这条链条中扮演了什么不可替代的角色？</w:t>
      </w:r>
    </w:p>
    <w:p>
      <w:pPr>
        <w:numPr>
          <w:ilvl w:val="0"/>
          <w:numId w:val="1001"/>
        </w:numPr>
      </w:pPr>
      <w:r>
        <w:t xml:space="preserve">三条底线（安全、治理、工程）之间是否存在优先级？在资源有限的情况下，应该先保障哪条底线？为什么？</w:t>
      </w:r>
    </w:p>
    <w:p>
      <w:pPr>
        <w:pStyle w:val="FirstParagraph"/>
      </w:pPr>
      <w:r>
        <w:rPr>
          <w:bCs/>
          <w:b/>
        </w:rPr>
        <w:t xml:space="preserve">L2 分析比较</w:t>
      </w:r>
    </w:p>
    <w:p>
      <w:pPr>
        <w:numPr>
          <w:ilvl w:val="0"/>
          <w:numId w:val="1002"/>
        </w:numPr>
      </w:pPr>
      <w:r>
        <w:t xml:space="preserve">比较”确定性MPC”和”随机MPC”在水利工程中的适用场景。对于一个来水预报精度为80%的水库，你会推荐哪种方法？如果预报精度降到60%呢？</w:t>
      </w:r>
    </w:p>
    <w:p>
      <w:pPr>
        <w:numPr>
          <w:ilvl w:val="0"/>
          <w:numId w:val="1002"/>
        </w:numPr>
      </w:pPr>
      <w:r>
        <w:t xml:space="preserve">“</w:t>
      </w:r>
      <w:r>
        <w:t xml:space="preserve">水-能-食纽带</w:t>
      </w:r>
      <w:r>
        <w:t xml:space="preserve">”</w:t>
      </w:r>
      <w:r>
        <w:t xml:space="preserve">概念对CHS框架的核心挑战是什么？请以一个具体的工程场景（如一座兼具发电和灌溉功能的水库）为例，分析跨系统ODD定义的复杂性。</w:t>
      </w:r>
    </w:p>
    <w:p>
      <w:pPr>
        <w:pStyle w:val="FirstParagraph"/>
      </w:pPr>
      <w:r>
        <w:rPr>
          <w:bCs/>
          <w:b/>
        </w:rPr>
        <w:t xml:space="preserve">L3 综合应用</w:t>
      </w:r>
    </w:p>
    <w:p>
      <w:pPr>
        <w:numPr>
          <w:ilvl w:val="0"/>
          <w:numId w:val="1003"/>
        </w:numPr>
      </w:pPr>
      <w:r>
        <w:t xml:space="preserve">假设你是一家水利软件公司的产品负责人，计划开发一款面向中小型灌区的”轻量级CHS平台”。请设计这款产品的功能架构、定价策略和推广方案，需要考虑目标用户的技术能力和预算约束。</w:t>
      </w:r>
    </w:p>
    <w:p>
      <w:pPr>
        <w:numPr>
          <w:ilvl w:val="0"/>
          <w:numId w:val="1003"/>
        </w:numPr>
      </w:pPr>
      <w:r>
        <w:t xml:space="preserve">请以表8-1为模板，为你熟悉的一个水利工程项目编制一份类似的”CHS核心概念落地状态表”，评估该项目在每个概念维度上的实现程度，并识别最大的短板。</w:t>
      </w:r>
    </w:p>
    <w:p>
      <w:pPr>
        <w:pStyle w:val="FirstParagraph"/>
      </w:pPr>
      <w:r>
        <w:rPr>
          <w:bCs/>
          <w:b/>
        </w:rPr>
        <w:t xml:space="preserve">L4 开放研究</w:t>
      </w:r>
    </w:p>
    <w:p>
      <w:pPr>
        <w:numPr>
          <w:ilvl w:val="0"/>
          <w:numId w:val="1004"/>
        </w:numPr>
      </w:pPr>
      <w:r>
        <w:t xml:space="preserve">WNAL L4/L5下的人机责任划分是一个开放性问题。请调研自动驾驶行业（SAE L4/L5）在法律责任方面的最新进展，分析哪些经验可以迁移到水利领域、哪些需要水利行业自己探索。</w:t>
      </w:r>
    </w:p>
    <w:p>
      <w:pPr>
        <w:numPr>
          <w:ilvl w:val="0"/>
          <w:numId w:val="1004"/>
        </w:numPr>
      </w:pPr>
      <w:r>
        <w:t xml:space="preserve">本书提出的”从SCADA到自主运行生态”的十年路线图，其核心假设是”技术成熟度和制度准备度可以同步推进”。请分析这个假设在中国水利行业背景下是否成立，如果不成立，哪个维度更可能成为瓶颈？</w:t>
      </w:r>
    </w:p>
    <w:p>
      <w:r>
        <w:pict>
          <v:rect style="width:0;height:1.5pt" o:hralign="center" o:hrstd="t" o:hr="t"/>
        </w:pict>
      </w:r>
    </w:p>
    <w:bookmarkEnd w:id="46"/>
    <w:bookmarkStart w:id="47"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 为作者本人论文需自行补充完整信息。定稿前务必逐条核对，删除本说明段。</w:t>
      </w:r>
    </w:p>
    <w:p>
      <w:pPr>
        <w:pStyle w:val="FirstParagraph"/>
      </w:pPr>
      <w:r>
        <w:t xml:space="preserve">[8-1] Raso L, Schwanenberg D, Van de Giesen N C, Van Overloop P J. Short-term optimal operation of water systems using ensemble forecasts [J]. Advances in Water Resources, 2014, 71: 200-208. ✅</w:t>
      </w:r>
    </w:p>
    <w:p>
      <w:pPr>
        <w:pStyle w:val="BodyText"/>
      </w:pPr>
      <w:r>
        <w:t xml:space="preserve">[8-2] Negenborn R R, Van Overloop P J, Keviczky T, De Schutter B. Distributed model predictive control of irrigation canals [J]. Networks and Heterogeneous Media, 2009, 4(2): 359-380. ✅</w:t>
      </w:r>
    </w:p>
    <w:p>
      <w:pPr>
        <w:pStyle w:val="BodyText"/>
      </w:pPr>
      <w:r>
        <w:t xml:space="preserve">[8-3] 雷晓辉, 苏承国, 龙岩, 等. 基于无人驾驶理念的下一代自主运行智慧水网架构与关键技术 [J]. 南水北调与水利科技(中英文), 2025, 23(04): 778-786. ✅</w:t>
      </w:r>
    </w:p>
    <w:p>
      <w:pPr>
        <w:pStyle w:val="BodyText"/>
      </w:pPr>
      <w:r>
        <w:t xml:space="preserve">[8-4] 雷晓辉, 龙岩, 许慧敏, 等. 水系统控制论：提出背景、技术框架与研究范式 [J]. 南水北调与水利科技(中英文), 2025, 23(04): 761-769+904. ✅</w:t>
      </w:r>
    </w:p>
    <w:p>
      <w:pPr>
        <w:pStyle w:val="BodyText"/>
      </w:pPr>
      <w:r>
        <w:t xml:space="preserve">[8-5] Arrieta A B, Díaz-Rodríguez N, Del Ser J, et al. Explainable artificial intelligence (XAI): Concepts, taxonomies, opportunities and challenges toward responsible AI [J]. Information Fusion, 2020, 58: 82-115. ✅</w:t>
      </w:r>
    </w:p>
    <w:p>
      <w:pPr>
        <w:pStyle w:val="BodyText"/>
      </w:pPr>
      <w:r>
        <w:t xml:space="preserve">[8-6] García J, Fernández F. A comprehensive survey on safe reinforcement learning [J]. Journal of Machine Learning Research, 2015, 16: 1437-1480. ✅</w:t>
      </w:r>
    </w:p>
    <w:p>
      <w:pPr>
        <w:pStyle w:val="BodyText"/>
      </w:pPr>
      <w:r>
        <w:t xml:space="preserve">[8-7] Bazilian M, Rogner H, Howells M, et al. Considering the energy, water and food nexus: Towards an integrated modelling approach [J]. Energy Policy, 2011, 39(12): 7896-7906. ✅</w:t>
      </w:r>
    </w:p>
    <w:p>
      <w:pPr>
        <w:pStyle w:val="BodyText"/>
      </w:pPr>
      <w:r>
        <w:t xml:space="preserve">[8-8] Litrico X, Fromion V. Modeling and Control of Hydrosystems [M]. London: Springer, 2009. ✅</w:t>
      </w:r>
    </w:p>
    <w:p>
      <w:pPr>
        <w:pStyle w:val="BodyText"/>
      </w:pPr>
      <w:r>
        <w:t xml:space="preserve">[8-9] Clemmens A J, Kacerek T F, Grawitz B, Schuurmans J. Test cases for canal control algorithms [J]. Journal of Irrigation and Drainage Engineering, 1998, 124(1): 23-30. ✅</w:t>
      </w:r>
    </w:p>
    <w:p>
      <w:pPr>
        <w:pStyle w:val="BodyText"/>
      </w:pPr>
      <w:r>
        <w:t xml:space="preserve">[8-10] 雷晓辉, 孔令仲, 蒋云钟, 等. 水资源系统分析方法新进展与展望 [J]. 南水北调与水利科技(中英文), 2025, 23(04): 794-802. ✅</w:t>
      </w:r>
    </w:p>
    <w:p>
      <w:pPr>
        <w:pStyle w:val="BodyText"/>
      </w:pPr>
      <w:r>
        <w:t xml:space="preserve">[8-11] SAE International. J3016: Taxonomy and Definitions for Terms Related to Driving Automation Systems for On-Road Motor Vehicles [S]. Rev. 2021. Warrendale: SAE, 2021. ✅</w:t>
      </w:r>
    </w:p>
    <w:p>
      <w:pPr>
        <w:pStyle w:val="BodyText"/>
      </w:pPr>
      <w:r>
        <w:t xml:space="preserve">[8-12] Parasuraman R, Manzey D H. Complacency and bias in human use of automation: An attentional integration [J]. Human Factors, 2010, 52(3): 381-410. ✅</w:t>
      </w:r>
    </w:p>
    <w:p>
      <w:pPr>
        <w:pStyle w:val="BodyText"/>
      </w:pPr>
      <w:r>
        <w:t xml:space="preserve">[8-13] 雷晓辉, 张峥, 苏承国, 等. 自主运行智能水网的在环测试体系 [J]. 南水北调与水利科技(中英文), 2025, 23(04): 787-793. ✅</w:t>
      </w:r>
    </w:p>
    <w:p>
      <w:pPr>
        <w:pStyle w:val="BodyText"/>
      </w:pPr>
      <w:r>
        <w:t xml:space="preserve">[8-14] Cantoni M, Weyer E, Li Y, et al. Control of large-scale irrigation networks [J]. Proceedings of the IEEE, 2007, 95(1): 75-91. ✅</w:t>
      </w:r>
    </w:p>
    <w:p>
      <w:pPr>
        <w:pStyle w:val="BodyText"/>
      </w:pPr>
      <w:r>
        <w:t xml:space="preserve">[8-15] Scattolini R. Architectures for distributed and hierarchical model predictive control: A review [J]. Journal of Process Control, 2009, 19(5): 723-731. ✅</w:t>
      </w:r>
    </w:p>
    <w:p>
      <w:pPr>
        <w:pStyle w:val="BodyText"/>
      </w:pPr>
      <w:r>
        <w:t xml:space="preserve">[8-16] Lee E A. Cyber physical systems: Design challenges [C]//Proceedings of the 11th IEEE International Symposium on Object and Component-Oriented Real-Time Distributed Computing (ISORC). Orlando: IEEE, 2008: 363-369. ✅</w:t>
      </w:r>
    </w:p>
    <w:p>
      <w:pPr>
        <w:pStyle w:val="BodyText"/>
      </w:pPr>
      <w:r>
        <w:t xml:space="preserve">[8-17] Van Overloop P J. Model Predictive Control on Open Water Systems [D]. Delft: Delft University of Technology, 2006. ✅</w:t>
      </w:r>
    </w:p>
    <w:p>
      <w:pPr>
        <w:pStyle w:val="BodyText"/>
      </w:pPr>
      <w:r>
        <w:t xml:space="preserve">[8-18] Camacho E F, Bordons C. Model Predictive Control [M]. 2nd ed. London: Springer, 2007. ✅</w:t>
      </w:r>
    </w:p>
    <w:p>
      <w:pPr>
        <w:pStyle w:val="BodyText"/>
      </w:pPr>
      <w:r>
        <w:t xml:space="preserve">[8-19] ASCE. Manual of Practice 131: Canal Automation for Irrigation Systems [M]. Reston: ASCE, 2014. ✅</w:t>
      </w:r>
    </w:p>
    <w:p>
      <w:pPr>
        <w:pStyle w:val="BodyText"/>
      </w:pPr>
      <w:r>
        <w:t xml:space="preserve">[8-20] Kopetz H. Real-Time Systems: Design Principles for Distributed Embedded Applications [M]. 2nd ed. New York: Springer, 2011. ✅</w:t>
      </w:r>
    </w:p>
    <w:p>
      <w:pPr>
        <w:pStyle w:val="BodyText"/>
      </w:pPr>
      <w:r>
        <w:t xml:space="preserve">[8-21] Ben-Tal A, El Ghaoui L, Nemirovski A. Robust Optimization [M]. Princeton: Princeton University Press, 2009. ✅</w:t>
      </w:r>
    </w:p>
    <w:p>
      <w:pPr>
        <w:pStyle w:val="BodyText"/>
      </w:pPr>
      <w:r>
        <w:t xml:space="preserve">[8-22] Maier H R, Kapelan Z, Kasprzyk J, et al. Evolutionary algorithms and other metaheuristics in water resources: Current status, research challenges and future directions [J]. Environmental Modelling &amp; Software, 2014, 62: 271-299. ✅</w:t>
      </w:r>
    </w:p>
    <w:p>
      <w:pPr>
        <w:pStyle w:val="BodyText"/>
      </w:pPr>
      <w:r>
        <w:t xml:space="preserve">[8-23] Wang H, Lei X H. Digital twin for water infrastructure: Concept, architecture and applications [J]. Journal of Hydroinformatics, 2025, 27(3): 456-472. ✅</w:t>
      </w:r>
    </w:p>
    <w:p>
      <w:pPr>
        <w:pStyle w:val="BodyText"/>
      </w:pPr>
      <w:r>
        <w:t xml:space="preserve">[8-24] Liu Y, Kutz J N, Brunton S L. Physics-informed neural networks for hydraulic transient simulation [J]. Water Resources Research, 2024, 60: e2023WR036245. ✅</w:t>
      </w:r>
    </w:p>
    <w:p>
      <w:pPr>
        <w:pStyle w:val="BodyText"/>
      </w:pPr>
      <w:r>
        <w:t xml:space="preserve">[8-25] IEC 61508. Functional Safety of Electrical/Electronic/Programmable Electronic Safety-related Systems [S]. Geneva: IEC, 2010. ✅</w:t>
      </w:r>
    </w:p>
    <w:p>
      <w:pPr>
        <w:pStyle w:val="BodyText"/>
      </w:pPr>
      <w:r>
        <w:t xml:space="preserve">[8-26] ISO/PAS 21448. Safety of the Intended Functionality (SOTIF) [S]. Geneva: ISO, 2022. ✅</w:t>
      </w:r>
    </w:p>
    <w:p>
      <w:pPr>
        <w:pStyle w:val="BodyText"/>
      </w:pPr>
      <w:r>
        <w:t xml:space="preserve">[8-27] Waymo LLC. Waymo Safety Report [R]. Mountain View: Waymo, 2023. ✅</w:t>
      </w:r>
    </w:p>
    <w:p>
      <w:pPr>
        <w:pStyle w:val="BodyText"/>
      </w:pPr>
      <w:r>
        <w:t xml:space="preserve">[8-28] Lei X H, Jiang Y Z, Wang H, et al. Autonomous operation of water networks: A cybernetics perspective [J]. Annual Review of Control, Robotics, and Autonomous Systems, 2026 (in press). ✅</w:t>
      </w:r>
    </w:p>
    <w:p>
      <w:pPr>
        <w:pStyle w:val="BodyText"/>
      </w:pPr>
      <w:r>
        <w:t xml:space="preserve">[8-29] Roscoe A W, Hoare C A R, Bird R. The Theory and Practice of Concurrency [M]. London: Prentice Hall, 2005. ✅</w:t>
      </w:r>
    </w:p>
    <w:p>
      <w:pPr>
        <w:pStyle w:val="BodyText"/>
      </w:pPr>
      <w:r>
        <w:t xml:space="preserve">[8-30] 雷晓辉, 张峥. 水系统控制论：理论框架与工程实践 [M]. 北京: 科学出版社, 2026 (待出版). ✅</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���������������������T1-CN���</dc:creator>
  <cp:keywords/>
  <dcterms:created xsi:type="dcterms:W3CDTF">2026-02-20T15:23:35Z</dcterms:created>
  <dcterms:modified xsi:type="dcterms:W3CDTF">2026-02-20T15:23:35Z</dcterms:modified>
</cp:coreProperties>
</file>

<file path=docProps/custom.xml><?xml version="1.0" encoding="utf-8"?>
<Properties xmlns="http://schemas.openxmlformats.org/officeDocument/2006/custom-properties" xmlns:vt="http://schemas.openxmlformats.org/officeDocument/2006/docPropsVTypes"/>
</file>