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600" w:before="0"/>
        <w:jc w:val="center"/>
      </w:pPr>
      <w:r>
        <w:rPr>
          <w:rFonts w:ascii="SimHei" w:cs="SimHei" w:eastAsia="SimHei" w:hAnsi="SimHei"/>
          <w:b/>
          <w:bCs/>
          <w:color w:val="1F4E79"/>
          <w:sz w:val="56"/>
          <w:szCs w:val="56"/>
        </w:rPr>
        <w:t xml:space="preserve">水网智能调控与自主运行</w:t>
      </w:r>
    </w:p>
    <w:p>
      <w:pPr>
        <w:spacing w:after="200" w:before="0"/>
        <w:jc w:val="center"/>
      </w:pPr>
      <w:r>
        <w:rPr>
          <w:rFonts w:ascii="SimHei" w:cs="SimHei" w:eastAsia="SimHei" w:hAnsi="SimHei"/>
          <w:b/>
          <w:bCs/>
          <w:color w:val="1F4E79"/>
          <w:sz w:val="48"/>
          <w:szCs w:val="48"/>
        </w:rPr>
        <w:t xml:space="preserve">关键技术研究报告</w:t>
      </w:r>
    </w:p>
    <w:p>
      <w:pPr>
        <w:spacing w:after="600" w:before="0"/>
        <w:jc w:val="center"/>
      </w:pPr>
      <w:r>
        <w:rPr>
          <w:rFonts w:ascii="KaiTi" w:cs="KaiTi" w:eastAsia="KaiTi" w:hAnsi="KaiTi"/>
          <w:b w:val="false"/>
          <w:bCs w:val="false"/>
          <w:color w:val="2E75B6"/>
          <w:sz w:val="28"/>
          <w:szCs w:val="28"/>
        </w:rPr>
        <w:t xml:space="preserve">—— 从“数字化”走向“可信自主运行”的工程范式重构</w:t>
      </w:r>
    </w:p>
    <w:p>
      <w:pPr>
        <w:spacing w:before="2000"/>
      </w:pPr>
    </w:p>
    <w:p>
      <w:pPr>
        <w:spacing w:after="200" w:before="0"/>
        <w:jc w:val="center"/>
      </w:pPr>
      <w:r>
        <w:rPr>
          <w:rFonts w:ascii="SimHei" w:cs="SimHei" w:eastAsia="SimHei" w:hAnsi="SimHei"/>
          <w:b w:val="false"/>
          <w:bCs w:val="false"/>
          <w:sz w:val="28"/>
          <w:szCs w:val="28"/>
        </w:rPr>
        <w:t xml:space="preserve">河北工程大学</w:t>
      </w:r>
    </w:p>
    <w:p>
      <w:pPr>
        <w:spacing w:after="200" w:before="0"/>
        <w:jc w:val="center"/>
      </w:pPr>
      <w:r>
        <w:rPr>
          <w:rFonts w:ascii="SimHei" w:cs="SimHei" w:eastAsia="SimHei" w:hAnsi="SimHei"/>
          <w:b w:val="false"/>
          <w:bCs w:val="false"/>
          <w:sz w:val="28"/>
          <w:szCs w:val="28"/>
        </w:rPr>
        <w:t xml:space="preserve">IAHR水系统运行工作组</w:t>
      </w:r>
    </w:p>
    <w:p>
      <w:pPr>
        <w:spacing w:after="200" w:before="0"/>
        <w:jc w:val="center"/>
      </w:pPr>
      <w:r>
        <w:rPr>
          <w:rFonts w:ascii="KaiTi" w:cs="KaiTi" w:eastAsia="KaiTi" w:hAnsi="KaiTi"/>
          <w:b w:val="false"/>
          <w:bCs w:val="false"/>
          <w:sz w:val="26"/>
          <w:szCs w:val="26"/>
        </w:rPr>
        <w:t xml:space="preserve">2025年6月</w:t>
      </w:r>
    </w:p>
    <w:p>
      <w:pPr>
        <w:sectPr>
          <w:pgSz w:w="11906" w:h="16838" w:orient="portrait"/>
          <w:pgMar w:top="1440" w:right="1440" w:bottom="1440" w:left="1440" w:header="708" w:footer="708" w:gutter="0"/>
          <w:pgNumType/>
          <w:docGrid w:linePitch="360"/>
        </w:sectPr>
      </w:pPr>
    </w:p>
    <w:p>
      <w:pPr>
        <w:spacing w:before="360" w:after="360"/>
        <w:jc w:val="center"/>
      </w:pPr>
      <w:r>
        <w:rPr>
          <w:rFonts w:ascii="SimHei" w:cs="SimHei" w:eastAsia="SimHei" w:hAnsi="SimHei"/>
          <w:b/>
          <w:bCs/>
          <w:color w:val="1F4E79"/>
          <w:sz w:val="36"/>
          <w:szCs w:val="36"/>
        </w:rPr>
        <w:t xml:space="preserve">目  录</w:t>
      </w:r>
    </w:p>
    <w:p>
      <w:pPr>
        <w:spacing w:after="120" w:line="400"/>
        <w:ind w:left="0"/>
      </w:pPr>
      <w:r>
        <w:rPr>
          <w:rFonts w:ascii="SimSun" w:cs="SimSun" w:eastAsia="SimSun" w:hAnsi="SimSun"/>
          <w:b/>
          <w:bCs/>
          <w:sz w:val="24"/>
          <w:szCs w:val="24"/>
        </w:rPr>
        <w:t xml:space="preserve">第一章  引言：从“数字化/智能化”走向“自主运行”</w:t>
      </w:r>
    </w:p>
    <w:p>
      <w:pPr>
        <w:spacing w:after="60" w:line="400"/>
        <w:ind w:left="480"/>
      </w:pPr>
      <w:r>
        <w:rPr>
          <w:rFonts w:ascii="SimSun" w:cs="SimSun" w:eastAsia="SimSun" w:hAnsi="SimSun"/>
          <w:b w:val="false"/>
          <w:bCs w:val="false"/>
          <w:sz w:val="22"/>
          <w:szCs w:val="22"/>
        </w:rPr>
        <w:t xml:space="preserve">1.1 研究背景与问题提出</w:t>
      </w:r>
    </w:p>
    <w:p>
      <w:pPr>
        <w:spacing w:after="60" w:line="400"/>
        <w:ind w:left="480"/>
      </w:pPr>
      <w:r>
        <w:rPr>
          <w:rFonts w:ascii="SimSun" w:cs="SimSun" w:eastAsia="SimSun" w:hAnsi="SimSun"/>
          <w:b w:val="false"/>
          <w:bCs w:val="false"/>
          <w:sz w:val="22"/>
          <w:szCs w:val="22"/>
        </w:rPr>
        <w:t xml:space="preserve">1.2 研究目标与技术路线</w:t>
      </w:r>
    </w:p>
    <w:p>
      <w:pPr>
        <w:spacing w:after="60" w:line="400"/>
        <w:ind w:left="480"/>
      </w:pPr>
      <w:r>
        <w:rPr>
          <w:rFonts w:ascii="SimSun" w:cs="SimSun" w:eastAsia="SimSun" w:hAnsi="SimSun"/>
          <w:b w:val="false"/>
          <w:bCs w:val="false"/>
          <w:sz w:val="22"/>
          <w:szCs w:val="22"/>
        </w:rPr>
        <w:t xml:space="preserve">1.3 报告结构</w:t>
      </w:r>
    </w:p>
    <w:p>
      <w:pPr>
        <w:spacing w:after="120" w:line="400"/>
        <w:ind w:left="0"/>
      </w:pPr>
      <w:r>
        <w:rPr>
          <w:rFonts w:ascii="SimSun" w:cs="SimSun" w:eastAsia="SimSun" w:hAnsi="SimSun"/>
          <w:b/>
          <w:bCs/>
          <w:sz w:val="24"/>
          <w:szCs w:val="24"/>
        </w:rPr>
        <w:t xml:space="preserve">第二章  概念与总体框架：分级能力、ODD与“四可/四原则”</w:t>
      </w:r>
    </w:p>
    <w:p>
      <w:pPr>
        <w:spacing w:after="60" w:line="400"/>
        <w:ind w:left="480"/>
      </w:pPr>
      <w:r>
        <w:rPr>
          <w:rFonts w:ascii="SimSun" w:cs="SimSun" w:eastAsia="SimSun" w:hAnsi="SimSun"/>
          <w:b w:val="false"/>
          <w:bCs w:val="false"/>
          <w:sz w:val="22"/>
          <w:szCs w:val="22"/>
        </w:rPr>
        <w:t xml:space="preserve">2.1 智能调控与自主运行的概念辨析</w:t>
      </w:r>
    </w:p>
    <w:p>
      <w:pPr>
        <w:spacing w:after="60" w:line="400"/>
        <w:ind w:left="480"/>
      </w:pPr>
      <w:r>
        <w:rPr>
          <w:rFonts w:ascii="SimSun" w:cs="SimSun" w:eastAsia="SimSun" w:hAnsi="SimSun"/>
          <w:b w:val="false"/>
          <w:bCs w:val="false"/>
          <w:sz w:val="22"/>
          <w:szCs w:val="22"/>
        </w:rPr>
        <w:t xml:space="preserve">2.2 分级能力体系：从L0到L4</w:t>
      </w:r>
    </w:p>
    <w:p>
      <w:pPr>
        <w:spacing w:after="60" w:line="400"/>
        <w:ind w:left="480"/>
      </w:pPr>
      <w:r>
        <w:rPr>
          <w:rFonts w:ascii="SimSun" w:cs="SimSun" w:eastAsia="SimSun" w:hAnsi="SimSun"/>
          <w:b w:val="false"/>
          <w:bCs w:val="false"/>
          <w:sz w:val="22"/>
          <w:szCs w:val="22"/>
        </w:rPr>
        <w:t xml:space="preserve">2.3 运行设计域（ODD）</w:t>
      </w:r>
    </w:p>
    <w:p>
      <w:pPr>
        <w:spacing w:after="60" w:line="400"/>
        <w:ind w:left="480"/>
      </w:pPr>
      <w:r>
        <w:rPr>
          <w:rFonts w:ascii="SimSun" w:cs="SimSun" w:eastAsia="SimSun" w:hAnsi="SimSun"/>
          <w:b w:val="false"/>
          <w:bCs w:val="false"/>
          <w:sz w:val="22"/>
          <w:szCs w:val="22"/>
        </w:rPr>
        <w:t xml:space="preserve">2.4 “四可”原则与“四原则”体系</w:t>
      </w:r>
    </w:p>
    <w:p>
      <w:pPr>
        <w:spacing w:after="120" w:line="400"/>
        <w:ind w:left="0"/>
      </w:pPr>
      <w:r>
        <w:rPr>
          <w:rFonts w:ascii="SimSun" w:cs="SimSun" w:eastAsia="SimSun" w:hAnsi="SimSun"/>
          <w:b/>
          <w:bCs/>
          <w:sz w:val="24"/>
          <w:szCs w:val="24"/>
        </w:rPr>
        <w:t xml:space="preserve">第三章  学科第一性原理与跨行业对标</w:t>
      </w:r>
    </w:p>
    <w:p>
      <w:pPr>
        <w:spacing w:after="60" w:line="400"/>
        <w:ind w:left="480"/>
      </w:pPr>
      <w:r>
        <w:rPr>
          <w:rFonts w:ascii="SimSun" w:cs="SimSun" w:eastAsia="SimSun" w:hAnsi="SimSun"/>
          <w:b w:val="false"/>
          <w:bCs w:val="false"/>
          <w:sz w:val="22"/>
          <w:szCs w:val="22"/>
        </w:rPr>
        <w:t xml:space="preserve">3.1 第一性原理：学科对象是“可控的水系统”</w:t>
      </w:r>
    </w:p>
    <w:p>
      <w:pPr>
        <w:spacing w:after="60" w:line="400"/>
        <w:ind w:left="480"/>
      </w:pPr>
      <w:r>
        <w:rPr>
          <w:rFonts w:ascii="SimSun" w:cs="SimSun" w:eastAsia="SimSun" w:hAnsi="SimSun"/>
          <w:b w:val="false"/>
          <w:bCs w:val="false"/>
          <w:sz w:val="22"/>
          <w:szCs w:val="22"/>
        </w:rPr>
        <w:t xml:space="preserve">3.2 “重建轻管”的结构性机制分析</w:t>
      </w:r>
    </w:p>
    <w:p>
      <w:pPr>
        <w:spacing w:after="60" w:line="400"/>
        <w:ind w:left="480"/>
      </w:pPr>
      <w:r>
        <w:rPr>
          <w:rFonts w:ascii="SimSun" w:cs="SimSun" w:eastAsia="SimSun" w:hAnsi="SimSun"/>
          <w:b w:val="false"/>
          <w:bCs w:val="false"/>
          <w:sz w:val="22"/>
          <w:szCs w:val="22"/>
        </w:rPr>
        <w:t xml:space="preserve">3.3 学科短板：缺“控制课程”本质是缺“运行科学”</w:t>
      </w:r>
    </w:p>
    <w:p>
      <w:pPr>
        <w:spacing w:after="60" w:line="400"/>
        <w:ind w:left="480"/>
      </w:pPr>
      <w:r>
        <w:rPr>
          <w:rFonts w:ascii="SimSun" w:cs="SimSun" w:eastAsia="SimSun" w:hAnsi="SimSun"/>
          <w:b w:val="false"/>
          <w:bCs w:val="false"/>
          <w:sz w:val="22"/>
          <w:szCs w:val="22"/>
        </w:rPr>
        <w:t xml:space="preserve">3.4 跨行业领先范式与国际案例对比</w:t>
      </w:r>
    </w:p>
    <w:p>
      <w:pPr>
        <w:spacing w:after="60" w:line="400"/>
        <w:ind w:left="480"/>
      </w:pPr>
      <w:r>
        <w:rPr>
          <w:rFonts w:ascii="SimSun" w:cs="SimSun" w:eastAsia="SimSun" w:hAnsi="SimSun"/>
          <w:b w:val="false"/>
          <w:bCs w:val="false"/>
          <w:sz w:val="22"/>
          <w:szCs w:val="22"/>
        </w:rPr>
        <w:t xml:space="preserve">3.5–3.8 行业对比、根因图谱、机遇与AI定位</w:t>
      </w:r>
    </w:p>
    <w:p>
      <w:pPr>
        <w:spacing w:after="120" w:line="400"/>
        <w:ind w:left="0"/>
      </w:pPr>
      <w:r>
        <w:rPr>
          <w:rFonts w:ascii="SimSun" w:cs="SimSun" w:eastAsia="SimSun" w:hAnsi="SimSun"/>
          <w:b/>
          <w:bCs/>
          <w:sz w:val="24"/>
          <w:szCs w:val="24"/>
        </w:rPr>
        <w:t xml:space="preserve">第四章  总体技术架构：云-边-端协同、数字孪生与多智能体</w:t>
      </w:r>
    </w:p>
    <w:p>
      <w:pPr>
        <w:spacing w:after="120" w:line="400"/>
        <w:ind w:left="0"/>
      </w:pPr>
      <w:r>
        <w:rPr>
          <w:rFonts w:ascii="SimSun" w:cs="SimSun" w:eastAsia="SimSun" w:hAnsi="SimSun"/>
          <w:b/>
          <w:bCs/>
          <w:sz w:val="24"/>
          <w:szCs w:val="24"/>
        </w:rPr>
        <w:t xml:space="preserve">第五章  关键技术一：统一建模与降阶</w:t>
      </w:r>
    </w:p>
    <w:p>
      <w:pPr>
        <w:spacing w:after="120" w:line="400"/>
        <w:ind w:left="0"/>
      </w:pPr>
      <w:r>
        <w:rPr>
          <w:rFonts w:ascii="SimSun" w:cs="SimSun" w:eastAsia="SimSun" w:hAnsi="SimSun"/>
          <w:b/>
          <w:bCs/>
          <w:sz w:val="24"/>
          <w:szCs w:val="24"/>
        </w:rPr>
        <w:t xml:space="preserve">第六章  关键技术二：状态重构与预测</w:t>
      </w:r>
    </w:p>
    <w:p>
      <w:pPr>
        <w:spacing w:after="120" w:line="400"/>
        <w:ind w:left="0"/>
      </w:pPr>
      <w:r>
        <w:rPr>
          <w:rFonts w:ascii="SimSun" w:cs="SimSun" w:eastAsia="SimSun" w:hAnsi="SimSun"/>
          <w:b/>
          <w:bCs/>
          <w:sz w:val="24"/>
          <w:szCs w:val="24"/>
        </w:rPr>
        <w:t xml:space="preserve">第七章  关键技术三：分层分布式优化调度与控制</w:t>
      </w:r>
    </w:p>
    <w:p>
      <w:pPr>
        <w:spacing w:after="120" w:line="400"/>
        <w:ind w:left="0"/>
      </w:pPr>
      <w:r>
        <w:rPr>
          <w:rFonts w:ascii="SimSun" w:cs="SimSun" w:eastAsia="SimSun" w:hAnsi="SimSun"/>
          <w:b/>
          <w:bCs/>
          <w:sz w:val="24"/>
          <w:szCs w:val="24"/>
        </w:rPr>
        <w:t xml:space="preserve">第八章  关键技术四：安全边界锁定与约束管理</w:t>
      </w:r>
    </w:p>
    <w:p>
      <w:pPr>
        <w:spacing w:after="120" w:line="400"/>
        <w:ind w:left="0"/>
      </w:pPr>
      <w:r>
        <w:rPr>
          <w:rFonts w:ascii="SimSun" w:cs="SimSun" w:eastAsia="SimSun" w:hAnsi="SimSun"/>
          <w:b/>
          <w:bCs/>
          <w:sz w:val="24"/>
          <w:szCs w:val="24"/>
        </w:rPr>
        <w:t xml:space="preserve">第九章  关键技术五：SIL/HIL验证与工程准入</w:t>
      </w:r>
    </w:p>
    <w:p>
      <w:pPr>
        <w:spacing w:after="120" w:line="400"/>
        <w:ind w:left="0"/>
      </w:pPr>
      <w:r>
        <w:rPr>
          <w:rFonts w:ascii="SimSun" w:cs="SimSun" w:eastAsia="SimSun" w:hAnsi="SimSun"/>
          <w:b/>
          <w:bCs/>
          <w:sz w:val="24"/>
          <w:szCs w:val="24"/>
        </w:rPr>
        <w:t xml:space="preserve">第十章  关键技术六：运维可溯与持续改进</w:t>
      </w:r>
    </w:p>
    <w:p>
      <w:pPr>
        <w:spacing w:after="120" w:line="400"/>
        <w:ind w:left="0"/>
      </w:pPr>
      <w:r>
        <w:rPr>
          <w:rFonts w:ascii="SimSun" w:cs="SimSun" w:eastAsia="SimSun" w:hAnsi="SimSun"/>
          <w:b/>
          <w:bCs/>
          <w:sz w:val="24"/>
          <w:szCs w:val="24"/>
        </w:rPr>
        <w:t xml:space="preserve">第十一章  标准体系与生态建设</w:t>
      </w:r>
    </w:p>
    <w:p>
      <w:pPr>
        <w:spacing w:after="120" w:line="400"/>
        <w:ind w:left="0"/>
      </w:pPr>
      <w:r>
        <w:rPr>
          <w:rFonts w:ascii="SimSun" w:cs="SimSun" w:eastAsia="SimSun" w:hAnsi="SimSun"/>
          <w:b/>
          <w:bCs/>
          <w:sz w:val="24"/>
          <w:szCs w:val="24"/>
        </w:rPr>
        <w:t xml:space="preserve">第十二章  示范场景、指标体系与效益评估</w:t>
      </w:r>
    </w:p>
    <w:p>
      <w:pPr>
        <w:spacing w:after="120" w:line="400"/>
        <w:ind w:left="0"/>
      </w:pPr>
      <w:r>
        <w:rPr>
          <w:rFonts w:ascii="SimSun" w:cs="SimSun" w:eastAsia="SimSun" w:hAnsi="SimSun"/>
          <w:b/>
          <w:bCs/>
          <w:sz w:val="24"/>
          <w:szCs w:val="24"/>
        </w:rPr>
        <w:t xml:space="preserve">第十三章  结论与行动建议</w:t>
      </w:r>
    </w:p>
    <w:p>
      <w:pPr>
        <w:spacing w:after="60" w:line="400"/>
        <w:ind w:left="480"/>
      </w:pPr>
      <w:r>
        <w:rPr>
          <w:rFonts w:ascii="SimSun" w:cs="SimSun" w:eastAsia="SimSun" w:hAnsi="SimSun"/>
          <w:b w:val="false"/>
          <w:bCs w:val="false"/>
          <w:sz w:val="22"/>
          <w:szCs w:val="22"/>
        </w:rPr>
        <w:t xml:space="preserve">13.1 核心结论</w:t>
      </w:r>
    </w:p>
    <w:p>
      <w:pPr>
        <w:spacing w:after="60" w:line="400"/>
        <w:ind w:left="480"/>
      </w:pPr>
      <w:r>
        <w:rPr>
          <w:rFonts w:ascii="SimSun" w:cs="SimSun" w:eastAsia="SimSun" w:hAnsi="SimSun"/>
          <w:b w:val="false"/>
          <w:bCs w:val="false"/>
          <w:sz w:val="22"/>
          <w:szCs w:val="22"/>
        </w:rPr>
        <w:t xml:space="preserve">13.2 分阶段实施路线图（2025—2035）</w:t>
      </w:r>
    </w:p>
    <w:p>
      <w:pPr>
        <w:spacing w:after="60" w:line="400"/>
        <w:ind w:left="480"/>
      </w:pPr>
      <w:r>
        <w:rPr>
          <w:rFonts w:ascii="SimSun" w:cs="SimSun" w:eastAsia="SimSun" w:hAnsi="SimSun"/>
          <w:b w:val="false"/>
          <w:bCs w:val="false"/>
          <w:sz w:val="22"/>
          <w:szCs w:val="22"/>
        </w:rPr>
        <w:t xml:space="preserve">13.3 核心行动建议（五项）</w:t>
      </w:r>
    </w:p>
    <w:p>
      <w:pPr>
        <w:spacing w:after="120" w:line="400"/>
        <w:ind w:left="0"/>
      </w:pPr>
      <w:r>
        <w:rPr>
          <w:rFonts w:ascii="SimSun" w:cs="SimSun" w:eastAsia="SimSun" w:hAnsi="SimSun"/>
          <w:b/>
          <w:bCs/>
          <w:sz w:val="24"/>
          <w:szCs w:val="24"/>
        </w:rPr>
        <w:t xml:space="preserve">第十四章  参考文献</w:t>
      </w:r>
    </w:p>
    <w:p>
      <w:r>
        <w:br w:type="page"/>
      </w:r>
    </w:p>
    <w:p>
      <w:pPr>
        <w:pStyle w:val="Heading1"/>
      </w:pPr>
      <w:r>
        <w:t xml:space="preserve">第一章  引言：从“数字化/智能化”走向“自主运行”</w:t>
      </w:r>
    </w:p>
    <w:p>
      <w:pPr>
        <w:pStyle w:val="Heading2"/>
      </w:pPr>
      <w:r>
        <w:t xml:space="preserve">1.1 研究背景与问题提出</w:t>
      </w:r>
    </w:p>
    <w:p>
      <w:pPr>
        <w:spacing w:after="120" w:line="360"/>
        <w:ind w:firstLine="480"/>
        <w:jc w:val="both"/>
      </w:pPr>
      <w:r>
        <w:rPr>
          <w:rFonts w:ascii="SimSun" w:cs="SimSun" w:eastAsia="SimSun" w:hAnsi="SimSun"/>
          <w:sz w:val="24"/>
          <w:szCs w:val="24"/>
        </w:rPr>
        <w:t xml:space="preserve">国家水网工程是中华民族伟大复兴进程中的重大战略性基础设施，涵盖跨流域调水、灌区与渠道、城市供排水、流域防洪排涝等多个关键领域。这些工程具有“跨尺度、强耦合、强约束、强不确定性”的典型特征，构成了当今世界最为复杂的水利工程体系之一。在全球气候变化加剧、极端水文事件频发的大背景下，传统的人工经验调度模式面临着前所未有的挑战。</w:t>
      </w:r>
    </w:p>
    <w:p>
      <w:pPr>
        <w:spacing w:after="120" w:line="360"/>
        <w:ind w:firstLine="480"/>
        <w:jc w:val="both"/>
      </w:pPr>
      <w:r>
        <w:rPr>
          <w:rFonts w:ascii="SimSun" w:cs="SimSun" w:eastAsia="SimSun" w:hAnsi="SimSun"/>
          <w:sz w:val="24"/>
          <w:szCs w:val="24"/>
        </w:rPr>
        <w:t xml:space="preserve">近二十年来，我国在水利信息化建设方面投入了大量资源，取得了显著成效。从“金水工程”到“智慧水利”，从遥测系统到数字孪生，技术迭代不断加速。然而，客观审视当前建设成果，一个不容回避的结构性问题正日益凸显：大量信息化系统停留在“监测展示+经验规则”层面，虽提升了“看得见”的能力，但距离《国家水网建设规划纲要》提出的“绿色智能、调控有序”及“少人化/无人化、自主闭环、安全可证”的目标仍存在关键缺口。</w:t>
      </w:r>
    </w:p>
    <w:p>
      <w:pPr>
        <w:spacing w:after="120" w:line="360"/>
        <w:ind w:firstLine="480"/>
        <w:jc w:val="both"/>
      </w:pPr>
      <w:r>
        <w:rPr>
          <w:rFonts w:ascii="SimSun" w:cs="SimSun" w:eastAsia="SimSun" w:hAnsi="SimSun"/>
          <w:sz w:val="24"/>
          <w:szCs w:val="24"/>
        </w:rPr>
        <w:t xml:space="preserve">根据水利部2023年对全国主要水利信息化项目的跟踪评估，超过70%的项目在竣工验收后的三年内出现了不同程度的功能退化，其中模型预测精度下降、决策支持系统使用率偏低、人工干预频次未显著减少等问题尤为突出。这一现象并非简单的技术问题，而是反映了整个行业在从“数字化”向“智能化”再向“自主运行”跃迁过程中，缺乏系统性的方法论指引和工程范式支撑。</w:t>
      </w:r>
    </w:p>
    <w:p>
      <w:pPr>
        <w:spacing w:after="120" w:line="360"/>
        <w:ind w:firstLine="480"/>
        <w:jc w:val="both"/>
      </w:pPr>
      <w:r>
        <w:rPr>
          <w:rFonts w:ascii="SimSun" w:cs="SimSun" w:eastAsia="SimSun" w:hAnsi="SimSun"/>
          <w:sz w:val="24"/>
          <w:szCs w:val="24"/>
        </w:rPr>
        <w:t xml:space="preserve">从全球视角看，水利行业智能化水平明显滞后于汽车、航空、电力等先进行业。国际水协（IWA）在其《Digital Water》路线图中明确指出，水行业的数字化转型正面临“数据丰富、洞察贫乏（data-rich, insight-poor）”的困境。OECD在《Financing a Water Secure Future》中进一步指出，长期投资不足与风险机制缺失严重制约了水务基础设施的可持续性。世界卫生组织（WHO）也强调，饮用水系统的安全性高度依赖运行维护（O&amp;M）能力与系统化风险管理。</w:t>
      </w:r>
    </w:p>
    <w:p>
      <w:pPr>
        <w:pStyle w:val="Heading2"/>
      </w:pPr>
      <w:r>
        <w:t xml:space="preserve">1.2 研究目标与技术路线</w:t>
      </w:r>
    </w:p>
    <w:p>
      <w:pPr>
        <w:spacing w:after="120" w:line="360"/>
        <w:ind w:firstLine="480"/>
        <w:jc w:val="both"/>
      </w:pPr>
      <w:r>
        <w:rPr>
          <w:rFonts w:ascii="SimSun" w:cs="SimSun" w:eastAsia="SimSun" w:hAnsi="SimSun"/>
          <w:sz w:val="24"/>
          <w:szCs w:val="24"/>
        </w:rPr>
        <w:t xml:space="preserve">本报告旨在突破传统“重建轻管”的思维定势，以“水网智能调控与自主运行”为核心命题，构建一套面向工程落地的关键技术体系。报告的核心理念可以概括为三个递进层次：第一，以统一的状态空间建模为底座，建立水系统的数学可表达性；第二，以控制论为灵魂，构建从感知到执行的完整闭环；第三，以工程准入为抓手，确保技术成果的可验证、可审计、可交付。</w:t>
      </w:r>
    </w:p>
    <w:p>
      <w:pPr>
        <w:spacing w:after="120" w:line="360"/>
        <w:ind w:firstLine="480"/>
        <w:jc w:val="both"/>
      </w:pPr>
      <w:r>
        <w:rPr>
          <w:rFonts w:ascii="SimSun" w:cs="SimSun" w:eastAsia="SimSun" w:hAnsi="SimSun"/>
          <w:sz w:val="24"/>
          <w:szCs w:val="24"/>
        </w:rPr>
        <w:t xml:space="preserve">技术路线遵循“理论奠基—技术攻关—工程验证—标准固化”的逻辑主线。首先，从学科第一性原理出发，明确水网智能调控的学科本质——水系统控制论（Water System Cybernetics）；其次，借鉴汽车、航空、电力等行业的成熟范式，提炼出适用于水利行业的“工程准入包”概念；然后，围绕六大关键技术展开系统阐述；最后，给出从试点到规模化的实施路线图与行动建议。</w:t>
      </w:r>
    </w:p>
    <w:p>
      <w:pPr>
        <w:spacing w:after="120" w:line="360"/>
        <w:ind w:firstLine="480"/>
        <w:jc w:val="both"/>
      </w:pPr>
      <w:r>
        <w:rPr>
          <w:rFonts w:ascii="SimSun" w:cs="SimSun" w:eastAsia="SimSun" w:hAnsi="SimSun"/>
          <w:sz w:val="24"/>
          <w:szCs w:val="24"/>
        </w:rPr>
        <w:t xml:space="preserve">本报告的预期读者包括：水利行业的决策者与管理者、水利信息化与智能化的技术实践者、高校与科研机构的相关研究人员、以及关注水利基础设施现代化的政策制定者。报告力求在理论深度与实践指导之间找到平衡，既提供严谨的学术分析框架，又给出可操作的工程实施路径。</w:t>
      </w:r>
    </w:p>
    <w:p>
      <w:pPr>
        <w:pStyle w:val="Heading2"/>
      </w:pPr>
      <w:r>
        <w:t xml:space="preserve">1.3 报告结构</w:t>
      </w:r>
    </w:p>
    <w:p>
      <w:pPr>
        <w:spacing w:after="120" w:line="360"/>
        <w:ind w:firstLine="480"/>
        <w:jc w:val="both"/>
      </w:pPr>
      <w:r>
        <w:rPr>
          <w:rFonts w:ascii="SimSun" w:cs="SimSun" w:eastAsia="SimSun" w:hAnsi="SimSun"/>
          <w:sz w:val="24"/>
          <w:szCs w:val="24"/>
        </w:rPr>
        <w:t xml:space="preserve">本报告共分为十四章。第一章为引言，阐述研究背景、目标与技术路线。第二章建立概念与总体框架，引入分级能力体系、运行设计域（ODD）与“四可/四原则”。第三章是本报告的理论基石，从学科第一性原理出发，系统分析水利行业智能化落后的根因，并通过跨行业对标提炼出“工程准入”范式。第四章到第十章分别阐述六大关键技术及总体技术架构。第十一章讨论标准体系与生态建设。第十二章给出示范场景与效益评估。第十三章提出行动建议与路线图。第十四章为参考文献。</w:t>
      </w:r>
    </w:p>
    <w:p>
      <w:pPr>
        <w:spacing w:after="120" w:line="360"/>
        <w:ind w:firstLine="480"/>
        <w:jc w:val="both"/>
      </w:pPr>
      <w:r>
        <w:rPr>
          <w:rFonts w:ascii="SimSun" w:cs="SimSun" w:eastAsia="SimSun" w:hAnsi="SimSun"/>
          <w:sz w:val="24"/>
          <w:szCs w:val="24"/>
        </w:rPr>
        <w:t xml:space="preserve">各章之间形成严密的逻辑链条：第二章、第三章提供理论框架与方法论指引，第四章到第十章提供技术解决方案，第十一章到第十三章提供实施路径与保障措施。读者可以根据自身需要，选择性地深入阅读相关章节。</w:t>
      </w:r>
    </w:p>
    <w:p>
      <w:r>
        <w:br w:type="page"/>
      </w:r>
    </w:p>
    <w:p>
      <w:pPr>
        <w:pStyle w:val="Heading1"/>
      </w:pPr>
      <w:r>
        <w:t xml:space="preserve">第二章  概念与总体框架：分级能力、ODD与“四可/四原则”</w:t>
      </w:r>
    </w:p>
    <w:p>
      <w:pPr>
        <w:pStyle w:val="Heading2"/>
      </w:pPr>
      <w:r>
        <w:t xml:space="preserve">2.1 智能调控与自主运行的概念辨析</w:t>
      </w:r>
    </w:p>
    <w:p>
      <w:pPr>
        <w:spacing w:after="120" w:line="360"/>
        <w:ind w:firstLine="480"/>
        <w:jc w:val="both"/>
      </w:pPr>
      <w:r>
        <w:rPr>
          <w:rFonts w:ascii="SimSun" w:cs="SimSun" w:eastAsia="SimSun" w:hAnsi="SimSun"/>
          <w:sz w:val="24"/>
          <w:szCs w:val="24"/>
        </w:rPr>
        <w:t xml:space="preserve">在深入技术讨论之前，有必要对“智能调控”与“自主运行”这两个核心概念进行严格辨析。长期以来，水利行业对“智能”、“智慧”等概念的使用较为宽泛，导致技术目标模糊、建设标准不清。本节试图建立一套更为精确的概念体系。</w:t>
      </w:r>
    </w:p>
    <w:p>
      <w:pPr>
        <w:spacing w:after="120" w:line="360"/>
        <w:ind w:firstLine="480"/>
        <w:jc w:val="both"/>
      </w:pPr>
      <w:r>
        <w:rPr>
          <w:rFonts w:ascii="SimSun" w:cs="SimSun" w:eastAsia="SimSun" w:hAnsi="SimSun"/>
          <w:sz w:val="24"/>
          <w:szCs w:val="24"/>
        </w:rPr>
        <w:t xml:space="preserve">智能调控（Intelligent Regulation and Control）侧重于算法层面的能力提升。其核心问题是：在给定的系统目标与运行约束下，如何通过先进的感知、建模与优化算法，实现比传统人工经验更优的调度与控制效果——更安全、更经济、更高效。智能调控是一种“工具性”能力，它增强了人类操作者的决策质量，但并不从根本上改变“人在回路中（human-in-the-loop）”的运行模式。</w:t>
      </w:r>
    </w:p>
    <w:p>
      <w:pPr>
        <w:spacing w:after="120" w:line="360"/>
        <w:ind w:firstLine="480"/>
        <w:jc w:val="both"/>
      </w:pPr>
      <w:r>
        <w:rPr>
          <w:rFonts w:ascii="SimSun" w:cs="SimSun" w:eastAsia="SimSun" w:hAnsi="SimSun"/>
          <w:sz w:val="24"/>
          <w:szCs w:val="24"/>
        </w:rPr>
        <w:t xml:space="preserve">自主运行（Autonomous Operation）则侧重于系统层面的能力跃迁。其核心特征是：在明确定义的运行设计域（Operational Design Domain, ODD）内，系统能够持续、自主地完成“感知—预测—决策—控制”的完整闭环，并对异常情形给出可解释、可追溯的处置方案。自主运行不仅要求算法的优越性，更要求系统架构的完整性、安全机制的可靠性以及工程交付的可验证性。</w:t>
      </w:r>
    </w:p>
    <w:p>
      <w:pPr>
        <w:spacing w:after="120" w:line="360"/>
        <w:ind w:firstLine="480"/>
        <w:jc w:val="both"/>
      </w:pPr>
      <w:r>
        <w:rPr>
          <w:rFonts w:ascii="SimSun" w:cs="SimSun" w:eastAsia="SimSun" w:hAnsi="SimSun"/>
          <w:sz w:val="24"/>
          <w:szCs w:val="24"/>
        </w:rPr>
        <w:t xml:space="preserve">从智能调控到自主运行，不是简单的量变，而是质变。这一跃迁涉及以下核心维度的转换：（1）从“算法正确”到“系统可信”——不仅要求算法在标准工况下表现良好，还要求系统在极端工况、故障模式、未知扰动下具备可预测的行为；（2）从“人工确认”到“自动闭环”——减少对人工介入的依赖，同时提供更强的安全保障；（3）从“功能验收”到“工程准入”——建立类似汽车适航、航空认证的严格准入体系，确保上线系统的安全可证。</w:t>
      </w:r>
    </w:p>
    <w:p>
      <w:pPr>
        <w:spacing w:after="120" w:line="360"/>
        <w:ind w:firstLine="480"/>
        <w:jc w:val="both"/>
      </w:pPr>
      <w:r>
        <w:rPr>
          <w:rFonts w:ascii="SimSun" w:cs="SimSun" w:eastAsia="SimSun" w:hAnsi="SimSun"/>
          <w:sz w:val="24"/>
          <w:szCs w:val="24"/>
        </w:rPr>
        <w:t xml:space="preserve">需要特别强调的是，自主运行并不意味着完全排除人的参与，而是将人的角色从“实时操控者”转变为“系统监督者与规则制定者”。即使在最高级别的自主运行系统中，人仍然负责设定运行策略、审核系统行为、处置超出ODD的极端事件。这一理念与航空自动驾驶、核电站安全运行等领域的最佳实践完全一致。</w:t>
      </w:r>
    </w:p>
    <w:p>
      <w:pPr>
        <w:pStyle w:val="Heading2"/>
      </w:pPr>
      <w:r>
        <w:t xml:space="preserve">2.2 分级能力体系：从L0到L4</w:t>
      </w:r>
    </w:p>
    <w:p>
      <w:pPr>
        <w:spacing w:after="120" w:line="360"/>
        <w:ind w:firstLine="480"/>
        <w:jc w:val="both"/>
      </w:pPr>
      <w:r>
        <w:rPr>
          <w:rFonts w:ascii="SimSun" w:cs="SimSun" w:eastAsia="SimSun" w:hAnsi="SimSun"/>
          <w:sz w:val="24"/>
          <w:szCs w:val="24"/>
        </w:rPr>
        <w:t xml:space="preserve">参考自动驾驶领域SAE J3016标准的分级思想，本报告将水网自主运行能力划分为L0到L4五个等级。这一分级体系不仅提供了能力评估的统一标尺，更为行业建设提供了清晰的阶段性目标。</w:t>
      </w:r>
    </w:p>
    <w:p>
      <w:pPr>
        <w:pStyle w:val="Heading3"/>
      </w:pPr>
      <w:r>
        <w:t xml:space="preserve">2.2.1 L0级：辅助监测</w:t>
      </w:r>
    </w:p>
    <w:p>
      <w:pPr>
        <w:spacing w:after="120" w:line="360"/>
        <w:ind w:firstLine="480"/>
        <w:jc w:val="both"/>
      </w:pPr>
      <w:r>
        <w:rPr>
          <w:rFonts w:ascii="SimSun" w:cs="SimSun" w:eastAsia="SimSun" w:hAnsi="SimSun"/>
          <w:sz w:val="24"/>
          <w:szCs w:val="24"/>
        </w:rPr>
        <w:t xml:space="preserve">L0级代表传统的人工全权负责模式。系统仅提供数据采集、传输与展示功能，所有的分析判断和操作决策完全由人工完成。这是当前大多数水利工程的实际运行状态。典型特征包括：SCADA系统提供实时数据显示，但缺乏自动分析能力；调度决策完全依赖操作人员的经验判断；应急处置依据预案文本，由人工逐步执行；事后分析主要依靠人工查阅历史数据记录。</w:t>
      </w:r>
    </w:p>
    <w:p>
      <w:pPr>
        <w:spacing w:after="120" w:line="360"/>
        <w:ind w:firstLine="480"/>
        <w:jc w:val="both"/>
      </w:pPr>
      <w:r>
        <w:rPr>
          <w:rFonts w:ascii="SimSun" w:cs="SimSun" w:eastAsia="SimSun" w:hAnsi="SimSun"/>
          <w:sz w:val="24"/>
          <w:szCs w:val="24"/>
        </w:rPr>
        <w:t xml:space="preserve">L0级系统的主要问题在于：人工认知容量有限，难以实时综合处理大规模水网的多源异构信息；经验决策缺乏最优性保证，且高度依赖个人能力；夜间与节假日的值守薄弱，存在响应延迟风险；决策过程不可追溯，难以进行系统化的事后复盘与改进。</w:t>
      </w:r>
    </w:p>
    <w:p>
      <w:pPr>
        <w:pStyle w:val="Heading3"/>
      </w:pPr>
      <w:r>
        <w:t xml:space="preserve">2.2.2 L1级：辅助决策</w:t>
      </w:r>
    </w:p>
    <w:p>
      <w:pPr>
        <w:spacing w:after="120" w:line="360"/>
        <w:ind w:firstLine="480"/>
        <w:jc w:val="both"/>
      </w:pPr>
      <w:r>
        <w:rPr>
          <w:rFonts w:ascii="SimSun" w:cs="SimSun" w:eastAsia="SimSun" w:hAnsi="SimSun"/>
          <w:sz w:val="24"/>
          <w:szCs w:val="24"/>
        </w:rPr>
        <w:t xml:space="preserve">L1级系统在L0基础上增加了决策辅助功能。系统能够根据当前状态和预设规则，生成调度方案建议，但最终执行权仍在人工手中。典型特征包括：基于规则或简单模型的方案推荐；异常检测与告警提示；历史案例匹配与检索；简单的趋势预测与风险预警。L1级是当前“智慧水利”建设的主要目标层级。</w:t>
      </w:r>
    </w:p>
    <w:p>
      <w:pPr>
        <w:pStyle w:val="Heading3"/>
      </w:pPr>
      <w:r>
        <w:t xml:space="preserve">2.2.3 L2级：局部闭环</w:t>
      </w:r>
    </w:p>
    <w:p>
      <w:pPr>
        <w:spacing w:after="120" w:line="360"/>
        <w:ind w:firstLine="480"/>
        <w:jc w:val="both"/>
      </w:pPr>
      <w:r>
        <w:rPr>
          <w:rFonts w:ascii="SimSun" w:cs="SimSun" w:eastAsia="SimSun" w:hAnsi="SimSun"/>
          <w:sz w:val="24"/>
          <w:szCs w:val="24"/>
        </w:rPr>
        <w:t xml:space="preserve">L2级系统实现了单一控制单元的自动闭环运行。在明确定义的边界条件下，子系统能够自主完成感知—决策—执行循环，无需人工逐步确认。典型应用场景包括：单节制闸门的恒水位自动控制；单座泵站的恒压/恒流量自动调节；单座水库的简单蓄放水自动控制。L2级已在部分先进水利工程中实现应用，例如南水北调中线工程的部分闸站已具备恒水位自动控制能力。</w:t>
      </w:r>
    </w:p>
    <w:p>
      <w:pPr>
        <w:pStyle w:val="Heading3"/>
      </w:pPr>
      <w:r>
        <w:t xml:space="preserve">2.2.4 L3级：条件自主</w:t>
      </w:r>
    </w:p>
    <w:p>
      <w:pPr>
        <w:spacing w:after="120" w:line="360"/>
        <w:ind w:firstLine="480"/>
        <w:jc w:val="both"/>
      </w:pPr>
      <w:r>
        <w:rPr>
          <w:rFonts w:ascii="SimSun" w:cs="SimSun" w:eastAsia="SimSun" w:hAnsi="SimSun"/>
          <w:sz w:val="24"/>
          <w:szCs w:val="24"/>
        </w:rPr>
        <w:t xml:space="preserve">L3级是本报告重点论述的目标层级，代表了在特定ODD内的系统级自主运行能力。其核心特征是：多个控制单元协同运行，中心MPC（模型预测控制）与现地控制形成层级化闭环；系统能够自主处理ODD内的各种正常工况与预知异常；遇到超出ODD的未知工况时，系统能够安全降级并请求人工接管。</w:t>
      </w:r>
    </w:p>
    <w:p>
      <w:pPr>
        <w:spacing w:after="120" w:line="360"/>
        <w:ind w:firstLine="480"/>
        <w:jc w:val="both"/>
      </w:pPr>
      <w:r>
        <w:rPr>
          <w:rFonts w:ascii="SimSun" w:cs="SimSun" w:eastAsia="SimSun" w:hAnsi="SimSun"/>
          <w:sz w:val="24"/>
          <w:szCs w:val="24"/>
        </w:rPr>
        <w:t xml:space="preserve">L3级的实现需要攻克一系列关键技术：大规模水网的实时状态重构与预测；考虑耦合效应的分布式模型预测控制；基于场景库的系统级验证与准入；可靠的人机交接协议（Human-Machine Teaming Protocol）；全链路的决策审计与追溯机制。L3级的工程价值极为显著：可大幅减少常规工况下的人工干预频次，实现“少人化”运行目标。</w:t>
      </w:r>
    </w:p>
    <w:p>
      <w:pPr>
        <w:pStyle w:val="Heading3"/>
      </w:pPr>
      <w:r>
        <w:t xml:space="preserve">2.2.5 L4级：高度自主</w:t>
      </w:r>
    </w:p>
    <w:p>
      <w:pPr>
        <w:spacing w:after="120" w:line="360"/>
        <w:ind w:firstLine="480"/>
        <w:jc w:val="both"/>
      </w:pPr>
      <w:r>
        <w:rPr>
          <w:rFonts w:ascii="SimSun" w:cs="SimSun" w:eastAsia="SimSun" w:hAnsi="SimSun"/>
          <w:sz w:val="24"/>
          <w:szCs w:val="24"/>
        </w:rPr>
        <w:t xml:space="preserve">L4级代表了水网自主运行的远期愿景。在扩展的ODD内，系统具备自适应学习与故障容错能力，极少依赖人工介入。L4级系统不仅能处理已知工况，还能通过在线学习和模型自适应，应对一定范围内的未知扰动。其实现需要在L3级基础上进一步突破：在线系统辨识与模型自适应更新；基于强化学习的策略优化；分布式故障诊断与自愈机制；跨系统协同与应急联动。</w:t>
      </w:r>
    </w:p>
    <w:p>
      <w:pPr>
        <w:pStyle w:val="Heading2"/>
      </w:pPr>
      <w:r>
        <w:t xml:space="preserve">2.3 运行设计域（ODD）</w:t>
      </w:r>
    </w:p>
    <w:p>
      <w:pPr>
        <w:spacing w:after="120" w:line="360"/>
        <w:ind w:firstLine="480"/>
        <w:jc w:val="both"/>
      </w:pPr>
      <w:r>
        <w:rPr>
          <w:rFonts w:ascii="SimSun" w:cs="SimSun" w:eastAsia="SimSun" w:hAnsi="SimSun"/>
          <w:sz w:val="24"/>
          <w:szCs w:val="24"/>
        </w:rPr>
        <w:t xml:space="preserve">运行设计域（Operational Design Domain, ODD）是自主运行体系的基石概念。ODD精确定义了自主系统的能力边界，明确了系统“在什么条件下、能做什么、不能做什么”。缺乏明确ODD定义的自主系统，其安全性和可信度都无法得到保证。</w:t>
      </w:r>
    </w:p>
    <w:p>
      <w:pPr>
        <w:spacing w:after="120" w:line="360"/>
        <w:ind w:firstLine="480"/>
        <w:jc w:val="both"/>
      </w:pPr>
      <w:r>
        <w:rPr>
          <w:rFonts w:ascii="SimSun" w:cs="SimSun" w:eastAsia="SimSun" w:hAnsi="SimSun"/>
          <w:sz w:val="24"/>
          <w:szCs w:val="24"/>
        </w:rPr>
        <w:t xml:space="preserve">水网自主运行的ODD需要从以下维度进行定义：（1）工况范围——包括流量范围、水位范围、水质参数范围、设备运行状态等；（2）外界扰动——包括气象条件（降雨强度、温度范围）、上下游边界变化、突发污染事件等；（3）设备状态——包括传感器可用性、执行机构健康状态、通信网络连通性等；（4）时间尺度——明确系统的响应时间要求和预测时域范围。</w:t>
      </w:r>
    </w:p>
    <w:p>
      <w:pPr>
        <w:spacing w:after="120" w:line="360"/>
        <w:ind w:firstLine="480"/>
        <w:jc w:val="both"/>
      </w:pPr>
      <w:r>
        <w:rPr>
          <w:rFonts w:ascii="SimSun" w:cs="SimSun" w:eastAsia="SimSun" w:hAnsi="SimSun"/>
          <w:sz w:val="24"/>
          <w:szCs w:val="24"/>
        </w:rPr>
        <w:t xml:space="preserve">ODD不是一成不变的，而是随着系统能力的提升而逐步扩展。在工程实践中，建议采用“最小可行ODD（Minimum Viable ODD）”策略：先在最核心、最可控的工况范围内验证系统能力，再逐步扩展到更复杂的运行条件。每次ODD扩展都需要经过严格的场景验证和准入评审。</w:t>
      </w:r>
    </w:p>
    <w:p>
      <w:pPr>
        <w:pStyle w:val="Heading2"/>
      </w:pPr>
      <w:r>
        <w:t xml:space="preserve">2.4 “四可”原则与“四原则”体系</w:t>
      </w:r>
    </w:p>
    <w:p>
      <w:pPr>
        <w:spacing w:after="120" w:line="360"/>
        <w:ind w:firstLine="480"/>
        <w:jc w:val="both"/>
      </w:pPr>
      <w:r>
        <w:rPr>
          <w:rFonts w:ascii="SimSun" w:cs="SimSun" w:eastAsia="SimSun" w:hAnsi="SimSun"/>
          <w:sz w:val="24"/>
          <w:szCs w:val="24"/>
        </w:rPr>
        <w:t xml:space="preserve">基于自主运行的工程需求，本报告提出“四可”原则作为系统建设的基本准则。机理可信原则要求：所有用于决策的模型必须具有物理可解释性，关键参数必须有明确的物理含义和合理的取值范围。这一原则并不排斥数据驱动方法的使用，但要求数据驱动组件必须嵌入物理约束框架中，输出结果必须通过物理一致性检验。</w:t>
      </w:r>
    </w:p>
    <w:p>
      <w:pPr>
        <w:spacing w:after="120" w:line="360"/>
        <w:ind w:firstLine="480"/>
        <w:jc w:val="both"/>
      </w:pPr>
      <w:r>
        <w:rPr>
          <w:rFonts w:ascii="SimSun" w:cs="SimSun" w:eastAsia="SimSun" w:hAnsi="SimSun"/>
          <w:sz w:val="24"/>
          <w:szCs w:val="24"/>
        </w:rPr>
        <w:t xml:space="preserve">边界可控原则要求：所有安全约束必须显式化、形式化，并硬编码到控制系统中，确保任何算法优化都不会突破红线。这是区分“研究性仿真”与“工程级控制”的关键分水岭。</w:t>
      </w:r>
    </w:p>
    <w:p>
      <w:pPr>
        <w:spacing w:after="120" w:line="360"/>
        <w:ind w:firstLine="480"/>
        <w:jc w:val="both"/>
      </w:pPr>
      <w:r>
        <w:rPr>
          <w:rFonts w:ascii="SimSun" w:cs="SimSun" w:eastAsia="SimSun" w:hAnsi="SimSun"/>
          <w:sz w:val="24"/>
          <w:szCs w:val="24"/>
        </w:rPr>
        <w:t xml:space="preserve">场景可验原则要求：系统上线前必须通过基于ODD的场景库测试，覆盖正常工况、边界工况、故障工况及极端组合工况。这一原则直接借鉴了汽车行业的产品化准入思路和航空行业的适航认证体系。</w:t>
      </w:r>
    </w:p>
    <w:p>
      <w:pPr>
        <w:spacing w:after="120" w:line="360"/>
        <w:ind w:firstLine="480"/>
        <w:jc w:val="both"/>
      </w:pPr>
      <w:r>
        <w:rPr>
          <w:rFonts w:ascii="SimSun" w:cs="SimSun" w:eastAsia="SimSun" w:hAnsi="SimSun"/>
          <w:sz w:val="24"/>
          <w:szCs w:val="24"/>
        </w:rPr>
        <w:t xml:space="preserve">运维可溯原则要求：从感知数据到决策输出的全链路信息必须完整记录、不可篡改、可按需回溯和审计。这一原则确保了系统的可问责性，也为持续改进提供了数据基础。</w:t>
      </w:r>
    </w:p>
    <w:p>
      <w:r>
        <w:br w:type="page"/>
      </w:r>
    </w:p>
    <w:p>
      <w:pPr>
        <w:pStyle w:val="Heading1"/>
      </w:pPr>
      <w:r>
        <w:t xml:space="preserve">第三章  学科第一性原理与跨行业对标：从“重建轻管”到“工程准入”范式</w:t>
      </w:r>
    </w:p>
    <w:p>
      <w:pPr>
        <w:pStyle w:val="Heading2"/>
      </w:pPr>
      <w:r>
        <w:t xml:space="preserve">3.1 第一性原理：学科对象是“可控的水系统”</w:t>
      </w:r>
    </w:p>
    <w:p>
      <w:pPr>
        <w:spacing w:after="120" w:line="360"/>
        <w:ind w:firstLine="480"/>
        <w:jc w:val="both"/>
      </w:pPr>
      <w:r>
        <w:rPr>
          <w:rFonts w:ascii="SimSun" w:cs="SimSun" w:eastAsia="SimSun" w:hAnsi="SimSun"/>
          <w:sz w:val="24"/>
          <w:szCs w:val="24"/>
        </w:rPr>
        <w:t xml:space="preserve">任何学科的发展都必须建立在清晰的“第一性原理”之上。所谓第一性原理，是指一个领域中最基本的、不可再分解的核心假设或公理，所有上层理论和工程实践都由此推导而来。对于智慧水利而言，明确其第一性原理具有根本性的战略意义——它决定了学科发展的方向、技术体系的架构以及人才培养的核心课程。</w:t>
      </w:r>
    </w:p>
    <w:p>
      <w:pPr>
        <w:spacing w:after="120" w:line="360"/>
        <w:ind w:firstLine="480"/>
        <w:jc w:val="both"/>
      </w:pPr>
      <w:r>
        <w:rPr>
          <w:rFonts w:ascii="SimSun" w:cs="SimSun" w:eastAsia="SimSun" w:hAnsi="SimSun"/>
          <w:sz w:val="24"/>
          <w:szCs w:val="24"/>
        </w:rPr>
        <w:t xml:space="preserve">传统水利学科的第一性原理围绕“规划—设计—施工”展开，核心关注点是水工结构的安全性、稳定性和耐久性。这一范式在工程建设阶段无疑是正确的，但它隐含了一个重大假设：工程建成后“按规程运行即可”。在小型、单一功能的水利工程中，这一假设大体成立；但当对象升级为国家水网、跨流域调水或多目标协同系统时，真正的学科对象发生了质变。</w:t>
      </w:r>
    </w:p>
    <w:p>
      <w:pPr>
        <w:spacing w:after="120" w:line="360"/>
        <w:ind w:firstLine="480"/>
        <w:jc w:val="both"/>
      </w:pPr>
      <w:r>
        <w:rPr>
          <w:rFonts w:ascii="SimSun" w:cs="SimSun" w:eastAsia="SimSun" w:hAnsi="SimSun"/>
          <w:sz w:val="24"/>
          <w:szCs w:val="24"/>
        </w:rPr>
        <w:t xml:space="preserve">我们提出：智慧水利的学科对象不是“水”本身，也不是“水工结构”，而是“可控的水系统”。这意味着学科的核心问题重新定义为——在不确定扰动下、在多重安全约束内，让水系统长期稳定、经济、可解释地运行。这一定义将运行阶段的“可控性”提升到与建设阶段的“可建性”同等重要的地位。</w:t>
      </w:r>
    </w:p>
    <w:p>
      <w:pPr>
        <w:spacing w:after="120" w:line="360"/>
        <w:ind w:firstLine="480"/>
        <w:jc w:val="both"/>
      </w:pPr>
      <w:r>
        <w:rPr>
          <w:rFonts w:ascii="SimSun" w:cs="SimSun" w:eastAsia="SimSun" w:hAnsi="SimSun"/>
          <w:sz w:val="24"/>
          <w:szCs w:val="24"/>
        </w:rPr>
        <w:t xml:space="preserve">由此推导，智慧水利本质上是一门“水系统控制论（Water System Cybernetics）”。控制论的创始人诺伯特·维纳（Norbert Wiener）将控制论定义为“关于在动物和机器中控制和通信的科学”。类比地，水系统控制论研究的是“在水网系统中实现目标导向的、受约束的、闭环的最优运行”。</w:t>
      </w:r>
    </w:p>
    <w:p>
      <w:pPr>
        <w:spacing w:after="120" w:line="360"/>
        <w:ind w:firstLine="480"/>
        <w:jc w:val="both"/>
      </w:pPr>
      <w:r>
        <w:rPr>
          <w:rFonts w:ascii="SimSun" w:cs="SimSun" w:eastAsia="SimSun" w:hAnsi="SimSun"/>
          <w:sz w:val="24"/>
          <w:szCs w:val="24"/>
        </w:rPr>
        <w:t xml:space="preserve">水系统控制论的第一性原理要求一个严密的闭环：感知（Sensing）→ 状态重构（State Reconstruction）→ 预测（Prediction）→ 决策（Decision）→ 控制（Control）→ 验证与审计（Verification &amp; Audit）。这六个环节缺一不可，任何切断此闭环的建设——如只做大屏展示、只做离线仿真、只做规则告警——都偏离了学科本质。</w:t>
      </w:r>
    </w:p>
    <w:p>
      <w:pPr>
        <w:pStyle w:val="Heading2"/>
      </w:pPr>
      <w:r>
        <w:t xml:space="preserve">3.2 “重建轻管”的结构性机制分析</w:t>
      </w:r>
    </w:p>
    <w:p>
      <w:pPr>
        <w:spacing w:after="120" w:line="360"/>
        <w:ind w:firstLine="480"/>
        <w:jc w:val="both"/>
      </w:pPr>
      <w:r>
        <w:rPr>
          <w:rFonts w:ascii="SimSun" w:cs="SimSun" w:eastAsia="SimSun" w:hAnsi="SimSun"/>
          <w:sz w:val="24"/>
          <w:szCs w:val="24"/>
        </w:rPr>
        <w:t xml:space="preserve">“重建轻管”是中国水利行业长期存在的痼疾，也是当前“有数字、无智能”困境的根本成因。本节从系统动力学视角，深入分析这一问题的结构性机制，揭示其自我强化的正反馈循环。</w:t>
      </w:r>
    </w:p>
    <w:p>
      <w:pPr>
        <w:spacing w:after="120" w:line="360"/>
        <w:ind w:firstLine="480"/>
        <w:jc w:val="both"/>
      </w:pPr>
      <w:r>
        <w:rPr>
          <w:rFonts w:ascii="SimSun" w:cs="SimSun" w:eastAsia="SimSun" w:hAnsi="SimSun"/>
          <w:sz w:val="24"/>
          <w:szCs w:val="24"/>
        </w:rPr>
        <w:t xml:space="preserve">“重建轻管”不仅是观念问题，更是一个系统动力学结果：当绩效评价体系与资金投向主要奖励建设（CAPEX）而非运行（OPEX）时，整个行业会自然地、系统性地堆叠“看得见的工程”，却长期缺失“看不见的能力”。</w:t>
      </w:r>
    </w:p>
    <w:p>
      <w:pPr>
        <w:spacing w:after="120" w:line="360"/>
        <w:ind w:firstLine="480"/>
        <w:jc w:val="both"/>
      </w:pPr>
      <w:r>
        <w:rPr>
          <w:rFonts w:ascii="SimSun" w:cs="SimSun" w:eastAsia="SimSun" w:hAnsi="SimSun"/>
          <w:sz w:val="24"/>
          <w:szCs w:val="24"/>
        </w:rPr>
        <w:t xml:space="preserve">在资金层面：水利建设资金以项目制为主，每个项目有明确的建设期和竣工验收节点。建设期内，资金使用有严格的时间约束，必须在计划周期内完成支出。这一机制天然有利于“看得见”的工程建设，而不利于“看不见”的运行维护能力积累。建成后的运行维护资金通常由地方政府承担，在财政压力下往往被压缩。</w:t>
      </w:r>
    </w:p>
    <w:p>
      <w:pPr>
        <w:spacing w:after="120" w:line="360"/>
        <w:ind w:firstLine="480"/>
        <w:jc w:val="both"/>
      </w:pPr>
      <w:r>
        <w:rPr>
          <w:rFonts w:ascii="SimSun" w:cs="SimSun" w:eastAsia="SimSun" w:hAnsi="SimSun"/>
          <w:sz w:val="24"/>
          <w:szCs w:val="24"/>
        </w:rPr>
        <w:t xml:space="preserve">在绩效层面：工程建设的成果可见、可量化（建了多少公里渠道、多少座泵站），容易在绩效评价中获得高分。而运行能力的提升往往表现为“事故减少”“效率提升”等难以直接归因的结果，在绩效评价中处于弱势地位。</w:t>
      </w:r>
    </w:p>
    <w:p>
      <w:pPr>
        <w:spacing w:after="120" w:line="360"/>
        <w:ind w:firstLine="480"/>
        <w:jc w:val="both"/>
      </w:pPr>
      <w:r>
        <w:rPr>
          <w:rFonts w:ascii="SimSun" w:cs="SimSun" w:eastAsia="SimSun" w:hAnsi="SimSun"/>
          <w:sz w:val="24"/>
          <w:szCs w:val="24"/>
        </w:rPr>
        <w:t xml:space="preserve">“重建轻管”导致了三类关键能力的系统性缺失。第一，运行约束缺失：红线水位、变幅限制、设备寿命、能耗限额等关键运行约束，未能从设计参数转化为控制系统中的形式化约束。第二，状态不可知：在观测稀疏、缺测频发的条件下，缺乏可验证的状态估计能力。第三，验证体系缺失：缺少面向极端工况的“场景—验证—准入”机制。</w:t>
      </w:r>
    </w:p>
    <w:p>
      <w:pPr>
        <w:pStyle w:val="Heading2"/>
      </w:pPr>
      <w:r>
        <w:t xml:space="preserve">3.3 学科短板：缺“控制课程”本质是缺“运行科学”</w:t>
      </w:r>
    </w:p>
    <w:p>
      <w:pPr>
        <w:spacing w:after="120" w:line="360"/>
        <w:ind w:firstLine="480"/>
        <w:jc w:val="both"/>
      </w:pPr>
      <w:r>
        <w:rPr>
          <w:rFonts w:ascii="SimSun" w:cs="SimSun" w:eastAsia="SimSun" w:hAnsi="SimSun"/>
          <w:sz w:val="24"/>
          <w:szCs w:val="24"/>
        </w:rPr>
        <w:t xml:space="preserve">水利学科长期被“工程交付链”和“仿真工具链”塑形，形成了以“正向仿真”为核心能力的知识体系。学生精通从已知条件计算未知结果（给定边界条件，求解水位/流量分布），却缺乏处理“逆问题”的能力（从有限观测推断系统状态，从运行目标反推控制策略）。</w:t>
      </w:r>
    </w:p>
    <w:p>
      <w:pPr>
        <w:spacing w:after="120" w:line="360"/>
        <w:ind w:firstLine="480"/>
        <w:jc w:val="both"/>
      </w:pPr>
      <w:r>
        <w:rPr>
          <w:rFonts w:ascii="SimSun" w:cs="SimSun" w:eastAsia="SimSun" w:hAnsi="SimSun"/>
          <w:sz w:val="24"/>
          <w:szCs w:val="24"/>
        </w:rPr>
        <w:t xml:space="preserve">具体而言，当前水利教育体系中存在以下关键知识缺口：第一，状态估计与数据同化——这是从“数据”到“信息”的关键桥梁；第二，系统辨识与参数估计——实际工程中模型参数往往不可直接测量；第三，模型预测控制（MPC）与分布式控制——MPC是当代过程控制领域的核心方法论；第四，鲁棒优化与不确定性处理；第五，安全论证与SIL/HIL验证。</w:t>
      </w:r>
    </w:p>
    <w:p>
      <w:pPr>
        <w:spacing w:after="120" w:line="360"/>
        <w:ind w:firstLine="480"/>
        <w:jc w:val="both"/>
      </w:pPr>
      <w:r>
        <w:rPr>
          <w:rFonts w:ascii="SimSun" w:cs="SimSun" w:eastAsia="SimSun" w:hAnsi="SimSun"/>
          <w:sz w:val="24"/>
          <w:szCs w:val="24"/>
        </w:rPr>
        <w:t xml:space="preserve">对标建议：借鉴汽车、航空、电力等行业将“运行安全”作为核心学科的经验，水利急需补齐“运行科学”课程群。建议在水利工程本科和研究生培养方案中增设核心课程：水系统状态估计与数据同化、水系统辨识与自适应控制、模型预测控制原理与水利应用、水系统鲁棒优化与不确定性量化、水利控制系统安全论证与验证。</w:t>
      </w:r>
    </w:p>
    <w:p>
      <w:pPr>
        <w:pStyle w:val="Heading2"/>
      </w:pPr>
      <w:r>
        <w:t xml:space="preserve">3.4 跨行业领先范式：差距在“工程准入包”</w:t>
      </w:r>
    </w:p>
    <w:p>
      <w:pPr>
        <w:spacing w:after="120" w:line="360"/>
        <w:ind w:firstLine="480"/>
        <w:jc w:val="both"/>
      </w:pPr>
      <w:r>
        <w:rPr>
          <w:rFonts w:ascii="SimSun" w:cs="SimSun" w:eastAsia="SimSun" w:hAnsi="SimSun"/>
          <w:sz w:val="24"/>
          <w:szCs w:val="24"/>
        </w:rPr>
        <w:t xml:space="preserve">通过系统性的跨行业对标分析，我们发现水利行业与先进行业的最大差距不在于是否有“数字孪生”或“人工智能”，而在于是否有一套强制的“工程准入范式”——即一套从设计到上线的完整质量保证体系，确保每个上线的智能系统都经过了严格的、可追溯的验证。</w:t>
      </w:r>
    </w:p>
    <w:p>
      <w:pPr>
        <w:spacing w:after="120" w:line="360"/>
        <w:ind w:firstLine="480"/>
        <w:jc w:val="both"/>
      </w:pPr>
      <w:r>
        <w:rPr>
          <w:rFonts w:ascii="SimSun" w:cs="SimSun" w:eastAsia="SimSun" w:hAnsi="SimSun"/>
          <w:sz w:val="24"/>
          <w:szCs w:val="24"/>
        </w:rPr>
        <w:t xml:space="preserve">在汽车行业，自动驾驶系统的开发遵循严格的产品化准入流程。SAE J3016标准定义了从L0到L5的自动驾驶分级，每个等级都有明确的ODD要求。ISO 26262标准规定了从概念设计到退役的全生命周期安全流程。在航空行业，机载软件的开发遵循DO-178C标准，根据软件故障对飞行安全的影响程度划分设计保证等级。在电力行业，电网调度控制系统基于IEC 61970建立了统一的语义框架。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行业</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核心范式</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关键交付物</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水利现状</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汽车</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产品化准入</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ODD + 场景库 + ISO 26262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缺自动化分级与场景库</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航空</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适航/认证</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DO-178C + 设计保证等级</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缺软件安全分级与适航证据</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电力</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统一语义调控</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IEC 61970 (CIM) + 调控中心</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缺统一语义模型与互操作</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水利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项目堆砌</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工程实体 + 规程 + 平台</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缺ODD、场景库、SIL/HIL、证据链</w:t>
            </w:r>
          </w:p>
        </w:tc>
      </w:tr>
    </w:tbl>
    <w:p>
      <w:pPr>
        <w:spacing w:before="120"/>
      </w:pPr>
    </w:p>
    <w:p>
      <w:pPr>
        <w:spacing w:after="120" w:line="360"/>
        <w:ind w:firstLine="480"/>
        <w:jc w:val="both"/>
      </w:pPr>
      <w:r>
        <w:rPr>
          <w:rFonts w:ascii="SimSun" w:cs="SimSun" w:eastAsia="SimSun" w:hAnsi="SimSun"/>
          <w:sz w:val="24"/>
          <w:szCs w:val="24"/>
        </w:rPr>
        <w:t xml:space="preserve">上表清晰地展示了差距所在。水利行业在数字化基础设施建设方面投入不菲，但缺乏将这些基础设施转化为“可信自主运行系统”的范式性工具。</w:t>
      </w:r>
    </w:p>
    <w:p>
      <w:pPr>
        <w:pStyle w:val="Heading3"/>
      </w:pPr>
      <w:r>
        <w:t xml:space="preserve">3.4.1 荷兰：运河自动化控制的全球标杆</w:t>
      </w:r>
    </w:p>
    <w:p>
      <w:pPr>
        <w:spacing w:after="120" w:line="360"/>
        <w:ind w:firstLine="480"/>
        <w:jc w:val="both"/>
      </w:pPr>
      <w:r>
        <w:rPr>
          <w:rFonts w:ascii="SimSun" w:cs="SimSun" w:eastAsia="SimSun" w:hAnsi="SimSun"/>
          <w:sz w:val="24"/>
          <w:szCs w:val="24"/>
        </w:rPr>
        <w:t xml:space="preserve">荷兰是全球水系统自动化控制的先驱。荷兰国家水利局（Rijkswaterstaat）管理着超过6000公里的运河和水道网络，其中Maeslantkering风暴潮屏障是全球最大的自动控制水利设施。该屏障在北海风暴潮超过+3.0m NAP时自动关闭，整个决策-执行链完全自动化，关闭时间约2小时。Maeslantkering的控制系统采用“双重冗余+独立校验”架构，故障容忍目标为每次关闭的失败概率低于1/100，系统自1997年投入运行以来已通过了多次实战考验。</w:t>
      </w:r>
    </w:p>
    <w:p>
      <w:pPr>
        <w:spacing w:after="120" w:line="360"/>
        <w:ind w:firstLine="480"/>
        <w:jc w:val="both"/>
      </w:pPr>
      <w:r>
        <w:rPr>
          <w:rFonts w:ascii="SimSun" w:cs="SimSun" w:eastAsia="SimSun" w:hAnsi="SimSun"/>
          <w:sz w:val="24"/>
          <w:szCs w:val="24"/>
        </w:rPr>
        <w:t xml:space="preserve">荷兰TU Delft大学在明渠MPC控制领域处于世界领先地位。van Overloop等人在荷兰灌溉渠道和主排水系统上成功实施了集中式和分布式MPC，实测结果表明：与传统PID控制相比，MPC可将水位波动标准差降低40～60%，输水效率提升5～8%。其研究成果已推广至美国加州中央河谷灌区和澳大利亚Murray-Darling流域。</w:t>
      </w:r>
    </w:p>
    <w:p>
      <w:pPr>
        <w:pStyle w:val="Heading3"/>
      </w:pPr>
      <w:r>
        <w:t xml:space="preserve">3.4.2 以色列Mekorot：全国水网的集中优化调度</w:t>
      </w:r>
    </w:p>
    <w:p>
      <w:pPr>
        <w:spacing w:after="120" w:line="360"/>
        <w:ind w:firstLine="480"/>
        <w:jc w:val="both"/>
      </w:pPr>
      <w:r>
        <w:rPr>
          <w:rFonts w:ascii="SimSun" w:cs="SimSun" w:eastAsia="SimSun" w:hAnsi="SimSun"/>
          <w:sz w:val="24"/>
          <w:szCs w:val="24"/>
        </w:rPr>
        <w:t xml:space="preserve">以色列国家水务公司Mekorot运营着全球最复杂的跨区域供水系统之一，将北部加利利湖和海水淡化厂的水源输送至南部内盖夫沙漠。该系统包含超过10000公里管线、130座泵站和3000个传感器。Mekorot的“AquaOptima”调度优化平台实现了全网实时优化，核心功能包括：基于EPANET和自有水力模型的实时仿真、72小时滚动需水预测、泵站群能耗最优调度。据公开报告，该平台上线后系统能耗降低了约15%，漏损率从12%降至8%。</w:t>
      </w:r>
    </w:p>
    <w:p>
      <w:pPr>
        <w:spacing w:after="120" w:line="360"/>
        <w:ind w:firstLine="480"/>
        <w:jc w:val="both"/>
      </w:pPr>
      <w:r>
        <w:rPr>
          <w:rFonts w:ascii="SimSun" w:cs="SimSun" w:eastAsia="SimSun" w:hAnsi="SimSun"/>
          <w:sz w:val="24"/>
          <w:szCs w:val="24"/>
        </w:rPr>
        <w:t xml:space="preserve">Mekorot的经验对中国水网的核心启示在于：全网集中优化调度是可行的，但前提是具备完善的SCADA系统覆盖（传感器密度约每3公里一个）、精准的水力模型校核（每月一次全网校核）、以及强有力的组织保障（调度中心拥有全网控制权）。</w:t>
      </w:r>
    </w:p>
    <w:p>
      <w:pPr>
        <w:pStyle w:val="Heading3"/>
      </w:pPr>
      <w:r>
        <w:t xml:space="preserve">3.4.3 新加坡PUB：“四大水龙头”的智慧协同</w:t>
      </w:r>
    </w:p>
    <w:p>
      <w:pPr>
        <w:spacing w:after="120" w:line="360"/>
        <w:ind w:firstLine="480"/>
        <w:jc w:val="both"/>
      </w:pPr>
      <w:r>
        <w:rPr>
          <w:rFonts w:ascii="SimSun" w:cs="SimSun" w:eastAsia="SimSun" w:hAnsi="SimSun"/>
          <w:sz w:val="24"/>
          <w:szCs w:val="24"/>
        </w:rPr>
        <w:t xml:space="preserve">新加坡公用事业局（PUB）构建了覆盖“进口水—集水—NEWater—海水淡化”四大水源的智慧水网。PUB的数字孪生平台整合了GIS、水力模型、SCADA和AI分析模块，实现了从水源到用户的全链路可视化与优化。其核心成效包括：无收益水（NRW）率降至全球领先的5%以下；管网泄漏检测响应时间缩短至4小时以内；能耗强度（kWh/m³）持续降低。</w:t>
      </w:r>
    </w:p>
    <w:p>
      <w:pPr>
        <w:spacing w:after="120" w:line="360"/>
        <w:ind w:firstLine="480"/>
        <w:jc w:val="both"/>
      </w:pPr>
      <w:r>
        <w:rPr>
          <w:rFonts w:ascii="SimSun" w:cs="SimSun" w:eastAsia="SimSun" w:hAnsi="SimSun"/>
          <w:sz w:val="24"/>
          <w:szCs w:val="24"/>
        </w:rPr>
        <w:t xml:space="preserve">PUB在AI应用方面的“Smart Water Grid”项目值得关注：利用机器学习进行管网爆管预测（准确率达85%以上）、通过声学传感器阵列进行实时泄漏定位（定位精度±2m）、基于强化学习优化水处理工艺参数。但PUB的经验也表明，AI应用的成功高度依赖于底层数据质量和模型校核体系的完善程度。</w:t>
      </w:r>
    </w:p>
    <w:p>
      <w:pPr>
        <w:pStyle w:val="Heading3"/>
      </w:pPr>
      <w:r>
        <w:t xml:space="preserve">3.4.4 英国Thames Water：老化管网的教训与启示</w:t>
      </w:r>
    </w:p>
    <w:p>
      <w:pPr>
        <w:spacing w:after="120" w:line="360"/>
        <w:ind w:firstLine="480"/>
        <w:jc w:val="both"/>
      </w:pPr>
      <w:r>
        <w:rPr>
          <w:rFonts w:ascii="SimSun" w:cs="SimSun" w:eastAsia="SimSun" w:hAnsi="SimSun"/>
          <w:sz w:val="24"/>
          <w:szCs w:val="24"/>
        </w:rPr>
        <w:t xml:space="preserve">英国泰晤士水务（Thames Water）的案例提供了重要的反面教训。作为英国最大的水务公司，Thames Water面临着严重的基础设施老化问题：部分管网运营超过150年，漏损率约为24%（2023年数据），远高于行业先进水平。2024年《金融时报》报道指出，Thames Water的老化资产已对公共安全构成风险。</w:t>
      </w:r>
    </w:p>
    <w:p>
      <w:pPr>
        <w:spacing w:after="120" w:line="360"/>
        <w:ind w:firstLine="480"/>
        <w:jc w:val="both"/>
      </w:pPr>
      <w:r>
        <w:rPr>
          <w:rFonts w:ascii="SimSun" w:cs="SimSun" w:eastAsia="SimSun" w:hAnsi="SimSun"/>
          <w:sz w:val="24"/>
          <w:szCs w:val="24"/>
        </w:rPr>
        <w:t xml:space="preserve">Thames Water的困境揭示了一个深层教训：如果长期忽视运行维护投入（OPEX不足）和智能化升级，基础设施将不可避免地走向退化。这与中国水利行业“重建轻管”的结构性问题高度相似。Thames Water当前正在推行“Smart Metering Programme”，计划在2030年前安装370万只智能水表，将漏损率降至16%以下。这一投资规模（约16亿英镑）凸显了事后补课的高昂代价——远不如在建设初期就将智能化纳入系统设计。</w:t>
      </w:r>
    </w:p>
    <w:p>
      <w:pPr>
        <w:pStyle w:val="Heading3"/>
      </w:pPr>
      <w:r>
        <w:t xml:space="preserve">3.4.5 澳大利亚Murray-Darling流域：多目标协调的先行者</w:t>
      </w:r>
    </w:p>
    <w:p>
      <w:pPr>
        <w:spacing w:after="120" w:line="360"/>
        <w:ind w:firstLine="480"/>
        <w:jc w:val="both"/>
      </w:pPr>
      <w:r>
        <w:rPr>
          <w:rFonts w:ascii="SimSun" w:cs="SimSun" w:eastAsia="SimSun" w:hAnsi="SimSun"/>
          <w:sz w:val="24"/>
          <w:szCs w:val="24"/>
        </w:rPr>
        <w:t xml:space="preserve">Murray-Darling流域是全球多目标水资源管理的典型案例。该流域覆盖澳大利亚东南部100万平方公里，涉及4个州和1个领地的水权分配。Murray-Darling Basin Authority（MDBA）实施的“Basin Plan 2012”首次将环境用水权纳入法定框架，要求从灌溉用水中回收2750GL/年用于生态恢复。</w:t>
      </w:r>
    </w:p>
    <w:p>
      <w:pPr>
        <w:spacing w:after="120" w:line="360"/>
        <w:ind w:firstLine="480"/>
        <w:jc w:val="both"/>
      </w:pPr>
      <w:r>
        <w:rPr>
          <w:rFonts w:ascii="SimSun" w:cs="SimSun" w:eastAsia="SimSun" w:hAnsi="SimSun"/>
          <w:sz w:val="24"/>
          <w:szCs w:val="24"/>
        </w:rPr>
        <w:t xml:space="preserve">MDBA的运行优化系统面临的核心挑战与中国国家水网高度相似：极长的水力传输时滞（Murray River从源头到河口的传输时间约30天）、多利益主体间的水权博弈、气候变化导致的极端干旱与洪水交替。MDBA采用的“渐进式自动化”策略值得借鉴：从人工调度辅以模型建议起步，逐步扩大自动控制范围，每次扩展都经过严格的利益相关方协商和安全评审。</w:t>
      </w:r>
    </w:p>
    <w:p>
      <w:pPr>
        <w:pStyle w:val="Heading2"/>
      </w:pPr>
      <w:r>
        <w:t xml:space="preserve">3.5 涉水行业内部对比分析</w:t>
      </w:r>
    </w:p>
    <w:p>
      <w:pPr>
        <w:spacing w:after="120" w:line="360"/>
        <w:ind w:firstLine="480"/>
        <w:jc w:val="both"/>
      </w:pPr>
      <w:r>
        <w:rPr>
          <w:rFonts w:ascii="SimSun" w:cs="SimSun" w:eastAsia="SimSun" w:hAnsi="SimSun"/>
          <w:sz w:val="24"/>
          <w:szCs w:val="24"/>
        </w:rPr>
        <w:t xml:space="preserve">水电行业在涉水领域中智能化水平最高。其核心优势在于：资产高度集中，边界清晰，电网调度体系成熟，天然具备闭环控制基因。水务行业的智能化水平处于中等偏上，商业化程度高，运营企业有直接的经济动力去降低运行成本。但水务行业也面临全球共性挑战：资产老化严重，更新投资不足。</w:t>
      </w:r>
    </w:p>
    <w:p>
      <w:pPr>
        <w:spacing w:after="120" w:line="360"/>
        <w:ind w:firstLine="480"/>
        <w:jc w:val="both"/>
      </w:pPr>
      <w:r>
        <w:rPr>
          <w:rFonts w:ascii="SimSun" w:cs="SimSun" w:eastAsia="SimSun" w:hAnsi="SimSun"/>
          <w:sz w:val="24"/>
          <w:szCs w:val="24"/>
        </w:rPr>
        <w:t xml:space="preserve">水利行业在涉水领域中面临的挑战最为严峻：对象最大（国家水网、跨流域调水）、耦合最多（水量-水质-生态-防洪多目标）、权责最碎（多部门、多层级、多利益主体）、约束最复杂（安全红线、民生保障、生态流量、经济效益多重约束）。但反过来看，一旦攻克“水网自主运行”的关键技术，其外溢价值也最大。</w:t>
      </w:r>
    </w:p>
    <w:p>
      <w:pPr>
        <w:pStyle w:val="Heading2"/>
      </w:pPr>
      <w:r>
        <w:t xml:space="preserve">3.6 落后成因“四维根因图谱”</w:t>
      </w:r>
    </w:p>
    <w:p>
      <w:pPr>
        <w:spacing w:after="120" w:line="360"/>
        <w:ind w:firstLine="480"/>
        <w:jc w:val="both"/>
      </w:pPr>
      <w:r>
        <w:rPr>
          <w:rFonts w:ascii="SimSun" w:cs="SimSun" w:eastAsia="SimSun" w:hAnsi="SimSun"/>
          <w:sz w:val="24"/>
          <w:szCs w:val="24"/>
        </w:rPr>
        <w:t xml:space="preserve">综合以上分析，水利行业智能化落后的根因可以从体制、机制、技术、政策四个维度进行系统归纳。体制维度：多头管理是最核心的体制挑战，目标函数难统一，责任边界难闭环。机制维度：项目制交付重“上线”轻“版本治理”，数据模型难复用。技术维度：同化能力弱导致“状态不可知”，约束执行不一致导致“遇事失控”。政策维度：缺乏针对智能算法/策略的强制准入包（第三方评测）。</w:t>
      </w:r>
    </w:p>
    <w:p>
      <w:pPr>
        <w:pStyle w:val="Heading2"/>
      </w:pPr>
      <w:r>
        <w:t xml:space="preserve">3.7 迎头赶上的机遇与战略路径</w:t>
      </w:r>
    </w:p>
    <w:p>
      <w:pPr>
        <w:spacing w:after="120" w:line="360"/>
        <w:ind w:firstLine="480"/>
        <w:jc w:val="both"/>
      </w:pPr>
      <w:r>
        <w:rPr>
          <w:rFonts w:ascii="SimSun" w:cs="SimSun" w:eastAsia="SimSun" w:hAnsi="SimSun"/>
          <w:sz w:val="24"/>
          <w:szCs w:val="24"/>
        </w:rPr>
        <w:t xml:space="preserve">尽管面临诸多挑战，当前正是水利行业实现智能化跨越的最佳机遇窗口。《国家水网建设规划纲要》与数字孪生水利建设已进入“怎么做、怎么验收”的关键阶段。战略路径的核心是以“工程准入包”作为硬交付，替代当前以“功能点清单”为主的软验收。</w:t>
      </w:r>
    </w:p>
    <w:p>
      <w:pPr>
        <w:spacing w:after="120" w:line="360"/>
        <w:ind w:firstLine="480"/>
        <w:jc w:val="both"/>
      </w:pPr>
      <w:r>
        <w:rPr>
          <w:rFonts w:ascii="SimSun" w:cs="SimSun" w:eastAsia="SimSun" w:hAnsi="SimSun"/>
          <w:sz w:val="24"/>
          <w:szCs w:val="24"/>
        </w:rPr>
        <w:t xml:space="preserve">“工程准入包”包含四大核心要素：第一，ODD承诺书——明确智能系统的能力边界；第二，约束模板库——一致化执行硬约束/软约束；第三，场景库加覆盖度报告——把组合风险工程化；第四，SIL/HIL加证据链——把算法变成可审计的产品。</w:t>
      </w:r>
    </w:p>
    <w:p>
      <w:pPr>
        <w:pStyle w:val="Heading2"/>
      </w:pPr>
      <w:r>
        <w:t xml:space="preserve">3.8 AGI/Agentic AI背景下的“AI增强控制工程”</w:t>
      </w:r>
    </w:p>
    <w:p>
      <w:pPr>
        <w:spacing w:after="120" w:line="360"/>
        <w:ind w:firstLine="480"/>
        <w:jc w:val="both"/>
      </w:pPr>
      <w:r>
        <w:rPr>
          <w:rFonts w:ascii="SimSun" w:cs="SimSun" w:eastAsia="SimSun" w:hAnsi="SimSun"/>
          <w:sz w:val="24"/>
          <w:szCs w:val="24"/>
        </w:rPr>
        <w:t xml:space="preserve">当前全球正处于人工智能快速演进的历史节点。根据Gartner的预测，到2027年超过40%的Agentic AI项目可能因风险控制不足而失败。水利行业的正确姿态应该是“AI增强控制工程”，即利用AI的强大能力来增强控制工程的效率和效果，同时严守控制工程的安全底线。</w:t>
      </w:r>
    </w:p>
    <w:p>
      <w:pPr>
        <w:spacing w:after="120" w:line="360"/>
        <w:ind w:firstLine="480"/>
        <w:jc w:val="both"/>
      </w:pPr>
      <w:r>
        <w:rPr>
          <w:rFonts w:ascii="SimSun" w:cs="SimSun" w:eastAsia="SimSun" w:hAnsi="SimSun"/>
          <w:sz w:val="24"/>
          <w:szCs w:val="24"/>
        </w:rPr>
        <w:t xml:space="preserve">具体策略包括三个层面：第一，利用AI提效——利用大语言模型降低建模、运维、培训的边际成本；第二，严守控制底线——越是“强智能”的系统，越需要严格的ODD定义、完备的场景库和规范的SIL/HIL验证；第三，明确定位——AI是加速器和增强工具，控制工程是安全基座和信任锚点。</w:t>
      </w:r>
    </w:p>
    <w:p>
      <w:r>
        <w:br w:type="page"/>
      </w:r>
    </w:p>
    <w:p>
      <w:pPr>
        <w:pStyle w:val="Heading1"/>
      </w:pPr>
      <w:r>
        <w:t xml:space="preserve">第四章  总体技术架构：云-边-端协同、数字孪生与多智能体</w:t>
      </w:r>
    </w:p>
    <w:p>
      <w:pPr>
        <w:pStyle w:val="Heading2"/>
      </w:pPr>
      <w:r>
        <w:t xml:space="preserve">4.1 云-边-端协同架构总述</w:t>
      </w:r>
    </w:p>
    <w:p>
      <w:pPr>
        <w:spacing w:after="120" w:line="360"/>
        <w:ind w:firstLine="480"/>
        <w:jc w:val="both"/>
      </w:pPr>
      <w:r>
        <w:rPr>
          <w:rFonts w:ascii="SimSun" w:cs="SimSun" w:eastAsia="SimSun" w:hAnsi="SimSun"/>
          <w:sz w:val="24"/>
          <w:szCs w:val="24"/>
        </w:rPr>
        <w:t xml:space="preserve">水网智能调控与自主运行系统采用“云-边-端”三层协同架构。云侧（Cloud Layer）是整个系统的“大脑”，承载全局态势感知、长周期滚动优化、知识图谱管理与大模型服务等高层功能。云侧的典型时间尺度为小时到天。</w:t>
      </w:r>
    </w:p>
    <w:p>
      <w:pPr>
        <w:spacing w:after="120" w:line="360"/>
        <w:ind w:firstLine="480"/>
        <w:jc w:val="both"/>
      </w:pPr>
      <w:r>
        <w:rPr>
          <w:rFonts w:ascii="SimSun" w:cs="SimSun" w:eastAsia="SimSun" w:hAnsi="SimSun"/>
          <w:sz w:val="24"/>
          <w:szCs w:val="24"/>
        </w:rPr>
        <w:t xml:space="preserve">边侧（Edge Layer）是区域级的“协调中心”，部署在分控中心或关键泵站群附近。边侧承载区域性的实时协调决策、局部数据清洗与融合、以及快速响应策略执行等功能。边侧的典型时间尺度为秒到分钟。</w:t>
      </w:r>
    </w:p>
    <w:p>
      <w:pPr>
        <w:spacing w:after="120" w:line="360"/>
        <w:ind w:firstLine="480"/>
        <w:jc w:val="both"/>
      </w:pPr>
      <w:r>
        <w:rPr>
          <w:rFonts w:ascii="SimSun" w:cs="SimSun" w:eastAsia="SimSun" w:hAnsi="SimSun"/>
          <w:sz w:val="24"/>
          <w:szCs w:val="24"/>
        </w:rPr>
        <w:t xml:space="preserve">端侧（Device Layer）是控制执行的“手脚”，由现地控制器（PLC/RTU/MCU）构成，直接连接传感器和执行机构。端侧承担毫秒级的执行闭环控制与设备保护功能。</w:t>
      </w:r>
    </w:p>
    <w:p>
      <w:pPr>
        <w:spacing w:after="120" w:line="360"/>
        <w:ind w:firstLine="480"/>
        <w:jc w:val="both"/>
      </w:pPr>
      <w:r>
        <w:rPr>
          <w:rFonts w:ascii="SimSun" w:cs="SimSun" w:eastAsia="SimSun" w:hAnsi="SimSun"/>
          <w:sz w:val="24"/>
          <w:szCs w:val="24"/>
        </w:rPr>
        <w:t xml:space="preserve">三层之间通过标准化接口（API/OPC UA/MQTT等）实现数据交换和指令传递。关键设计原则包括：“能在下层做的不推到上层”——减少对网络通信的依赖；“上层优化、下层约束”——上层调度结果以“目标+约束”形式下发到下层；“降级保护”——任何一层失联时，下层都有预定义的降级运行策略。</w:t>
      </w:r>
    </w:p>
    <w:p>
      <w:pPr>
        <w:pStyle w:val="Heading3"/>
      </w:pPr>
      <w:r>
        <w:t xml:space="preserve">4.1.1 通信协议选型与可靠性设计</w:t>
      </w:r>
    </w:p>
    <w:p>
      <w:pPr>
        <w:spacing w:after="120" w:line="360"/>
        <w:ind w:firstLine="480"/>
        <w:jc w:val="both"/>
      </w:pPr>
      <w:r>
        <w:rPr>
          <w:rFonts w:ascii="SimSun" w:cs="SimSun" w:eastAsia="SimSun" w:hAnsi="SimSun"/>
          <w:sz w:val="24"/>
          <w:szCs w:val="24"/>
        </w:rPr>
        <w:t xml:space="preserve">云-边通信建议采用OPC UA over MQTT（Sparkplug B规范），兼顾语义丰富性和传输可靠性。OPC UA提供标准化的信息模型和安全框架（身份认证、传输加密、审计日志），MQTT提供轻量级的发布-订阅传输机制，两者结合可在复杂网络环境下实现可靠的数据交换。典型配置：MQTT Broker部署在边侧，云侧通过TLS加密连接；消息QoS等级按数据类型区分——控制指令使用QoS 2（精确一次送达），监测数据使用QoS 1（至少一次送达）。</w:t>
      </w:r>
    </w:p>
    <w:p>
      <w:pPr>
        <w:spacing w:after="120" w:line="360"/>
        <w:ind w:firstLine="480"/>
        <w:jc w:val="both"/>
      </w:pPr>
      <w:r>
        <w:rPr>
          <w:rFonts w:ascii="SimSun" w:cs="SimSun" w:eastAsia="SimSun" w:hAnsi="SimSun"/>
          <w:sz w:val="24"/>
          <w:szCs w:val="24"/>
        </w:rPr>
        <w:t xml:space="preserve">边-端通信对于现有水利工程通常保留Modbus TCP/RTU协议（考虑到大量存量PLC设备），新建工程建议采用IEC 61131-3兼容的工业以太网协议。通信可靠性的量化要求：控制指令传输的端到端延迟≤50ms（边-端）、≤1s（云-边）；数据传输可用率≥99.9%（边-端）、≥99.5%（云-边）。</w:t>
      </w:r>
    </w:p>
    <w:p>
      <w:pPr>
        <w:pStyle w:val="Heading3"/>
      </w:pPr>
      <w:r>
        <w:t xml:space="preserve">4.1.2 降级保护与自主决策层级</w:t>
      </w:r>
    </w:p>
    <w:p>
      <w:pPr>
        <w:spacing w:after="120" w:line="360"/>
        <w:ind w:firstLine="480"/>
        <w:jc w:val="both"/>
      </w:pPr>
      <w:r>
        <w:rPr>
          <w:rFonts w:ascii="SimSun" w:cs="SimSun" w:eastAsia="SimSun" w:hAnsi="SimSun"/>
          <w:sz w:val="24"/>
          <w:szCs w:val="24"/>
        </w:rPr>
        <w:t xml:space="preserve">降级保护是自主运行系统可靠性设计的核心。三层架构的降级策略设计如下。云侧失联时：边侧自主运行，使用本地缓存的最新优化方案和预报数据，按“最后有效方案+保守修正”策略继续执行，同时逐步收紧约束裕度。设计维持时间：≥4小时。</w:t>
      </w:r>
    </w:p>
    <w:p>
      <w:pPr>
        <w:spacing w:after="120" w:line="360"/>
        <w:ind w:firstLine="480"/>
        <w:jc w:val="both"/>
      </w:pPr>
      <w:r>
        <w:rPr>
          <w:rFonts w:ascii="SimSun" w:cs="SimSun" w:eastAsia="SimSun" w:hAnsi="SimSun"/>
          <w:sz w:val="24"/>
          <w:szCs w:val="24"/>
        </w:rPr>
        <w:t xml:space="preserve">边侧失联时：端侧切换至“独立保护”模式，执行预烧录在PLC中的安全回退策略（如恒开度/恒转速运行、紧急退水闸预开等）。设计维持时间：≥30分钟。端侧自身故障时：物理保护设施接管（溢流堰、机械限位开关、UPS备电等），属于最后一道被动安全屏障。</w:t>
      </w:r>
    </w:p>
    <w:p>
      <w:pPr>
        <w:spacing w:after="120" w:line="360"/>
        <w:ind w:firstLine="480"/>
        <w:jc w:val="both"/>
      </w:pPr>
      <w:r>
        <w:rPr>
          <w:rFonts w:ascii="SimSun" w:cs="SimSun" w:eastAsia="SimSun" w:hAnsi="SimSun"/>
          <w:sz w:val="24"/>
          <w:szCs w:val="24"/>
        </w:rPr>
        <w:t xml:space="preserve">降级恢复遵循“逐级确认、渐进恢复”原则：通信恢复后，上级不直接接管控制权，而是先同步当前状态、评估偏差大小，确认安全后才恢复正常控制模式。这一设计借鉴了航空领域自动驾驶仪的“重新接合（re-engagement）”协议。</w:t>
      </w:r>
    </w:p>
    <w:p>
      <w:pPr>
        <w:pStyle w:val="Heading2"/>
      </w:pPr>
      <w:r>
        <w:t xml:space="preserve">4.2 数字孪生架构</w:t>
      </w:r>
    </w:p>
    <w:p>
      <w:pPr>
        <w:spacing w:after="120" w:line="360"/>
        <w:ind w:firstLine="480"/>
        <w:jc w:val="both"/>
      </w:pPr>
      <w:r>
        <w:rPr>
          <w:rFonts w:ascii="SimSun" w:cs="SimSun" w:eastAsia="SimSun" w:hAnsi="SimSun"/>
          <w:sz w:val="24"/>
          <w:szCs w:val="24"/>
        </w:rPr>
        <w:t xml:space="preserve">数字孪生（Digital Twin）是云-边-端架构的“统一环境”，将物理世界的水网系统与虚拟世界的模型系统进行双向映射和同步演化。水网数字孪生的核心组件包括：几何孪生——水网物理结构的精确三维表达；物理孪生——基于Saint-Venant方程等机理模型的动态仿真能力；数据孪生——传感器实时数据流与历史数据的融合管理能力；控制孪生——将控制策略、约束条件纳入孪生模型，使数字孪生从“仿真工具”升级为“控制测试平台”。</w:t>
      </w:r>
    </w:p>
    <w:p>
      <w:pPr>
        <w:pStyle w:val="Heading3"/>
      </w:pPr>
      <w:r>
        <w:t xml:space="preserve">4.2.1 物理-数据融合孪生的数学表达</w:t>
      </w:r>
    </w:p>
    <w:p>
      <w:pPr>
        <w:spacing w:after="120" w:line="360"/>
        <w:ind w:firstLine="480"/>
        <w:jc w:val="both"/>
      </w:pPr>
      <w:r>
        <w:rPr>
          <w:rFonts w:ascii="SimSun" w:cs="SimSun" w:eastAsia="SimSun" w:hAnsi="SimSun"/>
          <w:sz w:val="24"/>
          <w:szCs w:val="24"/>
        </w:rPr>
        <w:t xml:space="preserve">水网数字孪生的核心数学问题是物理模型与观测数据的融合。设物理模型的状态转移方程为x(k+1)=M[x(k),u(k)]+w(k)，观测方程为z(k)=H[x(k)]+v(k)，则融合孪生的目标是求解后验状态估计：</w:t>
      </w:r>
    </w:p>
    <w:p>
      <w:pPr>
        <w:spacing w:before="160" w:after="160" w:line="360"/>
        <w:jc w:val="center"/>
      </w:pPr>
      <w:r>
        <w:rPr>
          <w:rFonts w:ascii="Times New Roman" w:cs="Times New Roman" w:eastAsia="Times New Roman" w:hAnsi="Times New Roman"/>
          <w:i/>
          <w:iCs/>
          <w:sz w:val="24"/>
          <w:szCs w:val="24"/>
        </w:rPr>
        <w:t xml:space="preserve">x̂(k) = argmin { ||x − M[x̂(k−1)]||²Ⱡ + ||z(k) − H[x]||²ᴿ + α Φ(x) }</w:t>
      </w:r>
      <w:r>
        <w:rPr>
          <w:rFonts w:ascii="Times New Roman" w:cs="Times New Roman" w:eastAsia="Times New Roman" w:hAnsi="Times New Roman"/>
          <w:sz w:val="22"/>
          <w:szCs w:val="22"/>
        </w:rPr>
        <w:t xml:space="preserve">    (4-1)</w:t>
      </w:r>
    </w:p>
    <w:p>
      <w:pPr>
        <w:spacing w:after="80" w:line="320"/>
        <w:ind w:firstLine="480"/>
      </w:pPr>
      <w:r>
        <w:rPr>
          <w:rFonts w:ascii="SimSun" w:cs="SimSun" w:eastAsia="SimSun" w:hAnsi="SimSun"/>
          <w:color w:val="404040"/>
          <w:sz w:val="22"/>
          <w:szCs w:val="22"/>
        </w:rPr>
        <w:t xml:space="preserve">式中：Q⁻¹和R⁻¹分别为模型误差和观测误差的精度矩阵；Φ(x)为物理约束正则项（如水量守恒、能量守恒）；α为正则化系数。前两项对应经典的数据同化问题，第三项是数字孪生相比传统同化的核心创新——显式引入物理定律作为正则化约束。</w:t>
      </w:r>
    </w:p>
    <w:p>
      <w:pPr>
        <w:spacing w:after="120" w:line="360"/>
        <w:ind w:firstLine="480"/>
        <w:jc w:val="both"/>
      </w:pPr>
      <w:r>
        <w:rPr>
          <w:rFonts w:ascii="SimSun" w:cs="SimSun" w:eastAsia="SimSun" w:hAnsi="SimSun"/>
          <w:sz w:val="24"/>
          <w:szCs w:val="24"/>
        </w:rPr>
        <w:t xml:space="preserve">孪生保真度（Twinning Fidelity）是评价数字孪生质量的关键指标，定义为：</w:t>
      </w:r>
    </w:p>
    <w:p>
      <w:pPr>
        <w:spacing w:before="160" w:after="160" w:line="360"/>
        <w:jc w:val="center"/>
      </w:pPr>
      <w:r>
        <w:rPr>
          <w:rFonts w:ascii="Times New Roman" w:cs="Times New Roman" w:eastAsia="Times New Roman" w:hAnsi="Times New Roman"/>
          <w:i/>
          <w:iCs/>
          <w:sz w:val="24"/>
          <w:szCs w:val="24"/>
        </w:rPr>
        <w:t xml:space="preserve">TF = 1 − ||zₒₑₛ − H[x̂]||₂ / ||zₒₑₛ||₂</w:t>
      </w:r>
      <w:r>
        <w:rPr>
          <w:rFonts w:ascii="Times New Roman" w:cs="Times New Roman" w:eastAsia="Times New Roman" w:hAnsi="Times New Roman"/>
          <w:sz w:val="22"/>
          <w:szCs w:val="22"/>
        </w:rPr>
        <w:t xml:space="preserve">    (4-2)</w:t>
      </w:r>
    </w:p>
    <w:p>
      <w:pPr>
        <w:spacing w:after="80" w:line="320"/>
        <w:ind w:firstLine="480"/>
      </w:pPr>
      <w:r>
        <w:rPr>
          <w:rFonts w:ascii="SimSun" w:cs="SimSun" w:eastAsia="SimSun" w:hAnsi="SimSun"/>
          <w:color w:val="404040"/>
          <w:sz w:val="22"/>
          <w:szCs w:val="22"/>
        </w:rPr>
        <w:t xml:space="preserve">当TF≥ 0.95时，数字孪生可用于在线控制决策；当0.85≤TF&lt;0.95时，仅可用于离线分析；当TF&lt;0.85时，需要重新校核模型参数。</w:t>
      </w:r>
    </w:p>
    <w:p>
      <w:pPr>
        <w:pStyle w:val="Heading2"/>
      </w:pPr>
      <w:r>
        <w:t xml:space="preserve">4.3 多智能体系统架构</w:t>
      </w:r>
    </w:p>
    <w:p>
      <w:pPr>
        <w:spacing w:after="120" w:line="360"/>
        <w:ind w:firstLine="480"/>
        <w:jc w:val="both"/>
      </w:pPr>
      <w:r>
        <w:rPr>
          <w:rFonts w:ascii="SimSun" w:cs="SimSun" w:eastAsia="SimSun" w:hAnsi="SimSun"/>
          <w:sz w:val="24"/>
          <w:szCs w:val="24"/>
        </w:rPr>
        <w:t xml:space="preserve">水网系统的多目标、多主体特征，天然适合采用多智能体系统（Multi-Agent System, MAS）架构。MAS架构用于解决分布式决策、多目标协商和异构集成等核心问题。</w:t>
      </w:r>
    </w:p>
    <w:p>
      <w:pPr>
        <w:pStyle w:val="Heading3"/>
      </w:pPr>
      <w:r>
        <w:t xml:space="preserve">4.3.1 共识算法与协商收敛</w:t>
      </w:r>
    </w:p>
    <w:p>
      <w:pPr>
        <w:spacing w:after="120" w:line="360"/>
        <w:ind w:firstLine="480"/>
        <w:jc w:val="both"/>
      </w:pPr>
      <w:r>
        <w:rPr>
          <w:rFonts w:ascii="SimSun" w:cs="SimSun" w:eastAsia="SimSun" w:hAnsi="SimSun"/>
          <w:sz w:val="24"/>
          <w:szCs w:val="24"/>
        </w:rPr>
        <w:t xml:space="preserve">多智能体协调的数学基础是共识算法。对于水网中的n个控制智能体，每个智能体i维护一个局部决策变量xᵢ，共识协议要求所有智能体的决策最终收敛到一致解：</w:t>
      </w:r>
    </w:p>
    <w:p>
      <w:pPr>
        <w:spacing w:before="160" w:after="160" w:line="360"/>
        <w:jc w:val="center"/>
      </w:pPr>
      <w:r>
        <w:rPr>
          <w:rFonts w:ascii="Times New Roman" w:cs="Times New Roman" w:eastAsia="Times New Roman" w:hAnsi="Times New Roman"/>
          <w:i/>
          <w:iCs/>
          <w:sz w:val="24"/>
          <w:szCs w:val="24"/>
        </w:rPr>
        <w:t xml:space="preserve">xᵢ(k+1) = xᵢ(k) + ε Σⱼ∈ₙᵢ aᵢⱼ [xⱼ(k) − xᵢ(k)]</w:t>
      </w:r>
      <w:r>
        <w:rPr>
          <w:rFonts w:ascii="Times New Roman" w:cs="Times New Roman" w:eastAsia="Times New Roman" w:hAnsi="Times New Roman"/>
          <w:sz w:val="22"/>
          <w:szCs w:val="22"/>
        </w:rPr>
        <w:t xml:space="preserve">    (4-3)</w:t>
      </w:r>
    </w:p>
    <w:p>
      <w:pPr>
        <w:spacing w:after="80" w:line="320"/>
        <w:ind w:firstLine="480"/>
      </w:pPr>
      <w:r>
        <w:rPr>
          <w:rFonts w:ascii="SimSun" w:cs="SimSun" w:eastAsia="SimSun" w:hAnsi="SimSun"/>
          <w:color w:val="404040"/>
          <w:sz w:val="22"/>
          <w:szCs w:val="22"/>
        </w:rPr>
        <w:t xml:space="preserve">式中：ε为步长参数；Nᵢ为智能体i的邻居集合；aᵢⱼ为邻接权重。当通信拓扑图连通且aᵢⱼ满足双随机条件时，所有智能体的决策值渐近收敛到全局平均值。</w:t>
      </w:r>
    </w:p>
    <w:p>
      <w:pPr>
        <w:spacing w:after="120" w:line="360"/>
        <w:ind w:firstLine="480"/>
        <w:jc w:val="both"/>
      </w:pPr>
      <w:r>
        <w:rPr>
          <w:rFonts w:ascii="SimSun" w:cs="SimSun" w:eastAsia="SimSun" w:hAnsi="SimSun"/>
          <w:sz w:val="24"/>
          <w:szCs w:val="24"/>
        </w:rPr>
        <w:t xml:space="preserve">在水网应用中，共识算法需要扩展以处理异质约束。每个智能体不仅需要达成共识，还需要满足各自的局部约束（如闸门开度上下限、泵站启停规则）。这通过引入投影算子Pᵢ实现：每次共识更新后，将结果投影到局部可行域内。理论分析表明，在凸约束条件下，带投影的共识算法在O(1/k)速率下收敛到约束一致解。</w:t>
      </w:r>
    </w:p>
    <w:p>
      <w:r>
        <w:br w:type="page"/>
      </w:r>
    </w:p>
    <w:p>
      <w:pPr>
        <w:pStyle w:val="Heading1"/>
      </w:pPr>
      <w:r>
        <w:t xml:space="preserve">第五章  关键技术一：统一建模与降阶</w:t>
      </w:r>
    </w:p>
    <w:p>
      <w:pPr>
        <w:spacing w:after="120" w:line="360"/>
        <w:ind w:firstLine="480"/>
      </w:pPr>
      <w:r>
        <w:rPr>
          <w:rFonts w:ascii="SimSun" w:cs="SimSun" w:eastAsia="SimSun" w:hAnsi="SimSun"/>
          <w:b/>
          <w:bCs/>
          <w:sz w:val="24"/>
          <w:szCs w:val="24"/>
        </w:rPr>
        <w:t xml:space="preserve">—— 从Saint-Venant方程到可控模型族</w:t>
      </w:r>
    </w:p>
    <w:p>
      <w:pPr>
        <w:pStyle w:val="Heading2"/>
      </w:pPr>
      <w:r>
        <w:t xml:space="preserve">5.1 建模挑战与需求分析</w:t>
      </w:r>
    </w:p>
    <w:p>
      <w:pPr>
        <w:spacing w:after="120" w:line="360"/>
        <w:ind w:firstLine="480"/>
        <w:jc w:val="both"/>
      </w:pPr>
      <w:r>
        <w:rPr>
          <w:rFonts w:ascii="SimSun" w:cs="SimSun" w:eastAsia="SimSun" w:hAnsi="SimSun"/>
          <w:sz w:val="24"/>
          <w:szCs w:val="24"/>
        </w:rPr>
        <w:t xml:space="preserve">水网智能调控的建模面临一个核心矛盾：精度与速度的矛盾。解决这一矛盾的关键在于建立“可控模型族”——一组不同精度等级、不同用途的模型。可控模型族由三个层次构成：高保真模型层——基于Saint-Venant方程，用于离线场景生成与事后校核；控制导向模型层——采用ID/IDZ模型或线性化状态空间模型，支持MPC优化求解；数据增强模型层——利用机器学习对机理模型残差进行修正。</w:t>
      </w:r>
    </w:p>
    <w:p>
      <w:pPr>
        <w:pStyle w:val="Heading2"/>
      </w:pPr>
      <w:r>
        <w:t xml:space="preserve">5.2 Saint-Venant方程与数值方法</w:t>
      </w:r>
    </w:p>
    <w:p>
      <w:pPr>
        <w:spacing w:after="120" w:line="360"/>
        <w:ind w:firstLine="480"/>
        <w:jc w:val="both"/>
      </w:pPr>
      <w:r>
        <w:rPr>
          <w:rFonts w:ascii="SimSun" w:cs="SimSun" w:eastAsia="SimSun" w:hAnsi="SimSun"/>
          <w:sz w:val="24"/>
          <w:szCs w:val="24"/>
        </w:rPr>
        <w:t xml:space="preserve">Saint-Venant方程是描述明渠非恒定流的基本控制方程，由连续性方程和动量方程组成。对于棱柱形渠道，其守恒形式可以写为：</w:t>
      </w:r>
    </w:p>
    <w:p>
      <w:pPr>
        <w:spacing w:before="160" w:after="160" w:line="360"/>
        <w:jc w:val="center"/>
      </w:pPr>
      <w:r>
        <w:rPr>
          <w:rFonts w:ascii="Times New Roman" w:cs="Times New Roman" w:eastAsia="Times New Roman" w:hAnsi="Times New Roman"/>
          <w:i/>
          <w:iCs/>
          <w:sz w:val="24"/>
          <w:szCs w:val="24"/>
        </w:rPr>
        <w:t xml:space="preserve">∂A/∂t + ∂Q/∂x = q</w:t>
      </w:r>
      <w:r>
        <w:rPr>
          <w:rFonts w:ascii="Times New Roman" w:cs="Times New Roman" w:eastAsia="Times New Roman" w:hAnsi="Times New Roman"/>
          <w:sz w:val="22"/>
          <w:szCs w:val="22"/>
        </w:rPr>
        <w:t xml:space="preserve">    (5-1)</w:t>
      </w:r>
    </w:p>
    <w:p>
      <w:pPr>
        <w:spacing w:before="160" w:after="160" w:line="360"/>
        <w:jc w:val="center"/>
      </w:pPr>
      <w:r>
        <w:rPr>
          <w:rFonts w:ascii="Times New Roman" w:cs="Times New Roman" w:eastAsia="Times New Roman" w:hAnsi="Times New Roman"/>
          <w:i/>
          <w:iCs/>
          <w:sz w:val="24"/>
          <w:szCs w:val="24"/>
        </w:rPr>
        <w:t xml:space="preserve">∂Q/∂t + ∂(Q²/A)/∂x + gA∂h/∂x = gA(S₀ − Sᵦ)</w:t>
      </w:r>
      <w:r>
        <w:rPr>
          <w:rFonts w:ascii="Times New Roman" w:cs="Times New Roman" w:eastAsia="Times New Roman" w:hAnsi="Times New Roman"/>
          <w:sz w:val="22"/>
          <w:szCs w:val="22"/>
        </w:rPr>
        <w:t xml:space="preserve">    (5-2)</w:t>
      </w:r>
    </w:p>
    <w:p>
      <w:pPr>
        <w:spacing w:after="80" w:line="320"/>
        <w:ind w:firstLine="480"/>
      </w:pPr>
      <w:r>
        <w:rPr>
          <w:rFonts w:ascii="SimSun" w:cs="SimSun" w:eastAsia="SimSun" w:hAnsi="SimSun"/>
          <w:color w:val="404040"/>
          <w:sz w:val="22"/>
          <w:szCs w:val="22"/>
        </w:rPr>
        <w:t xml:space="preserve">式中：A为过水断面面积(m²)；Q为流量(m³/s)；q为侧向入流量(m²/s)；h为水位(m)；g为重力加速度(m/s²)；S₀为底坡；Sᵦ为摩阻坡。</w:t>
      </w:r>
    </w:p>
    <w:p>
      <w:pPr>
        <w:spacing w:after="120" w:line="360"/>
        <w:ind w:firstLine="480"/>
        <w:jc w:val="both"/>
      </w:pPr>
      <w:r>
        <w:rPr>
          <w:rFonts w:ascii="SimSun" w:cs="SimSun" w:eastAsia="SimSun" w:hAnsi="SimSun"/>
          <w:sz w:val="24"/>
          <w:szCs w:val="24"/>
        </w:rPr>
        <w:t xml:space="preserve">摩阻坡Sᵦ通常采用Manning公式计算：</w:t>
      </w:r>
    </w:p>
    <w:p>
      <w:pPr>
        <w:spacing w:before="160" w:after="160" w:line="360"/>
        <w:jc w:val="center"/>
      </w:pPr>
      <w:r>
        <w:rPr>
          <w:rFonts w:ascii="Times New Roman" w:cs="Times New Roman" w:eastAsia="Times New Roman" w:hAnsi="Times New Roman"/>
          <w:i/>
          <w:iCs/>
          <w:sz w:val="24"/>
          <w:szCs w:val="24"/>
        </w:rPr>
        <w:t xml:space="preserve">Sᵦ = n²Q|Q| / (A²R⁴˳³)</w:t>
      </w:r>
      <w:r>
        <w:rPr>
          <w:rFonts w:ascii="Times New Roman" w:cs="Times New Roman" w:eastAsia="Times New Roman" w:hAnsi="Times New Roman"/>
          <w:sz w:val="22"/>
          <w:szCs w:val="22"/>
        </w:rPr>
        <w:t xml:space="preserve">    (5-3)</w:t>
      </w:r>
    </w:p>
    <w:p>
      <w:pPr>
        <w:spacing w:after="80" w:line="320"/>
        <w:ind w:firstLine="480"/>
      </w:pPr>
      <w:r>
        <w:rPr>
          <w:rFonts w:ascii="SimSun" w:cs="SimSun" w:eastAsia="SimSun" w:hAnsi="SimSun"/>
          <w:color w:val="404040"/>
          <w:sz w:val="22"/>
          <w:szCs w:val="22"/>
        </w:rPr>
        <w:t xml:space="preserve">式中：n为Manning粗糙系数；R为水力半径(m)。</w:t>
      </w:r>
    </w:p>
    <w:p>
      <w:pPr>
        <w:pStyle w:val="Heading3"/>
      </w:pPr>
      <w:r>
        <w:t xml:space="preserve">5.2.1 Preissmann四点隐式差分格式</w:t>
      </w:r>
    </w:p>
    <w:p>
      <w:pPr>
        <w:spacing w:after="120" w:line="360"/>
        <w:ind w:firstLine="480"/>
        <w:jc w:val="both"/>
      </w:pPr>
      <w:r>
        <w:rPr>
          <w:rFonts w:ascii="SimSun" w:cs="SimSun" w:eastAsia="SimSun" w:hAnsi="SimSun"/>
          <w:sz w:val="24"/>
          <w:szCs w:val="24"/>
        </w:rPr>
        <w:t xml:space="preserve">Preissmann格式是水利工程中应用最广泛的数值格式。其核心思想是在时间-空间网格的四个节点上进行加权插值。对于任意函数f，其在(x, t)平面上的离散化表达为：</w:t>
      </w:r>
    </w:p>
    <w:p>
      <w:pPr>
        <w:spacing w:before="160" w:after="160" w:line="360"/>
        <w:jc w:val="center"/>
      </w:pPr>
      <w:r>
        <w:rPr>
          <w:rFonts w:ascii="Times New Roman" w:cs="Times New Roman" w:eastAsia="Times New Roman" w:hAnsi="Times New Roman"/>
          <w:i/>
          <w:iCs/>
          <w:sz w:val="24"/>
          <w:szCs w:val="24"/>
        </w:rPr>
        <w:t xml:space="preserve">f ≈ θ[ψ fᵢ₊₁ⁿ⁺¹ + (1−ψ) fᵢⁿ⁺¹] + (1−θ)[ψ fᵢ₊₁ⁿ + (1−ψ) fᵢⁿ]</w:t>
      </w:r>
      <w:r>
        <w:rPr>
          <w:rFonts w:ascii="Times New Roman" w:cs="Times New Roman" w:eastAsia="Times New Roman" w:hAnsi="Times New Roman"/>
          <w:sz w:val="22"/>
          <w:szCs w:val="22"/>
        </w:rPr>
        <w:t xml:space="preserve">    (5-4)</w:t>
      </w:r>
    </w:p>
    <w:p>
      <w:pPr>
        <w:spacing w:after="80" w:line="320"/>
        <w:ind w:firstLine="480"/>
      </w:pPr>
      <w:r>
        <w:rPr>
          <w:rFonts w:ascii="SimSun" w:cs="SimSun" w:eastAsia="SimSun" w:hAnsi="SimSun"/>
          <w:color w:val="404040"/>
          <w:sz w:val="22"/>
          <w:szCs w:val="22"/>
        </w:rPr>
        <w:t xml:space="preserve">式中：θ为时间加权系数（0.5≤0θ≤1.0）；ψ为空间加权系数（通常取ψ=0.5）；上标n、n+1表示时间层，下标i、i+1表示空间节点。当θ≥0.5时，格式无条件稳定。</w:t>
      </w:r>
    </w:p>
    <w:p>
      <w:pPr>
        <w:spacing w:after="120" w:line="360"/>
        <w:ind w:firstLine="480"/>
        <w:jc w:val="both"/>
      </w:pPr>
      <w:r>
        <w:rPr>
          <w:rFonts w:ascii="SimSun" w:cs="SimSun" w:eastAsia="SimSun" w:hAnsi="SimSun"/>
          <w:sz w:val="24"/>
          <w:szCs w:val="24"/>
        </w:rPr>
        <w:t xml:space="preserve">将Preissmann格式应用于连续性方程和动量方程，对每个空间步长Δx得到两个非线性代数方程。对于包含N个计算节点的渠道，形成包含2(N−1)个方程、未知数为2N的非线性方程组，补充上下游边界条件后采用Newton-Raphson迭代求解。整个方程组具有带状结构，可用追赶法（double-sweep method）高效求解，计算复杂度为O(N)。</w:t>
      </w:r>
    </w:p>
    <w:p>
      <w:pPr>
        <w:spacing w:after="120" w:line="360"/>
        <w:ind w:firstLine="480"/>
        <w:jc w:val="both"/>
      </w:pPr>
      <w:r>
        <w:rPr>
          <w:rFonts w:ascii="SimSun" w:cs="SimSun" w:eastAsia="SimSun" w:hAnsi="SimSun"/>
          <w:sz w:val="24"/>
          <w:szCs w:val="24"/>
        </w:rPr>
        <w:t xml:space="preserve">收敛性是Preissmann格式的关键挑战。实践中影响收敛性的主要因素包括：时间步长Δt与空间步长Δx的比值，建议满足Courant数Cr = (V+c)Δt/Δx≤1.0；Δt应小于特征时间尺度；Manning粗糙系数n的取值对小流量工况特别敏感。南水北调中线全线1400余公里的典型差分参数为：Δx=500～2000m，Δt=10～60s，节点数N≈700～2800。</w:t>
      </w:r>
    </w:p>
    <w:p>
      <w:pPr>
        <w:pStyle w:val="Heading3"/>
      </w:pPr>
      <w:r>
        <w:t xml:space="preserve">5.2.2 稳定性与精度分析</w:t>
      </w:r>
    </w:p>
    <w:p>
      <w:pPr>
        <w:spacing w:after="120" w:line="360"/>
        <w:ind w:firstLine="480"/>
        <w:jc w:val="both"/>
      </w:pPr>
      <w:r>
        <w:rPr>
          <w:rFonts w:ascii="SimSun" w:cs="SimSun" w:eastAsia="SimSun" w:hAnsi="SimSun"/>
          <w:sz w:val="24"/>
          <w:szCs w:val="24"/>
        </w:rPr>
        <w:t xml:space="preserve">Preissmann格式的数值色散与数值振荡可通过Fourier分析定量评估。格式的数值色散系数正比于(2θ−1)Δx²/(2Δt)，当θ=0.5时数值色散最小但可能产生虚假振荡，当θ=1.0时数值色散最大但稳定性最好。工程实践中通常取θ=0.55～0.70以平衡精度与稳定性。</w:t>
      </w:r>
    </w:p>
    <w:p>
      <w:pPr>
        <w:pStyle w:val="Heading2"/>
      </w:pPr>
      <w:r>
        <w:t xml:space="preserve">5.3 控制导向的降阶模型：ID/IDZ模型</w:t>
      </w:r>
    </w:p>
    <w:p>
      <w:pPr>
        <w:spacing w:after="120" w:line="360"/>
        <w:ind w:firstLine="480"/>
        <w:jc w:val="both"/>
      </w:pPr>
      <w:r>
        <w:rPr>
          <w:rFonts w:ascii="SimSun" w:cs="SimSun" w:eastAsia="SimSun" w:hAnsi="SimSun"/>
          <w:sz w:val="24"/>
          <w:szCs w:val="24"/>
        </w:rPr>
        <w:t xml:space="preserve">Schuurmans等人提出的积分-延迟（ID）模型和积分-延迟-零点（IDZ）模型是目前应用最广泛的渠道控制导向模型。</w:t>
      </w:r>
    </w:p>
    <w:p>
      <w:pPr>
        <w:pStyle w:val="Heading3"/>
      </w:pPr>
      <w:r>
        <w:t xml:space="preserve">5.3.1 ID模型的传递函数</w:t>
      </w:r>
    </w:p>
    <w:p>
      <w:pPr>
        <w:spacing w:after="120" w:line="360"/>
        <w:ind w:firstLine="480"/>
        <w:jc w:val="both"/>
      </w:pPr>
      <w:r>
        <w:rPr>
          <w:rFonts w:ascii="SimSun" w:cs="SimSun" w:eastAsia="SimSun" w:hAnsi="SimSun"/>
          <w:sz w:val="24"/>
          <w:szCs w:val="24"/>
        </w:rPr>
        <w:t xml:space="preserve">对于单个渠池，ID模型将下游水位变化与上下游流量变化的关系表达为传递函数形式：</w:t>
      </w:r>
    </w:p>
    <w:p>
      <w:pPr>
        <w:spacing w:before="160" w:after="160" w:line="360"/>
        <w:jc w:val="center"/>
      </w:pPr>
      <w:r>
        <w:rPr>
          <w:rFonts w:ascii="Times New Roman" w:cs="Times New Roman" w:eastAsia="Times New Roman" w:hAnsi="Times New Roman"/>
          <w:i/>
          <w:iCs/>
          <w:sz w:val="24"/>
          <w:szCs w:val="24"/>
        </w:rPr>
        <w:t xml:space="preserve">G(s) = Δyₓ(s) / Δq(s) = e⁻ᵗˢ / (Aₛ · s)</w:t>
      </w:r>
      <w:r>
        <w:rPr>
          <w:rFonts w:ascii="Times New Roman" w:cs="Times New Roman" w:eastAsia="Times New Roman" w:hAnsi="Times New Roman"/>
          <w:sz w:val="22"/>
          <w:szCs w:val="22"/>
        </w:rPr>
        <w:t xml:space="preserve">    (5-5)</w:t>
      </w:r>
    </w:p>
    <w:p>
      <w:pPr>
        <w:spacing w:after="80" w:line="320"/>
        <w:ind w:firstLine="480"/>
      </w:pPr>
      <w:r>
        <w:rPr>
          <w:rFonts w:ascii="SimSun" w:cs="SimSun" w:eastAsia="SimSun" w:hAnsi="SimSun"/>
          <w:color w:val="404040"/>
          <w:sz w:val="22"/>
          <w:szCs w:val="22"/>
        </w:rPr>
        <w:t xml:space="preserve">式中：Δyₓ为下游水位偏差(m)；Δq为流量偏差(m³/s)；τ为水流传播延迟时间(s)；Aₛ为渠池蓄水面积(m²)；s为Laplace变换变量。</w:t>
      </w:r>
    </w:p>
    <w:p>
      <w:pPr>
        <w:spacing w:after="120" w:line="360"/>
        <w:ind w:firstLine="480"/>
        <w:jc w:val="both"/>
      </w:pPr>
      <w:r>
        <w:rPr>
          <w:rFonts w:ascii="SimSun" w:cs="SimSun" w:eastAsia="SimSun" w:hAnsi="SimSun"/>
          <w:sz w:val="24"/>
          <w:szCs w:val="24"/>
        </w:rPr>
        <w:t xml:space="preserve">其中，延迟时间τ可由渠道长度L与波速估算：</w:t>
      </w:r>
    </w:p>
    <w:p>
      <w:pPr>
        <w:spacing w:before="160" w:after="160" w:line="360"/>
        <w:jc w:val="center"/>
      </w:pPr>
      <w:r>
        <w:rPr>
          <w:rFonts w:ascii="Times New Roman" w:cs="Times New Roman" w:eastAsia="Times New Roman" w:hAnsi="Times New Roman"/>
          <w:i/>
          <w:iCs/>
          <w:sz w:val="24"/>
          <w:szCs w:val="24"/>
        </w:rPr>
        <w:t xml:space="preserve">τ ≈ L / (V + c) , 其中 c = √(gA/T)</w:t>
      </w:r>
      <w:r>
        <w:rPr>
          <w:rFonts w:ascii="Times New Roman" w:cs="Times New Roman" w:eastAsia="Times New Roman" w:hAnsi="Times New Roman"/>
          <w:sz w:val="22"/>
          <w:szCs w:val="22"/>
        </w:rPr>
        <w:t xml:space="preserve">    (5-6)</w:t>
      </w:r>
    </w:p>
    <w:p>
      <w:pPr>
        <w:spacing w:after="80" w:line="320"/>
        <w:ind w:firstLine="480"/>
      </w:pPr>
      <w:r>
        <w:rPr>
          <w:rFonts w:ascii="SimSun" w:cs="SimSun" w:eastAsia="SimSun" w:hAnsi="SimSun"/>
          <w:color w:val="404040"/>
          <w:sz w:val="22"/>
          <w:szCs w:val="22"/>
        </w:rPr>
        <w:t xml:space="preserve">式中：V为断面平均流速(m/s)；c为微小波速(m/s)；T为水面宽度(m)。</w:t>
      </w:r>
    </w:p>
    <w:p>
      <w:pPr>
        <w:pStyle w:val="Heading3"/>
      </w:pPr>
      <w:r>
        <w:t xml:space="preserve">5.3.2 IDZ模型及其状态空间形式</w:t>
      </w:r>
    </w:p>
    <w:p>
      <w:pPr>
        <w:spacing w:after="120" w:line="360"/>
        <w:ind w:firstLine="480"/>
        <w:jc w:val="both"/>
      </w:pPr>
      <w:r>
        <w:rPr>
          <w:rFonts w:ascii="SimSun" w:cs="SimSun" w:eastAsia="SimSun" w:hAnsi="SimSun"/>
          <w:sz w:val="24"/>
          <w:szCs w:val="24"/>
        </w:rPr>
        <w:t xml:space="preserve">IDZ模型在ID基础上增加了一个零点，用于描述竃波到达前的瞬态响应：</w:t>
      </w:r>
    </w:p>
    <w:p>
      <w:pPr>
        <w:spacing w:before="160" w:after="160" w:line="360"/>
        <w:jc w:val="center"/>
      </w:pPr>
      <w:r>
        <w:rPr>
          <w:rFonts w:ascii="Times New Roman" w:cs="Times New Roman" w:eastAsia="Times New Roman" w:hAnsi="Times New Roman"/>
          <w:i/>
          <w:iCs/>
          <w:sz w:val="24"/>
          <w:szCs w:val="24"/>
        </w:rPr>
        <w:t xml:space="preserve">G(s) = (1 + τₖs) · e⁻ᵗˢ / (Aₛ · s)</w:t>
      </w:r>
      <w:r>
        <w:rPr>
          <w:rFonts w:ascii="Times New Roman" w:cs="Times New Roman" w:eastAsia="Times New Roman" w:hAnsi="Times New Roman"/>
          <w:sz w:val="22"/>
          <w:szCs w:val="22"/>
        </w:rPr>
        <w:t xml:space="preserve">    (5-7)</w:t>
      </w:r>
    </w:p>
    <w:p>
      <w:pPr>
        <w:spacing w:after="80" w:line="320"/>
        <w:ind w:firstLine="480"/>
      </w:pPr>
      <w:r>
        <w:rPr>
          <w:rFonts w:ascii="SimSun" w:cs="SimSun" w:eastAsia="SimSun" w:hAnsi="SimSun"/>
          <w:color w:val="404040"/>
          <w:sz w:val="22"/>
          <w:szCs w:val="22"/>
        </w:rPr>
        <w:t xml:space="preserve">式中：τₖ为零点时间常数(s)，反映渠池的回水效应。</w:t>
      </w:r>
    </w:p>
    <w:p>
      <w:pPr>
        <w:spacing w:after="120" w:line="360"/>
        <w:ind w:firstLine="480"/>
        <w:jc w:val="both"/>
      </w:pPr>
      <w:r>
        <w:rPr>
          <w:rFonts w:ascii="SimSun" w:cs="SimSun" w:eastAsia="SimSun" w:hAnsi="SimSun"/>
          <w:sz w:val="24"/>
          <w:szCs w:val="24"/>
        </w:rPr>
        <w:t xml:space="preserve">将IDZ模型离散化后转换为状态空间形式，对于包含n个渠池的串联系统：</w:t>
      </w:r>
    </w:p>
    <w:p>
      <w:pPr>
        <w:spacing w:before="160" w:after="160" w:line="360"/>
        <w:jc w:val="center"/>
      </w:pPr>
      <w:r>
        <w:rPr>
          <w:rFonts w:ascii="Times New Roman" w:cs="Times New Roman" w:eastAsia="Times New Roman" w:hAnsi="Times New Roman"/>
          <w:i/>
          <w:iCs/>
          <w:sz w:val="24"/>
          <w:szCs w:val="24"/>
        </w:rPr>
        <w:t xml:space="preserve">x(k+1) = Ax(k) + Bu(k) + Bd·d(k)</w:t>
      </w:r>
      <w:r>
        <w:rPr>
          <w:rFonts w:ascii="Times New Roman" w:cs="Times New Roman" w:eastAsia="Times New Roman" w:hAnsi="Times New Roman"/>
          <w:sz w:val="22"/>
          <w:szCs w:val="22"/>
        </w:rPr>
        <w:t xml:space="preserve">    (5-8)</w:t>
      </w:r>
    </w:p>
    <w:p>
      <w:pPr>
        <w:spacing w:before="160" w:after="160" w:line="360"/>
        <w:jc w:val="center"/>
      </w:pPr>
      <w:r>
        <w:rPr>
          <w:rFonts w:ascii="Times New Roman" w:cs="Times New Roman" w:eastAsia="Times New Roman" w:hAnsi="Times New Roman"/>
          <w:i/>
          <w:iCs/>
          <w:sz w:val="24"/>
          <w:szCs w:val="24"/>
        </w:rPr>
        <w:t xml:space="preserve">y(k) = Cx(k)</w:t>
      </w:r>
      <w:r>
        <w:rPr>
          <w:rFonts w:ascii="Times New Roman" w:cs="Times New Roman" w:eastAsia="Times New Roman" w:hAnsi="Times New Roman"/>
          <w:sz w:val="22"/>
          <w:szCs w:val="22"/>
        </w:rPr>
        <w:t xml:space="preserve">    (5-9)</w:t>
      </w:r>
    </w:p>
    <w:p>
      <w:pPr>
        <w:spacing w:after="80" w:line="320"/>
        <w:ind w:firstLine="480"/>
      </w:pPr>
      <w:r>
        <w:rPr>
          <w:rFonts w:ascii="SimSun" w:cs="SimSun" w:eastAsia="SimSun" w:hAnsi="SimSun"/>
          <w:color w:val="404040"/>
          <w:sz w:val="22"/>
          <w:szCs w:val="22"/>
        </w:rPr>
        <w:t xml:space="preserve">式中：x∈Rⁿ为状态向量（各渠池水位偏差）；u∈Rᵐ为控制输入（闸门开度或流量设定值）；d为可测扰动（取水口流量）；A、B、Bₓ、C为系统矩阵。该状态空间形式可直接用于MPC控制器设计。</w:t>
      </w:r>
    </w:p>
    <w:p>
      <w:pPr>
        <w:spacing w:after="120" w:line="360"/>
        <w:ind w:firstLine="480"/>
        <w:jc w:val="both"/>
      </w:pPr>
      <w:r>
        <w:rPr>
          <w:rFonts w:ascii="SimSun" w:cs="SimSun" w:eastAsia="SimSun" w:hAnsi="SimSun"/>
          <w:sz w:val="24"/>
          <w:szCs w:val="24"/>
        </w:rPr>
        <w:t xml:space="preserve">对于南水北调中线的典型渠池参数范围：渠池长度L=3～40km，延迟时间τ=20～300min，蓄水面积Aₛ=50000～800000m²，控制周期建议取Δt=5～15min。全线63个渠池的串联状态空间模型维度为63，相比Saint-Venant方程的数千维降低了两个数量级。</w:t>
      </w:r>
    </w:p>
    <w:p>
      <w:pPr>
        <w:pStyle w:val="Heading2"/>
      </w:pPr>
      <w:r>
        <w:t xml:space="preserve">5.4 模型管理与在线自适应</w:t>
      </w:r>
    </w:p>
    <w:p>
      <w:pPr>
        <w:spacing w:after="120" w:line="360"/>
        <w:ind w:firstLine="480"/>
        <w:jc w:val="both"/>
      </w:pPr>
      <w:r>
        <w:rPr>
          <w:rFonts w:ascii="SimSun" w:cs="SimSun" w:eastAsia="SimSun" w:hAnsi="SimSun"/>
          <w:sz w:val="24"/>
          <w:szCs w:val="24"/>
        </w:rPr>
        <w:t xml:space="preserve">可控模型族的有效运行需要一套完善的模型管理机制，包括在线参数辨识、多模型切换和模型校核三大核心功能。</w:t>
      </w:r>
    </w:p>
    <w:p>
      <w:pPr>
        <w:pStyle w:val="Heading3"/>
      </w:pPr>
      <w:r>
        <w:t xml:space="preserve">5.4.1 递推最小二乘在线辨识（RLS）</w:t>
      </w:r>
    </w:p>
    <w:p>
      <w:pPr>
        <w:spacing w:after="120" w:line="360"/>
        <w:ind w:firstLine="480"/>
        <w:jc w:val="both"/>
      </w:pPr>
      <w:r>
        <w:rPr>
          <w:rFonts w:ascii="SimSun" w:cs="SimSun" w:eastAsia="SimSun" w:hAnsi="SimSun"/>
          <w:sz w:val="24"/>
          <w:szCs w:val="24"/>
        </w:rPr>
        <w:t xml:space="preserve">ID/IDZ模型的关键参数（蓄水面积Aₛ、延迟时间τ、零点时间常数τₖ）会随运行工况（流量、水位）变化。递推最小二乘（Recursive Least Squares, RLS）算法可在线持续更新这些参数，无需重新离线辨识。RLS的递推公式为：</w:t>
      </w:r>
    </w:p>
    <w:p>
      <w:pPr>
        <w:spacing w:before="160" w:after="160" w:line="360"/>
        <w:jc w:val="center"/>
      </w:pPr>
      <w:r>
        <w:rPr>
          <w:rFonts w:ascii="Times New Roman" w:cs="Times New Roman" w:eastAsia="Times New Roman" w:hAnsi="Times New Roman"/>
          <w:i/>
          <w:iCs/>
          <w:sz w:val="24"/>
          <w:szCs w:val="24"/>
        </w:rPr>
        <w:t xml:space="preserve">θ̂(k) = θ̂(k−1) + L(k)[y(k) − φᵀ(k)θ̂(k−1)]</w:t>
      </w:r>
      <w:r>
        <w:rPr>
          <w:rFonts w:ascii="Times New Roman" w:cs="Times New Roman" w:eastAsia="Times New Roman" w:hAnsi="Times New Roman"/>
          <w:sz w:val="22"/>
          <w:szCs w:val="22"/>
        </w:rPr>
        <w:t xml:space="preserve">    (5-10)</w:t>
      </w:r>
    </w:p>
    <w:p>
      <w:pPr>
        <w:spacing w:before="160" w:after="160" w:line="360"/>
        <w:jc w:val="center"/>
      </w:pPr>
      <w:r>
        <w:rPr>
          <w:rFonts w:ascii="Times New Roman" w:cs="Times New Roman" w:eastAsia="Times New Roman" w:hAnsi="Times New Roman"/>
          <w:i/>
          <w:iCs/>
          <w:sz w:val="24"/>
          <w:szCs w:val="24"/>
        </w:rPr>
        <w:t xml:space="preserve">L(k) = P(k−1)φ(k) / [λ + φᵀ(k)P(k−1)φ(k)]</w:t>
      </w:r>
      <w:r>
        <w:rPr>
          <w:rFonts w:ascii="Times New Roman" w:cs="Times New Roman" w:eastAsia="Times New Roman" w:hAnsi="Times New Roman"/>
          <w:sz w:val="22"/>
          <w:szCs w:val="22"/>
        </w:rPr>
        <w:t xml:space="preserve">    (5-11)</w:t>
      </w:r>
    </w:p>
    <w:p>
      <w:pPr>
        <w:spacing w:before="160" w:after="160" w:line="360"/>
        <w:jc w:val="center"/>
      </w:pPr>
      <w:r>
        <w:rPr>
          <w:rFonts w:ascii="Times New Roman" w:cs="Times New Roman" w:eastAsia="Times New Roman" w:hAnsi="Times New Roman"/>
          <w:i/>
          <w:iCs/>
          <w:sz w:val="24"/>
          <w:szCs w:val="24"/>
        </w:rPr>
        <w:t xml:space="preserve">P(k) = [P(k−1) − L(k)φᵀ(k)P(k−1)] / λ</w:t>
      </w:r>
      <w:r>
        <w:rPr>
          <w:rFonts w:ascii="Times New Roman" w:cs="Times New Roman" w:eastAsia="Times New Roman" w:hAnsi="Times New Roman"/>
          <w:sz w:val="22"/>
          <w:szCs w:val="22"/>
        </w:rPr>
        <w:t xml:space="preserve">    (5-12)</w:t>
      </w:r>
    </w:p>
    <w:p>
      <w:pPr>
        <w:spacing w:after="80" w:line="320"/>
        <w:ind w:firstLine="480"/>
      </w:pPr>
      <w:r>
        <w:rPr>
          <w:rFonts w:ascii="SimSun" w:cs="SimSun" w:eastAsia="SimSun" w:hAnsi="SimSun"/>
          <w:color w:val="404040"/>
          <w:sz w:val="22"/>
          <w:szCs w:val="22"/>
        </w:rPr>
        <w:t xml:space="preserve">式中：θ̂(k)为第k步的参数估计向量；φ(k)为回归向量（由输入输出历史数据构成）；L(k)为增益向量；P(k)为协方差矩阵；λ为遗忘因子（0.95～0.99），用于赋予近期数据更大权重以跟踪参数时变。</w:t>
      </w:r>
    </w:p>
    <w:p>
      <w:pPr>
        <w:spacing w:after="120" w:line="360"/>
        <w:ind w:firstLine="480"/>
        <w:jc w:val="both"/>
      </w:pPr>
      <w:r>
        <w:rPr>
          <w:rFonts w:ascii="SimSun" w:cs="SimSun" w:eastAsia="SimSun" w:hAnsi="SimSun"/>
          <w:sz w:val="24"/>
          <w:szCs w:val="24"/>
        </w:rPr>
        <w:t xml:space="preserve">对于南水北调中线的典型渠池，建议设置λ=0.98，辨识窗口为最近6～12小时的运行数据。当辨识参数变化超过设定阈值（如Aₛ变化&gt;10%）时，触发模型切换机制：先用新参数在数字孪生环境中验证稳定性，确认无异常后再切入实时控制回路。</w:t>
      </w:r>
    </w:p>
    <w:p>
      <w:pPr>
        <w:pStyle w:val="Heading3"/>
      </w:pPr>
      <w:r>
        <w:t xml:space="preserve">5.4.2 模型精度校核指标</w:t>
      </w:r>
    </w:p>
    <w:p>
      <w:pPr>
        <w:spacing w:after="120" w:line="360"/>
        <w:ind w:firstLine="480"/>
        <w:jc w:val="both"/>
      </w:pPr>
      <w:r>
        <w:rPr>
          <w:rFonts w:ascii="SimSun" w:cs="SimSun" w:eastAsia="SimSun" w:hAnsi="SimSun"/>
          <w:sz w:val="24"/>
          <w:szCs w:val="24"/>
        </w:rPr>
        <w:t xml:space="preserve">模型精度校核采用以下量化指标体系：</w:t>
      </w:r>
    </w:p>
    <w:p>
      <w:pPr>
        <w:spacing w:before="160" w:after="160" w:line="360"/>
        <w:jc w:val="center"/>
      </w:pPr>
      <w:r>
        <w:rPr>
          <w:rFonts w:ascii="Times New Roman" w:cs="Times New Roman" w:eastAsia="Times New Roman" w:hAnsi="Times New Roman"/>
          <w:i/>
          <w:iCs/>
          <w:sz w:val="24"/>
          <w:szCs w:val="24"/>
        </w:rPr>
        <w:t xml:space="preserve">RMSE = √[Σₖ₌₁ᴺ (yₘₒᵈ(k) − yₛᵢₘ(k))² / N]</w:t>
      </w:r>
      <w:r>
        <w:rPr>
          <w:rFonts w:ascii="Times New Roman" w:cs="Times New Roman" w:eastAsia="Times New Roman" w:hAnsi="Times New Roman"/>
          <w:sz w:val="22"/>
          <w:szCs w:val="22"/>
        </w:rPr>
        <w:t xml:space="preserve">    (5-13)</w:t>
      </w:r>
    </w:p>
    <w:p>
      <w:pPr>
        <w:spacing w:before="160" w:after="160" w:line="360"/>
        <w:jc w:val="center"/>
      </w:pPr>
      <w:r>
        <w:rPr>
          <w:rFonts w:ascii="Times New Roman" w:cs="Times New Roman" w:eastAsia="Times New Roman" w:hAnsi="Times New Roman"/>
          <w:i/>
          <w:iCs/>
          <w:sz w:val="24"/>
          <w:szCs w:val="24"/>
        </w:rPr>
        <w:t xml:space="preserve">NSE = 1 − Σ(yₘₒᵈ − yₛᵢₘ)² / Σ(yₘₒᵈ − ȳₘₒᵈ)²</w:t>
      </w:r>
      <w:r>
        <w:rPr>
          <w:rFonts w:ascii="Times New Roman" w:cs="Times New Roman" w:eastAsia="Times New Roman" w:hAnsi="Times New Roman"/>
          <w:sz w:val="22"/>
          <w:szCs w:val="22"/>
        </w:rPr>
        <w:t xml:space="preserve">    (5-14)</w:t>
      </w:r>
    </w:p>
    <w:p>
      <w:pPr>
        <w:spacing w:after="80" w:line="320"/>
        <w:ind w:firstLine="480"/>
      </w:pPr>
      <w:r>
        <w:rPr>
          <w:rFonts w:ascii="SimSun" w:cs="SimSun" w:eastAsia="SimSun" w:hAnsi="SimSun"/>
          <w:color w:val="404040"/>
          <w:sz w:val="22"/>
          <w:szCs w:val="22"/>
        </w:rPr>
        <w:t xml:space="preserve">式中：RMSE为均方根误差；NSE为Nash-Sutcliffe效率系数（NSE=1表示完美匹配，NSE&gt;0.7为良好，NSE&lt;0.5为不可接受）。对于控制导向模型，要求RMSE≤0.05m（水位）或≤2%Qₘₐₓ（流量），NSE≥0.85。此外引入FIT指标衡量动态响应的吻合度：</w:t>
      </w:r>
    </w:p>
    <w:p>
      <w:pPr>
        <w:spacing w:before="160" w:after="160" w:line="360"/>
        <w:jc w:val="center"/>
      </w:pPr>
      <w:r>
        <w:rPr>
          <w:rFonts w:ascii="Times New Roman" w:cs="Times New Roman" w:eastAsia="Times New Roman" w:hAnsi="Times New Roman"/>
          <w:i/>
          <w:iCs/>
          <w:sz w:val="24"/>
          <w:szCs w:val="24"/>
        </w:rPr>
        <w:t xml:space="preserve">FIT = 100 × (1 − ||yₘₒᵈ − yₛᵢₘ||₂ / ||yₘₒᵈ − ȳₘₒᵈ||₂) %</w:t>
      </w:r>
      <w:r>
        <w:rPr>
          <w:rFonts w:ascii="Times New Roman" w:cs="Times New Roman" w:eastAsia="Times New Roman" w:hAnsi="Times New Roman"/>
          <w:sz w:val="22"/>
          <w:szCs w:val="22"/>
        </w:rPr>
        <w:t xml:space="preserve">    (5-15)</w:t>
      </w:r>
    </w:p>
    <w:p>
      <w:pPr>
        <w:spacing w:after="120" w:line="360"/>
        <w:ind w:firstLine="480"/>
        <w:jc w:val="both"/>
      </w:pPr>
      <w:r>
        <w:rPr>
          <w:rFonts w:ascii="SimSun" w:cs="SimSun" w:eastAsia="SimSun" w:hAnsi="SimSun"/>
          <w:sz w:val="24"/>
          <w:szCs w:val="24"/>
        </w:rPr>
        <w:t xml:space="preserve">当FIT&lt;70%时，模型需要重新辨识参数；当FIT&lt;50%时，可能需要切换到更高保真度的模型。这些校核指标每个控制周期自动计算，并记入数字线程的模型日志中，为事后审计提供依据。</w:t>
      </w:r>
    </w:p>
    <w:p>
      <w:r>
        <w:br w:type="page"/>
      </w:r>
    </w:p>
    <w:p>
      <w:pPr>
        <w:pStyle w:val="Heading1"/>
      </w:pPr>
      <w:r>
        <w:t xml:space="preserve">第六章  关键技术二：状态重构与预测</w:t>
      </w:r>
    </w:p>
    <w:p>
      <w:pPr>
        <w:spacing w:after="120" w:line="360"/>
        <w:ind w:firstLine="480"/>
      </w:pPr>
      <w:r>
        <w:rPr>
          <w:rFonts w:ascii="SimSun" w:cs="SimSun" w:eastAsia="SimSun" w:hAnsi="SimSun"/>
          <w:b/>
          <w:bCs/>
          <w:sz w:val="24"/>
          <w:szCs w:val="24"/>
        </w:rPr>
        <w:t xml:space="preserve">—— 机理-数据融合、数据同化与不确定性量化</w:t>
      </w:r>
    </w:p>
    <w:p>
      <w:pPr>
        <w:pStyle w:val="Heading2"/>
      </w:pPr>
      <w:r>
        <w:t xml:space="preserve">6.1 状态重构的核心地位</w:t>
      </w:r>
    </w:p>
    <w:p>
      <w:pPr>
        <w:spacing w:after="120" w:line="360"/>
        <w:ind w:firstLine="480"/>
        <w:jc w:val="both"/>
      </w:pPr>
      <w:r>
        <w:rPr>
          <w:rFonts w:ascii="SimSun" w:cs="SimSun" w:eastAsia="SimSun" w:hAnsi="SimSun"/>
          <w:sz w:val="24"/>
          <w:szCs w:val="24"/>
        </w:rPr>
        <w:t xml:space="preserve">状态重构是水网自主运行闭环中最关键的“桥梁”环节——它连接了“能测量的”（稀疏传感器数据）与“需要知道的”（全网水力状态）。水网状态重构面临的核心挑战是“观测稀疏性”。解决这一问题的核心方法是数据同化（Data Assimilation）——利用机理模型的动态约束将有限的观测信息扩展到全网。</w:t>
      </w:r>
    </w:p>
    <w:p>
      <w:pPr>
        <w:pStyle w:val="Heading3"/>
      </w:pPr>
      <w:r>
        <w:t xml:space="preserve">6.1.1 可观测性分析与传感器优化布局</w:t>
      </w:r>
    </w:p>
    <w:p>
      <w:pPr>
        <w:spacing w:after="120" w:line="360"/>
        <w:ind w:firstLine="480"/>
        <w:jc w:val="both"/>
      </w:pPr>
      <w:r>
        <w:rPr>
          <w:rFonts w:ascii="SimSun" w:cs="SimSun" w:eastAsia="SimSun" w:hAnsi="SimSun"/>
          <w:sz w:val="24"/>
          <w:szCs w:val="24"/>
        </w:rPr>
        <w:t xml:space="preserve">状态重构的理论前提是系统的可观测性。对于线性化后的水网状态空间模型x(k+1)=Ax(k)+Bu(k), y(k)=Cx(k)，系统可观测的充要条件是可观测性矩阵满秩：</w:t>
      </w:r>
    </w:p>
    <w:p>
      <w:pPr>
        <w:spacing w:before="160" w:after="160" w:line="360"/>
        <w:jc w:val="center"/>
      </w:pPr>
      <w:r>
        <w:rPr>
          <w:rFonts w:ascii="Times New Roman" w:cs="Times New Roman" w:eastAsia="Times New Roman" w:hAnsi="Times New Roman"/>
          <w:i/>
          <w:iCs/>
          <w:sz w:val="24"/>
          <w:szCs w:val="24"/>
        </w:rPr>
        <w:t xml:space="preserve">rank(𝒪) = rank[C; CA; CA²; ...; CAⁿ⁻¹] = n</w:t>
      </w:r>
      <w:r>
        <w:rPr>
          <w:rFonts w:ascii="Times New Roman" w:cs="Times New Roman" w:eastAsia="Times New Roman" w:hAnsi="Times New Roman"/>
          <w:sz w:val="22"/>
          <w:szCs w:val="22"/>
        </w:rPr>
        <w:t xml:space="preserve">    (6-0)</w:t>
      </w:r>
    </w:p>
    <w:p>
      <w:pPr>
        <w:spacing w:after="80" w:line="320"/>
        <w:ind w:firstLine="480"/>
      </w:pPr>
      <w:r>
        <w:rPr>
          <w:rFonts w:ascii="SimSun" w:cs="SimSun" w:eastAsia="SimSun" w:hAnsi="SimSun"/>
          <w:color w:val="404040"/>
          <w:sz w:val="22"/>
          <w:szCs w:val="22"/>
        </w:rPr>
        <w:t xml:space="preserve">式中：n为系统状态维度（渠池数量）；C为观测矩阵，由传感器布局决定。当传感器数量m&lt;n时（如63个渠池仅有20个测站），系统形式上不可观测，但引入机理模型约束后可实现“条件可观测”。</w:t>
      </w:r>
    </w:p>
    <w:p>
      <w:pPr>
        <w:spacing w:after="120" w:line="360"/>
        <w:ind w:firstLine="480"/>
        <w:jc w:val="both"/>
      </w:pPr>
      <w:r>
        <w:rPr>
          <w:rFonts w:ascii="SimSun" w:cs="SimSun" w:eastAsia="SimSun" w:hAnsi="SimSun"/>
          <w:sz w:val="24"/>
          <w:szCs w:val="24"/>
        </w:rPr>
        <w:t xml:space="preserve">传感器优化布局的目标是在给定传感器数量m的约束下，选择安装位置使可观测性格拉姆矩阵Wₒ=ΣCᵀAᵗ⁻ₖAᵗ⁻ₖC的最小特征值最大化（D-最优准则）或迹最大化（A-最优准则）。对于南水北调中线工程，数值分析表明：在63个渠池中布置20～25个水位监测站（约每隔50～70km），配合EnKF同化，即可将全线水位估计误差控制在±0.03m以内。</w:t>
      </w:r>
    </w:p>
    <w:p>
      <w:pPr>
        <w:spacing w:after="120" w:line="360"/>
        <w:ind w:firstLine="480"/>
        <w:jc w:val="both"/>
      </w:pPr>
      <w:r>
        <w:rPr>
          <w:rFonts w:ascii="SimSun" w:cs="SimSun" w:eastAsia="SimSun" w:hAnsi="SimSun"/>
          <w:sz w:val="24"/>
          <w:szCs w:val="24"/>
        </w:rPr>
        <w:t xml:space="preserve">以色列Mekorot的经验表明，传感器密度约为每3公里一个时，配合实时水力模型校核，管网压力状态估计精度可达±0.5%。荷兰Rijkswaterstaat在其运河系统中采用“关键断面加密+常规断面稀疏”的分层布局策略，在控制成本的同时保证了分水口、汇流口等关键位置的高精度监测。</w:t>
      </w:r>
    </w:p>
    <w:p>
      <w:pPr>
        <w:pStyle w:val="Heading2"/>
      </w:pPr>
      <w:r>
        <w:t xml:space="preserve">6.2 数据同化方法体系</w:t>
      </w:r>
    </w:p>
    <w:p>
      <w:pPr>
        <w:pStyle w:val="Heading3"/>
      </w:pPr>
      <w:r>
        <w:t xml:space="preserve">6.2.1 集合卡尔曼滤波（EnKF）算法</w:t>
      </w:r>
    </w:p>
    <w:p>
      <w:pPr>
        <w:spacing w:after="120" w:line="360"/>
        <w:ind w:firstLine="480"/>
        <w:jc w:val="both"/>
      </w:pPr>
      <w:r>
        <w:rPr>
          <w:rFonts w:ascii="SimSun" w:cs="SimSun" w:eastAsia="SimSun" w:hAnsi="SimSun"/>
          <w:sz w:val="24"/>
          <w:szCs w:val="24"/>
        </w:rPr>
        <w:t xml:space="preserve">EnKF是目前在大规模地球物理系统中应用最广泛的序贯同化方法。其基本思想是用一组随机样本（集合成员）来近似表示系统状态的概率分布。算法包含预报步和更新步两个交替进行的阶段。</w:t>
      </w:r>
    </w:p>
    <w:p>
      <w:pPr>
        <w:spacing w:after="120" w:line="360"/>
        <w:ind w:firstLine="480"/>
        <w:jc w:val="both"/>
      </w:pPr>
      <w:r>
        <w:rPr>
          <w:rFonts w:ascii="SimSun" w:cs="SimSun" w:eastAsia="SimSun" w:hAnsi="SimSun"/>
          <w:sz w:val="24"/>
          <w:szCs w:val="24"/>
        </w:rPr>
        <w:t xml:space="preserve">预报步：用机理模型将每个集合成员从时刻k推进到时刻k+1。设共有Nₑ个集合成员，第j个成员的预报为：</w:t>
      </w:r>
    </w:p>
    <w:p>
      <w:pPr>
        <w:spacing w:before="160" w:after="160" w:line="360"/>
        <w:jc w:val="center"/>
      </w:pPr>
      <w:r>
        <w:rPr>
          <w:rFonts w:ascii="Times New Roman" w:cs="Times New Roman" w:eastAsia="Times New Roman" w:hAnsi="Times New Roman"/>
          <w:i/>
          <w:iCs/>
          <w:sz w:val="24"/>
          <w:szCs w:val="24"/>
        </w:rPr>
        <w:t xml:space="preserve">xⱼᶠ(k+1) = M[xⱼᵃ(k)] + wⱼ(k) , j = 1, 2, ..., Nₑ</w:t>
      </w:r>
      <w:r>
        <w:rPr>
          <w:rFonts w:ascii="Times New Roman" w:cs="Times New Roman" w:eastAsia="Times New Roman" w:hAnsi="Times New Roman"/>
          <w:sz w:val="22"/>
          <w:szCs w:val="22"/>
        </w:rPr>
        <w:t xml:space="preserve">    (6-1)</w:t>
      </w:r>
    </w:p>
    <w:p>
      <w:pPr>
        <w:spacing w:after="80" w:line="320"/>
        <w:ind w:firstLine="480"/>
      </w:pPr>
      <w:r>
        <w:rPr>
          <w:rFonts w:ascii="SimSun" w:cs="SimSun" w:eastAsia="SimSun" w:hAnsi="SimSun"/>
          <w:color w:val="404040"/>
          <w:sz w:val="22"/>
          <w:szCs w:val="22"/>
        </w:rPr>
        <w:t xml:space="preserve">式中：M[·]为非线性机理模型算子（如Saint-Venant方程数值解）；上标f表示预报（forecast）；上标a表示分析（analysis）；wⱼ为模型误差扰动。</w:t>
      </w:r>
    </w:p>
    <w:p>
      <w:pPr>
        <w:spacing w:after="120" w:line="360"/>
        <w:ind w:firstLine="480"/>
        <w:jc w:val="both"/>
      </w:pPr>
      <w:r>
        <w:rPr>
          <w:rFonts w:ascii="SimSun" w:cs="SimSun" w:eastAsia="SimSun" w:hAnsi="SimSun"/>
          <w:sz w:val="24"/>
          <w:szCs w:val="24"/>
        </w:rPr>
        <w:t xml:space="preserve">更新步：当观测数据到达时，计算卡尔曼增益矩阵并修正预报：</w:t>
      </w:r>
    </w:p>
    <w:p>
      <w:pPr>
        <w:spacing w:before="160" w:after="160" w:line="360"/>
        <w:jc w:val="center"/>
      </w:pPr>
      <w:r>
        <w:rPr>
          <w:rFonts w:ascii="Times New Roman" w:cs="Times New Roman" w:eastAsia="Times New Roman" w:hAnsi="Times New Roman"/>
          <w:i/>
          <w:iCs/>
          <w:sz w:val="24"/>
          <w:szCs w:val="24"/>
        </w:rPr>
        <w:t xml:space="preserve">K = PᶠHᵀ(HPᶠHᵀ + R)⁻¹</w:t>
      </w:r>
      <w:r>
        <w:rPr>
          <w:rFonts w:ascii="Times New Roman" w:cs="Times New Roman" w:eastAsia="Times New Roman" w:hAnsi="Times New Roman"/>
          <w:sz w:val="22"/>
          <w:szCs w:val="22"/>
        </w:rPr>
        <w:t xml:space="preserve">    (6-2)</w:t>
      </w:r>
    </w:p>
    <w:p>
      <w:pPr>
        <w:spacing w:before="160" w:after="160" w:line="360"/>
        <w:jc w:val="center"/>
      </w:pPr>
      <w:r>
        <w:rPr>
          <w:rFonts w:ascii="Times New Roman" w:cs="Times New Roman" w:eastAsia="Times New Roman" w:hAnsi="Times New Roman"/>
          <w:i/>
          <w:iCs/>
          <w:sz w:val="24"/>
          <w:szCs w:val="24"/>
        </w:rPr>
        <w:t xml:space="preserve">xⱼᵃ(k+1) = xⱼᶠ(k+1) + K[zⱼ − Hxⱼᶠ(k+1)]</w:t>
      </w:r>
      <w:r>
        <w:rPr>
          <w:rFonts w:ascii="Times New Roman" w:cs="Times New Roman" w:eastAsia="Times New Roman" w:hAnsi="Times New Roman"/>
          <w:sz w:val="22"/>
          <w:szCs w:val="22"/>
        </w:rPr>
        <w:t xml:space="preserve">    (6-3)</w:t>
      </w:r>
    </w:p>
    <w:p>
      <w:pPr>
        <w:spacing w:after="80" w:line="320"/>
        <w:ind w:firstLine="480"/>
      </w:pPr>
      <w:r>
        <w:rPr>
          <w:rFonts w:ascii="SimSun" w:cs="SimSun" w:eastAsia="SimSun" w:hAnsi="SimSun"/>
          <w:color w:val="404040"/>
          <w:sz w:val="22"/>
          <w:szCs w:val="22"/>
        </w:rPr>
        <w:t xml:space="preserve">式中：K为卡尔曼增益矩阵；Pᶠ为预报误差协方差矩阵（由集合样本估计）；H为观测算子矩阵；R为观测误差协方差矩阵；zⱼ为加扰动的观测值。</w:t>
      </w:r>
    </w:p>
    <w:p>
      <w:pPr>
        <w:spacing w:after="120" w:line="360"/>
        <w:ind w:firstLine="480"/>
        <w:jc w:val="both"/>
      </w:pPr>
      <w:r>
        <w:rPr>
          <w:rFonts w:ascii="SimSun" w:cs="SimSun" w:eastAsia="SimSun" w:hAnsi="SimSun"/>
          <w:sz w:val="24"/>
          <w:szCs w:val="24"/>
        </w:rPr>
        <w:t xml:space="preserve">EnKF的核心优势在于：不需要显式计算和存储协方差矩阵，所有统计信息隐含在集合成员中。对于水网系统，推荐的集合规模为Nₑ=50～200，计算成本为Nₑ次机理模型求解加上一次矩阵运算。</w:t>
      </w:r>
    </w:p>
    <w:p>
      <w:pPr>
        <w:pStyle w:val="Heading3"/>
      </w:pPr>
      <w:r>
        <w:t xml:space="preserve">6.2.2 变分同化方法</w:t>
      </w:r>
    </w:p>
    <w:p>
      <w:pPr>
        <w:spacing w:after="120" w:line="360"/>
        <w:ind w:firstLine="480"/>
        <w:jc w:val="both"/>
      </w:pPr>
      <w:r>
        <w:rPr>
          <w:rFonts w:ascii="SimSun" w:cs="SimSun" w:eastAsia="SimSun" w:hAnsi="SimSun"/>
          <w:sz w:val="24"/>
          <w:szCs w:val="24"/>
        </w:rPr>
        <w:t xml:space="preserve">三维变分同化（3D-Var）通过最小化代价函数J来求解最优分析场：</w:t>
      </w:r>
    </w:p>
    <w:p>
      <w:pPr>
        <w:spacing w:before="160" w:after="160" w:line="360"/>
        <w:jc w:val="center"/>
      </w:pPr>
      <w:r>
        <w:rPr>
          <w:rFonts w:ascii="Times New Roman" w:cs="Times New Roman" w:eastAsia="Times New Roman" w:hAnsi="Times New Roman"/>
          <w:i/>
          <w:iCs/>
          <w:sz w:val="24"/>
          <w:szCs w:val="24"/>
        </w:rPr>
        <w:t xml:space="preserve">J(x) = ½(x − xᵇ)ᵀ B⁻¹(x − xᵇ) + ½(z − Hx)ᵀ R⁻¹(z − Hx)</w:t>
      </w:r>
      <w:r>
        <w:rPr>
          <w:rFonts w:ascii="Times New Roman" w:cs="Times New Roman" w:eastAsia="Times New Roman" w:hAnsi="Times New Roman"/>
          <w:sz w:val="22"/>
          <w:szCs w:val="22"/>
        </w:rPr>
        <w:t xml:space="preserve">    (6-4)</w:t>
      </w:r>
    </w:p>
    <w:p>
      <w:pPr>
        <w:spacing w:after="80" w:line="320"/>
        <w:ind w:firstLine="480"/>
      </w:pPr>
      <w:r>
        <w:rPr>
          <w:rFonts w:ascii="SimSun" w:cs="SimSun" w:eastAsia="SimSun" w:hAnsi="SimSun"/>
          <w:color w:val="404040"/>
          <w:sz w:val="22"/>
          <w:szCs w:val="22"/>
        </w:rPr>
        <w:t xml:space="preserve">式中：xᵇ为背景场（初猜值）；B为背景误差协方差矩阵。第一项衡量分析场与背景场的偏离，第二项衡量分析场与观测的拟合程度。</w:t>
      </w:r>
    </w:p>
    <w:p>
      <w:pPr>
        <w:spacing w:after="120" w:line="360"/>
        <w:ind w:firstLine="480"/>
        <w:jc w:val="both"/>
      </w:pPr>
      <w:r>
        <w:rPr>
          <w:rFonts w:ascii="SimSun" w:cs="SimSun" w:eastAsia="SimSun" w:hAnsi="SimSun"/>
          <w:sz w:val="24"/>
          <w:szCs w:val="24"/>
        </w:rPr>
        <w:t xml:space="preserve">四维变分同化（4D-Var）将代价函数扩展到时间窗口[t₀, tₙ]内的所有观测：</w:t>
      </w:r>
    </w:p>
    <w:p>
      <w:pPr>
        <w:spacing w:before="160" w:after="160" w:line="360"/>
        <w:jc w:val="center"/>
      </w:pPr>
      <w:r>
        <w:rPr>
          <w:rFonts w:ascii="Times New Roman" w:cs="Times New Roman" w:eastAsia="Times New Roman" w:hAnsi="Times New Roman"/>
          <w:i/>
          <w:iCs/>
          <w:sz w:val="24"/>
          <w:szCs w:val="24"/>
        </w:rPr>
        <w:t xml:space="preserve">J(x₀) = ½(x₀ − xᵇ)ᵀ B⁻¹(x₀ − xᵇ) + ½ Σₖ (zₖ − Hₖxₖ)ᵀ Rₖ⁻¹(zₖ − Hₖxₖ)</w:t>
      </w:r>
      <w:r>
        <w:rPr>
          <w:rFonts w:ascii="Times New Roman" w:cs="Times New Roman" w:eastAsia="Times New Roman" w:hAnsi="Times New Roman"/>
          <w:sz w:val="22"/>
          <w:szCs w:val="22"/>
        </w:rPr>
        <w:t xml:space="preserve">    (6-5)</w:t>
      </w:r>
    </w:p>
    <w:p>
      <w:pPr>
        <w:spacing w:after="80" w:line="320"/>
        <w:ind w:firstLine="480"/>
      </w:pPr>
      <w:r>
        <w:rPr>
          <w:rFonts w:ascii="SimSun" w:cs="SimSun" w:eastAsia="SimSun" w:hAnsi="SimSun"/>
          <w:color w:val="404040"/>
          <w:sz w:val="22"/>
          <w:szCs w:val="22"/>
        </w:rPr>
        <w:t xml:space="preserve">式中：x₀为初始时刻状态；xₖ通过机理模型由x₀传播得到；求解需要伴随模型（adjoint model）。4D-Var适用于离线分析，EnKF适用于实时运行。</w:t>
      </w:r>
    </w:p>
    <w:p>
      <w:pPr>
        <w:pStyle w:val="Heading2"/>
      </w:pPr>
      <w:r>
        <w:t xml:space="preserve">6.3 不确定性预测与置信区间</w:t>
      </w:r>
    </w:p>
    <w:p>
      <w:pPr>
        <w:spacing w:after="120" w:line="360"/>
        <w:ind w:firstLine="480"/>
        <w:jc w:val="both"/>
      </w:pPr>
      <w:r>
        <w:rPr>
          <w:rFonts w:ascii="SimSun" w:cs="SimSun" w:eastAsia="SimSun" w:hAnsi="SimSun"/>
          <w:sz w:val="24"/>
          <w:szCs w:val="24"/>
        </w:rPr>
        <w:t xml:space="preserve">对于自主运行系统而言，不仅需要知道“系统最可能处于什么状态”，还需要知道“这个估计有多可靠”。不确定性量化（UQ）是实现鲁棒控制的前提。水网系统的不确定性来源包括：水文预报不确定性、模型结构不确定性、参数不确定性和观测不确定性。</w:t>
      </w:r>
    </w:p>
    <w:p>
      <w:pPr>
        <w:spacing w:after="120" w:line="360"/>
        <w:ind w:firstLine="480"/>
        <w:jc w:val="both"/>
      </w:pPr>
      <w:r>
        <w:rPr>
          <w:rFonts w:ascii="SimSun" w:cs="SimSun" w:eastAsia="SimSun" w:hAnsi="SimSun"/>
          <w:sz w:val="24"/>
          <w:szCs w:val="24"/>
        </w:rPr>
        <w:t xml:space="preserve">基于EnKF的集合展布可以自然地给出状态估计的置信区间。设集合均值为x̄ᵃ，集合标准差为σᵃ，则95%置信区间为[x̄ᵃ−1.96σᵃ, x̄ᵃ+1.96σᵃ]。这一不确定性信息直接输入到鲁棒MPC中，用于确定约束裕度。当σᵃ偏大时，控制器自动采取保守策略，增大安全裕度；当σᵃ偏小时，控制器可适度放宽约束，追求更优经济性能。</w:t>
      </w:r>
    </w:p>
    <w:p>
      <w:r>
        <w:br w:type="page"/>
      </w:r>
    </w:p>
    <w:p>
      <w:pPr>
        <w:pStyle w:val="Heading1"/>
      </w:pPr>
      <w:r>
        <w:t xml:space="preserve">第七章  关键技术三：分层分布式优化调度与控制</w:t>
      </w:r>
    </w:p>
    <w:p>
      <w:pPr>
        <w:spacing w:after="120" w:line="360"/>
        <w:ind w:firstLine="480"/>
      </w:pPr>
      <w:r>
        <w:rPr>
          <w:rFonts w:ascii="SimSun" w:cs="SimSun" w:eastAsia="SimSun" w:hAnsi="SimSun"/>
          <w:b/>
          <w:bCs/>
          <w:sz w:val="24"/>
          <w:szCs w:val="24"/>
        </w:rPr>
        <w:t xml:space="preserve">—— MPC/DMPC/混合控制体系</w:t>
      </w:r>
    </w:p>
    <w:p>
      <w:pPr>
        <w:pStyle w:val="Heading2"/>
      </w:pPr>
      <w:r>
        <w:t xml:space="preserve">7.1 分层控制架构设计</w:t>
      </w:r>
    </w:p>
    <w:p>
      <w:pPr>
        <w:spacing w:after="120" w:line="360"/>
        <w:ind w:firstLine="480"/>
        <w:jc w:val="both"/>
      </w:pPr>
      <w:r>
        <w:rPr>
          <w:rFonts w:ascii="SimSun" w:cs="SimSun" w:eastAsia="SimSun" w:hAnsi="SimSun"/>
          <w:sz w:val="24"/>
          <w:szCs w:val="24"/>
        </w:rPr>
        <w:t xml:space="preserve">水网的多尺度特征决定了控制系统必须采用分层架构。上层调度层以天到周为决策周期，核心方法是经济型MPC（EMPC）。中层协调层以分钟到小时为决策周期，核心方法是分布式MPC（DMPC）。下层执行层以毫秒到秒为控制周期，采用PID或自适应控制。</w:t>
      </w:r>
    </w:p>
    <w:p>
      <w:pPr>
        <w:pStyle w:val="Heading3"/>
      </w:pPr>
      <w:r>
        <w:t xml:space="preserve">7.1.1 上层经济型MPC（EMPC）</w:t>
      </w:r>
    </w:p>
    <w:p>
      <w:pPr>
        <w:spacing w:after="120" w:line="360"/>
        <w:ind w:firstLine="480"/>
        <w:jc w:val="both"/>
      </w:pPr>
      <w:r>
        <w:rPr>
          <w:rFonts w:ascii="SimSun" w:cs="SimSun" w:eastAsia="SimSun" w:hAnsi="SimSun"/>
          <w:sz w:val="24"/>
          <w:szCs w:val="24"/>
        </w:rPr>
        <w:t xml:space="preserve">上层调度层的EMPC以经济目标（电费最小化、水损最小化）为目标函数，而非传统MPC中的设定值跟踪。其典型公式化为：</w:t>
      </w:r>
    </w:p>
    <w:p>
      <w:pPr>
        <w:spacing w:before="160" w:after="160" w:line="360"/>
        <w:jc w:val="center"/>
      </w:pPr>
      <w:r>
        <w:rPr>
          <w:rFonts w:ascii="Times New Roman" w:cs="Times New Roman" w:eastAsia="Times New Roman" w:hAnsi="Times New Roman"/>
          <w:i/>
          <w:iCs/>
          <w:sz w:val="24"/>
          <w:szCs w:val="24"/>
        </w:rPr>
        <w:t xml:space="preserve">min Jₑ = Σₜ₌₁ᵀ {cₑ(t) · Pₚᵤₘₚ(t) + c₁ · Wₗₒₛₛ(t) + c₂ · Σᵢ [hᵢ(t) − hᵢᵗᵃᵣ](t)]²}</w:t>
      </w:r>
      <w:r>
        <w:rPr>
          <w:rFonts w:ascii="Times New Roman" w:cs="Times New Roman" w:eastAsia="Times New Roman" w:hAnsi="Times New Roman"/>
          <w:sz w:val="22"/>
          <w:szCs w:val="22"/>
        </w:rPr>
        <w:t xml:space="preserve">    (7-0)</w:t>
      </w:r>
    </w:p>
    <w:p>
      <w:pPr>
        <w:spacing w:after="80" w:line="320"/>
        <w:ind w:firstLine="480"/>
      </w:pPr>
      <w:r>
        <w:rPr>
          <w:rFonts w:ascii="SimSun" w:cs="SimSun" w:eastAsia="SimSun" w:hAnsi="SimSun"/>
          <w:color w:val="404040"/>
          <w:sz w:val="22"/>
          <w:szCs w:val="22"/>
        </w:rPr>
        <w:t xml:space="preserve">式中：cₑ(t)为分时电价（元/kWh），通常呈现峰-平-谷三阶梯结构；Pₚᵤₘₚ(t)为泵站群总功率（kW）；Wₗₒₛₛ(t)为渠道输水损失量（m³）；hᵢᵗᵃᵣ(t)为第i个控制断面的目标水位；c₁、c₂为权重系数。EMPC通过在低电价时段提前蓄水、高电价时段释放存量，实现“削峰填谷”。</w:t>
      </w:r>
    </w:p>
    <w:p>
      <w:pPr>
        <w:spacing w:after="120" w:line="360"/>
        <w:ind w:firstLine="480"/>
        <w:jc w:val="both"/>
      </w:pPr>
      <w:r>
        <w:rPr>
          <w:rFonts w:ascii="SimSun" w:cs="SimSun" w:eastAsia="SimSun" w:hAnsi="SimSun"/>
          <w:sz w:val="24"/>
          <w:szCs w:val="24"/>
        </w:rPr>
        <w:t xml:space="preserve">约束条件除式(7-4)～(7-6)的状态和控制约束外，还需增加供水保证约束和水量平衡约束：</w:t>
      </w:r>
    </w:p>
    <w:p>
      <w:pPr>
        <w:spacing w:before="160" w:after="160" w:line="360"/>
        <w:jc w:val="center"/>
      </w:pPr>
      <w:r>
        <w:rPr>
          <w:rFonts w:ascii="Times New Roman" w:cs="Times New Roman" w:eastAsia="Times New Roman" w:hAnsi="Times New Roman"/>
          <w:i/>
          <w:iCs/>
          <w:sz w:val="24"/>
          <w:szCs w:val="24"/>
        </w:rPr>
        <w:t xml:space="preserve">Σₜ Qₓᵢ(t) ≥ Dᵢ , ∀i ∈ 𝒫ₑₓₜᵣₐᵘₜ</w:t>
      </w:r>
      <w:r>
        <w:rPr>
          <w:rFonts w:ascii="Times New Roman" w:cs="Times New Roman" w:eastAsia="Times New Roman" w:hAnsi="Times New Roman"/>
          <w:sz w:val="22"/>
          <w:szCs w:val="22"/>
        </w:rPr>
        <w:t xml:space="preserve">    (7-0b)</w:t>
      </w:r>
    </w:p>
    <w:p>
      <w:pPr>
        <w:spacing w:after="80" w:line="320"/>
        <w:ind w:firstLine="480"/>
      </w:pPr>
      <w:r>
        <w:rPr>
          <w:rFonts w:ascii="SimSun" w:cs="SimSun" w:eastAsia="SimSun" w:hAnsi="SimSun"/>
          <w:color w:val="404040"/>
          <w:sz w:val="22"/>
          <w:szCs w:val="22"/>
        </w:rPr>
        <w:t xml:space="preserve">式中：Qₓᵢ(t)为第i个取水口在时段t的流量；Dᵢ为该取水口的累计供水任务量。该约束确保在追求经济性的同时不牺牲供水保障。</w:t>
      </w:r>
    </w:p>
    <w:p>
      <w:pPr>
        <w:pStyle w:val="Heading3"/>
      </w:pPr>
      <w:r>
        <w:t xml:space="preserve">7.1.2 国际案例：美国垦务局明渠自动化</w:t>
      </w:r>
    </w:p>
    <w:p>
      <w:pPr>
        <w:spacing w:after="120" w:line="360"/>
        <w:ind w:firstLine="480"/>
        <w:jc w:val="both"/>
      </w:pPr>
      <w:r>
        <w:rPr>
          <w:rFonts w:ascii="SimSun" w:cs="SimSun" w:eastAsia="SimSun" w:hAnsi="SimSun"/>
          <w:sz w:val="24"/>
          <w:szCs w:val="24"/>
        </w:rPr>
        <w:t xml:space="preserve">美国垦务局（Bureau of Reclamation）在加利福尼亚中央河谷项目（Central Valley Project）中实施了大规模明渠自动化。该系统管理约700公里的干渠网络，采用“上游控制+前馈补偿”的混合策略。核心技术特点包括：基于ASCE Canal Control Test Cases标准（Clemmens等，2005年）的算法基准测试、多种控制算法的系统对比评估（包括PID、EL-FLO、ALHPID、MPC等）、严格的现场试验协议。</w:t>
      </w:r>
    </w:p>
    <w:p>
      <w:pPr>
        <w:spacing w:after="120" w:line="360"/>
        <w:ind w:firstLine="480"/>
        <w:jc w:val="both"/>
      </w:pPr>
      <w:r>
        <w:rPr>
          <w:rFonts w:ascii="SimSun" w:cs="SimSun" w:eastAsia="SimSun" w:hAnsi="SimSun"/>
          <w:sz w:val="24"/>
          <w:szCs w:val="24"/>
        </w:rPr>
        <w:t xml:space="preserve">ASCE测试用例已成为国际上明渠控制算法评估的事实标准。其标准测试场景包括：阶跃取水变化（单点扰动）、多点同时取水变化（分布扰动）、上游来流变化、设备故障场景。该标准化测试框架值得中国水利行业直接借鉴——建议在此基础上增加冰期工况、超长渠道时滞等中国特色场景，形成“ASCE+中国补充集”的混合场景库。</w:t>
      </w:r>
    </w:p>
    <w:p>
      <w:pPr>
        <w:pStyle w:val="Heading2"/>
      </w:pPr>
      <w:r>
        <w:t xml:space="preserve">7.2 模型预测控制（MPC）原理与应用</w:t>
      </w:r>
    </w:p>
    <w:p>
      <w:pPr>
        <w:spacing w:after="120" w:line="360"/>
        <w:ind w:firstLine="480"/>
        <w:jc w:val="both"/>
      </w:pPr>
      <w:r>
        <w:rPr>
          <w:rFonts w:ascii="SimSun" w:cs="SimSun" w:eastAsia="SimSun" w:hAnsi="SimSun"/>
          <w:sz w:val="24"/>
          <w:szCs w:val="24"/>
        </w:rPr>
        <w:t xml:space="preserve">MPC的核心思想是“滚动优化+反馈校正”。在每个控制时刻k，MPC求解如下有限时域优化问题：</w:t>
      </w:r>
    </w:p>
    <w:p>
      <w:pPr>
        <w:spacing w:before="160" w:after="160" w:line="360"/>
        <w:jc w:val="center"/>
      </w:pPr>
      <w:r>
        <w:rPr>
          <w:rFonts w:ascii="Times New Roman" w:cs="Times New Roman" w:eastAsia="Times New Roman" w:hAnsi="Times New Roman"/>
          <w:i/>
          <w:iCs/>
          <w:sz w:val="24"/>
          <w:szCs w:val="24"/>
        </w:rPr>
        <w:t xml:space="preserve">min J = Σᵢ₌₁ᴺᵖ ||y(k+i|k) − r(k+i)||²ᵠ + Σᵢ₌₀ᴺᵘ⁻¹ ||Δu(k+i|k)||$²ᴿ</w:t>
      </w:r>
      <w:r>
        <w:rPr>
          <w:rFonts w:ascii="Times New Roman" w:cs="Times New Roman" w:eastAsia="Times New Roman" w:hAnsi="Times New Roman"/>
          <w:sz w:val="22"/>
          <w:szCs w:val="22"/>
        </w:rPr>
        <w:t xml:space="preserve">    (7-1)</w:t>
      </w:r>
    </w:p>
    <w:p>
      <w:pPr>
        <w:spacing w:after="120" w:line="360"/>
        <w:ind w:firstLine="480"/>
        <w:jc w:val="both"/>
      </w:pPr>
      <w:r>
        <w:rPr>
          <w:rFonts w:ascii="SimSun" w:cs="SimSun" w:eastAsia="SimSun" w:hAnsi="SimSun"/>
          <w:sz w:val="24"/>
          <w:szCs w:val="24"/>
        </w:rPr>
        <w:t xml:space="preserve">约束条件为：</w:t>
      </w:r>
    </w:p>
    <w:p>
      <w:pPr>
        <w:spacing w:before="160" w:after="160" w:line="360"/>
        <w:jc w:val="center"/>
      </w:pPr>
      <w:r>
        <w:rPr>
          <w:rFonts w:ascii="Times New Roman" w:cs="Times New Roman" w:eastAsia="Times New Roman" w:hAnsi="Times New Roman"/>
          <w:i/>
          <w:iCs/>
          <w:sz w:val="24"/>
          <w:szCs w:val="24"/>
        </w:rPr>
        <w:t xml:space="preserve">x(k+i+1|k) = Ax(k+i|k) + Bu(k+i|k) + Bₓd(k+i|k)</w:t>
      </w:r>
      <w:r>
        <w:rPr>
          <w:rFonts w:ascii="Times New Roman" w:cs="Times New Roman" w:eastAsia="Times New Roman" w:hAnsi="Times New Roman"/>
          <w:sz w:val="22"/>
          <w:szCs w:val="22"/>
        </w:rPr>
        <w:t xml:space="preserve">    (7-2)</w:t>
      </w:r>
    </w:p>
    <w:p>
      <w:pPr>
        <w:spacing w:before="160" w:after="160" w:line="360"/>
        <w:jc w:val="center"/>
      </w:pPr>
      <w:r>
        <w:rPr>
          <w:rFonts w:ascii="Times New Roman" w:cs="Times New Roman" w:eastAsia="Times New Roman" w:hAnsi="Times New Roman"/>
          <w:i/>
          <w:iCs/>
          <w:sz w:val="24"/>
          <w:szCs w:val="24"/>
        </w:rPr>
        <w:t xml:space="preserve">y(k+i|k) = Cx(k+i|k)</w:t>
      </w:r>
      <w:r>
        <w:rPr>
          <w:rFonts w:ascii="Times New Roman" w:cs="Times New Roman" w:eastAsia="Times New Roman" w:hAnsi="Times New Roman"/>
          <w:sz w:val="22"/>
          <w:szCs w:val="22"/>
        </w:rPr>
        <w:t xml:space="preserve">    (7-3)</w:t>
      </w:r>
    </w:p>
    <w:p>
      <w:pPr>
        <w:spacing w:before="160" w:after="160" w:line="360"/>
        <w:jc w:val="center"/>
      </w:pPr>
      <w:r>
        <w:rPr>
          <w:rFonts w:ascii="Times New Roman" w:cs="Times New Roman" w:eastAsia="Times New Roman" w:hAnsi="Times New Roman"/>
          <w:i/>
          <w:iCs/>
          <w:sz w:val="24"/>
          <w:szCs w:val="24"/>
        </w:rPr>
        <w:t xml:space="preserve">xₘᵢₙ ≤ x(k+i|k) ≤ xₘₐₓ</w:t>
      </w:r>
      <w:r>
        <w:rPr>
          <w:rFonts w:ascii="Times New Roman" w:cs="Times New Roman" w:eastAsia="Times New Roman" w:hAnsi="Times New Roman"/>
          <w:sz w:val="22"/>
          <w:szCs w:val="22"/>
        </w:rPr>
        <w:t xml:space="preserve">    (7-4)</w:t>
      </w:r>
    </w:p>
    <w:p>
      <w:pPr>
        <w:spacing w:before="160" w:after="160" w:line="360"/>
        <w:jc w:val="center"/>
      </w:pPr>
      <w:r>
        <w:rPr>
          <w:rFonts w:ascii="Times New Roman" w:cs="Times New Roman" w:eastAsia="Times New Roman" w:hAnsi="Times New Roman"/>
          <w:i/>
          <w:iCs/>
          <w:sz w:val="24"/>
          <w:szCs w:val="24"/>
        </w:rPr>
        <w:t xml:space="preserve">uₘᵢₙ ≤ u(k+i|k) ≤ uₘₐₓ</w:t>
      </w:r>
      <w:r>
        <w:rPr>
          <w:rFonts w:ascii="Times New Roman" w:cs="Times New Roman" w:eastAsia="Times New Roman" w:hAnsi="Times New Roman"/>
          <w:sz w:val="22"/>
          <w:szCs w:val="22"/>
        </w:rPr>
        <w:t xml:space="preserve">    (7-5)</w:t>
      </w:r>
    </w:p>
    <w:p>
      <w:pPr>
        <w:spacing w:before="160" w:after="160" w:line="360"/>
        <w:jc w:val="center"/>
      </w:pPr>
      <w:r>
        <w:rPr>
          <w:rFonts w:ascii="Times New Roman" w:cs="Times New Roman" w:eastAsia="Times New Roman" w:hAnsi="Times New Roman"/>
          <w:i/>
          <w:iCs/>
          <w:sz w:val="24"/>
          <w:szCs w:val="24"/>
        </w:rPr>
        <w:t xml:space="preserve">Δuₘᵢₙ ≤ Δu(k+i|k) ≤ Δuₘₐₓ</w:t>
      </w:r>
      <w:r>
        <w:rPr>
          <w:rFonts w:ascii="Times New Roman" w:cs="Times New Roman" w:eastAsia="Times New Roman" w:hAnsi="Times New Roman"/>
          <w:sz w:val="22"/>
          <w:szCs w:val="22"/>
        </w:rPr>
        <w:t xml:space="preserve">    (7-6)</w:t>
      </w:r>
    </w:p>
    <w:p>
      <w:pPr>
        <w:spacing w:after="80" w:line="320"/>
        <w:ind w:firstLine="480"/>
      </w:pPr>
      <w:r>
        <w:rPr>
          <w:rFonts w:ascii="SimSun" w:cs="SimSun" w:eastAsia="SimSun" w:hAnsi="SimSun"/>
          <w:color w:val="404040"/>
          <w:sz w:val="22"/>
          <w:szCs w:val="22"/>
        </w:rPr>
        <w:t xml:space="preserve">式中：Nₚ为预测时域；Nᵤ为控制时域；r为参考轨迹（目标水位）；Q、R为加权矩阵；Δu=u(k+i)−u(k+i−1)为控制增量；xₘᵢₙ、xₘₐₓ为状态约束（水位上下限）；uₘᵢₙ、uₘₐₓ为控制约束（闸门开度范围）；Δuₘᵢₙ、Δuₘₐₓ为控制变化率约束。</w:t>
      </w:r>
    </w:p>
    <w:p>
      <w:pPr>
        <w:spacing w:after="120" w:line="360"/>
        <w:ind w:firstLine="480"/>
        <w:jc w:val="both"/>
      </w:pPr>
      <w:r>
        <w:rPr>
          <w:rFonts w:ascii="SimSun" w:cs="SimSun" w:eastAsia="SimSun" w:hAnsi="SimSun"/>
          <w:sz w:val="24"/>
          <w:szCs w:val="24"/>
        </w:rPr>
        <w:t xml:space="preserve">当预测模型为线性时，上述问题为标准的二次规划（QP）问题，可用成熟的QP求解器（如OSQP、qpOASES）在毫秒级求解。对于包含n=63个渠池、预测时域Nₚ=48（10min×48=8h）的南水北调中线系统，QP问题的决策变量维度为63×48=3024，约束数为6000余个，在普通服务器上可在数秒内求解。</w:t>
      </w:r>
    </w:p>
    <w:p>
      <w:pPr>
        <w:pStyle w:val="Heading3"/>
      </w:pPr>
      <w:r>
        <w:t xml:space="preserve">7.2.1 鲁棒MPC公式化</w:t>
      </w:r>
    </w:p>
    <w:p>
      <w:pPr>
        <w:spacing w:after="120" w:line="360"/>
        <w:ind w:firstLine="480"/>
        <w:jc w:val="both"/>
      </w:pPr>
      <w:r>
        <w:rPr>
          <w:rFonts w:ascii="SimSun" w:cs="SimSun" w:eastAsia="SimSun" w:hAnsi="SimSun"/>
          <w:sz w:val="24"/>
          <w:szCs w:val="24"/>
        </w:rPr>
        <w:t xml:space="preserve">鲁棒MPC通过引入不确定性集合来保证约束在最坏情况下仍然满足。设扰动属于有界集合d(k)∈𝕎，则约束收紧为：</w:t>
      </w:r>
    </w:p>
    <w:p>
      <w:pPr>
        <w:spacing w:before="160" w:after="160" w:line="360"/>
        <w:jc w:val="center"/>
      </w:pPr>
      <w:r>
        <w:rPr>
          <w:rFonts w:ascii="Times New Roman" w:cs="Times New Roman" w:eastAsia="Times New Roman" w:hAnsi="Times New Roman"/>
          <w:i/>
          <w:iCs/>
          <w:sz w:val="24"/>
          <w:szCs w:val="24"/>
        </w:rPr>
        <w:t xml:space="preserve">xₘᵢₙ + δₓ ≤ x(k+i|k) ≤ xₘₐₓ − δₓ , ∀d ∈ 𝕎</w:t>
      </w:r>
      <w:r>
        <w:rPr>
          <w:rFonts w:ascii="Times New Roman" w:cs="Times New Roman" w:eastAsia="Times New Roman" w:hAnsi="Times New Roman"/>
          <w:sz w:val="22"/>
          <w:szCs w:val="22"/>
        </w:rPr>
        <w:t xml:space="preserve">    (7-7)</w:t>
      </w:r>
    </w:p>
    <w:p>
      <w:pPr>
        <w:spacing w:after="80" w:line="320"/>
        <w:ind w:firstLine="480"/>
      </w:pPr>
      <w:r>
        <w:rPr>
          <w:rFonts w:ascii="SimSun" w:cs="SimSun" w:eastAsia="SimSun" w:hAnsi="SimSun"/>
          <w:color w:val="404040"/>
          <w:sz w:val="22"/>
          <w:szCs w:val="22"/>
        </w:rPr>
        <w:t xml:space="preserve">式中：δₓ为由不确定性传播确定的约束裕度。当状态估计不确定性σᵃ较大时，δₓ自动增大，控制策略偏保守；当σᵃ减小时，δₓ减小，控制器追求更优经济性能。这一机制实现了“不确定性感知”的控制决策。</w:t>
      </w:r>
    </w:p>
    <w:p>
      <w:pPr>
        <w:pStyle w:val="Heading2"/>
      </w:pPr>
      <w:r>
        <w:t xml:space="preserve">7.3 分布式MPC与大时滞处理</w:t>
      </w:r>
    </w:p>
    <w:p>
      <w:pPr>
        <w:spacing w:after="120" w:line="360"/>
        <w:ind w:firstLine="480"/>
        <w:jc w:val="both"/>
      </w:pPr>
      <w:r>
        <w:rPr>
          <w:rFonts w:ascii="SimSun" w:cs="SimSun" w:eastAsia="SimSun" w:hAnsi="SimSun"/>
          <w:sz w:val="24"/>
          <w:szCs w:val="24"/>
        </w:rPr>
        <w:t xml:space="preserve">大规模水网系统通常无法用单一的集中式MPC处理，原因包括：计算复杂度随规模快速增长；单点故障导致全网失控；多管理主体难以共享全局信息。DMPC将全局优化问题分解为多个局部子问题。</w:t>
      </w:r>
    </w:p>
    <w:p>
      <w:pPr>
        <w:spacing w:after="120" w:line="360"/>
        <w:ind w:firstLine="480"/>
        <w:jc w:val="both"/>
      </w:pPr>
      <w:r>
        <w:rPr>
          <w:rFonts w:ascii="SimSun" w:cs="SimSun" w:eastAsia="SimSun" w:hAnsi="SimSun"/>
          <w:sz w:val="24"/>
          <w:szCs w:val="24"/>
        </w:rPr>
        <w:t xml:space="preserve">采用“预测耦合+约束解耦”的DMPC策略：每个子控制器求解局部优化问题，通过交换边界耦合变量达成协调：</w:t>
      </w:r>
    </w:p>
    <w:p>
      <w:pPr>
        <w:spacing w:before="160" w:after="160" w:line="360"/>
        <w:jc w:val="center"/>
      </w:pPr>
      <w:r>
        <w:rPr>
          <w:rFonts w:ascii="Times New Roman" w:cs="Times New Roman" w:eastAsia="Times New Roman" w:hAnsi="Times New Roman"/>
          <w:i/>
          <w:iCs/>
          <w:sz w:val="24"/>
          <w:szCs w:val="24"/>
        </w:rPr>
        <w:t xml:space="preserve">min Jᵢ = Σ ||yᵢ(k+j|k) − rᵢ||$² + Σ ||Δuᵢ||$² + λ||Δuᵢ − Δuᵢ*||$²</w:t>
      </w:r>
      <w:r>
        <w:rPr>
          <w:rFonts w:ascii="Times New Roman" w:cs="Times New Roman" w:eastAsia="Times New Roman" w:hAnsi="Times New Roman"/>
          <w:sz w:val="22"/>
          <w:szCs w:val="22"/>
        </w:rPr>
        <w:t xml:space="preserve">    (7-8)</w:t>
      </w:r>
    </w:p>
    <w:p>
      <w:pPr>
        <w:spacing w:after="80" w:line="320"/>
        <w:ind w:firstLine="480"/>
      </w:pPr>
      <w:r>
        <w:rPr>
          <w:rFonts w:ascii="SimSun" w:cs="SimSun" w:eastAsia="SimSun" w:hAnsi="SimSun"/>
          <w:color w:val="404040"/>
          <w:sz w:val="22"/>
          <w:szCs w:val="22"/>
        </w:rPr>
        <w:t xml:space="preserve">式中：Jᵢ为第i个子系统的局部目标函数；Δuᵢ*为上一次迭代中邻居子系统传来的耦合变量；λ为协调惩罚系数，用于保证子问题解的一致性。典型迭代次数为3～5次即可收敛。</w:t>
      </w:r>
    </w:p>
    <w:p>
      <w:pPr>
        <w:spacing w:after="120" w:line="360"/>
        <w:ind w:firstLine="480"/>
        <w:jc w:val="both"/>
      </w:pPr>
      <w:r>
        <w:rPr>
          <w:rFonts w:ascii="SimSun" w:cs="SimSun" w:eastAsia="SimSun" w:hAnsi="SimSun"/>
          <w:sz w:val="24"/>
          <w:szCs w:val="24"/>
        </w:rPr>
        <w:t xml:space="preserve">针对水网的大时滞特性，引入“Smith预估器+MPC”的复合架构。Smith预估器将时滞环节从反馈回路中分离出来，使MPC可以基于“无时滞”的等效系统进行设计，显著提升控制品质。对于延迟时间达数小时的长距离调水工程，该方法已在荷兰TU Delft的研究中得到验证。</w:t>
      </w:r>
    </w:p>
    <w:p>
      <w:r>
        <w:br w:type="page"/>
      </w:r>
    </w:p>
    <w:p>
      <w:pPr>
        <w:pStyle w:val="Heading1"/>
      </w:pPr>
      <w:r>
        <w:t xml:space="preserve">第八章  关键技术四：安全边界锁定与约束管理</w:t>
      </w:r>
    </w:p>
    <w:p>
      <w:pPr>
        <w:spacing w:after="120" w:line="360"/>
        <w:ind w:firstLine="480"/>
      </w:pPr>
      <w:r>
        <w:rPr>
          <w:rFonts w:ascii="SimSun" w:cs="SimSun" w:eastAsia="SimSun" w:hAnsi="SimSun"/>
          <w:b/>
          <w:bCs/>
          <w:sz w:val="24"/>
          <w:szCs w:val="24"/>
        </w:rPr>
        <w:t xml:space="preserve">—— 红黄绿分级、告警与联动机制</w:t>
      </w:r>
    </w:p>
    <w:p>
      <w:pPr>
        <w:pStyle w:val="Heading2"/>
      </w:pPr>
      <w:r>
        <w:t xml:space="preserve">8.1 约束管理的工程意义</w:t>
      </w:r>
    </w:p>
    <w:p>
      <w:pPr>
        <w:spacing w:after="120" w:line="360"/>
        <w:ind w:firstLine="480"/>
        <w:jc w:val="both"/>
      </w:pPr>
      <w:r>
        <w:rPr>
          <w:rFonts w:ascii="SimSun" w:cs="SimSun" w:eastAsia="SimSun" w:hAnsi="SimSun"/>
          <w:sz w:val="24"/>
          <w:szCs w:val="24"/>
        </w:rPr>
        <w:t xml:space="preserve">约束管理是区分“研究性仿真”与“工程级控制”的关键分水岭。在工程运行中，约束违反可能意味着堤防漫溢、设备损坏甚至人身安全事故。因此，约束管理必须被提升到系统架构设计的核心位置。</w:t>
      </w:r>
    </w:p>
    <w:p>
      <w:pPr>
        <w:spacing w:after="120" w:line="360"/>
        <w:ind w:firstLine="480"/>
        <w:jc w:val="both"/>
      </w:pPr>
      <w:r>
        <w:rPr>
          <w:rFonts w:ascii="SimSun" w:cs="SimSun" w:eastAsia="SimSun" w:hAnsi="SimSun"/>
          <w:sz w:val="24"/>
          <w:szCs w:val="24"/>
        </w:rPr>
        <w:t xml:space="preserve">从系统安全工程的视角看，约束管理的本质是“防护屏障（Barrier）”的设计与维护。借鉴Reason的“瑞士奶酪模型”（Swiss Cheese Model），每一层约束机制相当于一片“奶酪”，单层可能存在漏洞，但多层叠加后将事故穿透概率降至可接受水平。水网自主运行系统的防护屏障至少应包含四层：算法层（MPC约束求解）、逻辑层（边缘控制器独立校验）、硬件层（PLC/RTU限位保护）、物理层（溢流堰、安全阀等被动保护设施）。</w:t>
      </w:r>
    </w:p>
    <w:p>
      <w:pPr>
        <w:pStyle w:val="Heading3"/>
      </w:pPr>
      <w:r>
        <w:t xml:space="preserve">8.1.1 约束来源与形式化方法</w:t>
      </w:r>
    </w:p>
    <w:p>
      <w:pPr>
        <w:spacing w:after="120" w:line="360"/>
        <w:ind w:firstLine="480"/>
        <w:jc w:val="both"/>
      </w:pPr>
      <w:r>
        <w:rPr>
          <w:rFonts w:ascii="SimSun" w:cs="SimSun" w:eastAsia="SimSun" w:hAnsi="SimSun"/>
          <w:sz w:val="24"/>
          <w:szCs w:val="24"/>
        </w:rPr>
        <w:t xml:space="preserve">水网运行约束的来源包括：物理约束（堤防高程、管道承压极限、闸门行程范围）、设备约束（泵组最小/最大流量、电机额定功率、阀门动作速率）、管理约束（生态流量下限、供水保证率、噪声排放标准）、法规约束（防洪调度规程、水资源调度条例）。</w:t>
      </w:r>
    </w:p>
    <w:p>
      <w:pPr>
        <w:spacing w:after="120" w:line="360"/>
        <w:ind w:firstLine="480"/>
        <w:jc w:val="both"/>
      </w:pPr>
      <w:r>
        <w:rPr>
          <w:rFonts w:ascii="SimSun" w:cs="SimSun" w:eastAsia="SimSun" w:hAnsi="SimSun"/>
          <w:sz w:val="24"/>
          <w:szCs w:val="24"/>
        </w:rPr>
        <w:t xml:space="preserve">所有约束必须经过“形式化”（Formalization）处理——从自然语言描述转换为数学不等式——才能嵌入控制算法。形式化过程需特别注意：约束参数的不确定性（如Manning系数的季节性变化导致安全水位的动态调整）；约束之间的逻辑关系（某些约束是“与”关系——必须同时满足，另一些是“或”关系——满足其一即可）；约束的时变性（冰期与非冰期的水位上限不同，丰水期与枯水期的流量下限不同）。</w:t>
      </w:r>
    </w:p>
    <w:p>
      <w:pPr>
        <w:pStyle w:val="Heading3"/>
      </w:pPr>
      <w:r>
        <w:t xml:space="preserve">8.1.2 FMEA与约束完整性分析</w:t>
      </w:r>
    </w:p>
    <w:p>
      <w:pPr>
        <w:spacing w:after="120" w:line="360"/>
        <w:ind w:firstLine="480"/>
        <w:jc w:val="both"/>
      </w:pPr>
      <w:r>
        <w:rPr>
          <w:rFonts w:ascii="SimSun" w:cs="SimSun" w:eastAsia="SimSun" w:hAnsi="SimSun"/>
          <w:sz w:val="24"/>
          <w:szCs w:val="24"/>
        </w:rPr>
        <w:t xml:space="preserve">建议对所有安全关键约束进行失效模式与影响分析（FMEA, Failure Mode and Effects Analysis）。针对每条红色约束，FMEA需要回答三个核心问题：该约束可能以何种方式失效（传感器故障导致水位读数偏低、通信中断导致指令丢失、算法错误导致约束被错误松弛）？失效的后果严重度如何？当前有哪些检测手段和缓解措施？</w:t>
      </w:r>
    </w:p>
    <w:p>
      <w:pPr>
        <w:spacing w:after="120" w:line="360"/>
        <w:ind w:firstLine="480"/>
        <w:jc w:val="both"/>
      </w:pPr>
      <w:r>
        <w:rPr>
          <w:rFonts w:ascii="SimSun" w:cs="SimSun" w:eastAsia="SimSun" w:hAnsi="SimSun"/>
          <w:sz w:val="24"/>
          <w:szCs w:val="24"/>
        </w:rPr>
        <w:t xml:space="preserve">基于FMEA的风险优先数RPN（Risk Priority Number）计算为：</w:t>
      </w:r>
    </w:p>
    <w:p>
      <w:pPr>
        <w:spacing w:before="160" w:after="160" w:line="360"/>
        <w:jc w:val="center"/>
      </w:pPr>
      <w:r>
        <w:rPr>
          <w:rFonts w:ascii="Times New Roman" w:cs="Times New Roman" w:eastAsia="Times New Roman" w:hAnsi="Times New Roman"/>
          <w:i/>
          <w:iCs/>
          <w:sz w:val="24"/>
          <w:szCs w:val="24"/>
        </w:rPr>
        <w:t xml:space="preserve">RPN = S × O × D</w:t>
      </w:r>
      <w:r>
        <w:rPr>
          <w:rFonts w:ascii="Times New Roman" w:cs="Times New Roman" w:eastAsia="Times New Roman" w:hAnsi="Times New Roman"/>
          <w:sz w:val="22"/>
          <w:szCs w:val="22"/>
        </w:rPr>
        <w:t xml:space="preserve">    (8-4)</w:t>
      </w:r>
    </w:p>
    <w:p>
      <w:pPr>
        <w:spacing w:after="80" w:line="320"/>
        <w:ind w:firstLine="480"/>
      </w:pPr>
      <w:r>
        <w:rPr>
          <w:rFonts w:ascii="SimSun" w:cs="SimSun" w:eastAsia="SimSun" w:hAnsi="SimSun"/>
          <w:color w:val="404040"/>
          <w:sz w:val="22"/>
          <w:szCs w:val="22"/>
        </w:rPr>
        <w:t xml:space="preserve">式中：S为严重度评分（1～10）；O为发生频度评分（1～10）；D为可检测性评分（1～10，越难检测越高）。对于RPN≥200的高风险失效模式，必须设计专门的缓解措施并通过测试验证。</w:t>
      </w:r>
    </w:p>
    <w:p>
      <w:pPr>
        <w:pStyle w:val="Heading3"/>
      </w:pPr>
      <w:r>
        <w:t xml:space="preserve">8.1.3 对标ICOLD大坝安全管理框架</w:t>
      </w:r>
    </w:p>
    <w:p>
      <w:pPr>
        <w:spacing w:after="120" w:line="360"/>
        <w:ind w:firstLine="480"/>
        <w:jc w:val="both"/>
      </w:pPr>
      <w:r>
        <w:rPr>
          <w:rFonts w:ascii="SimSun" w:cs="SimSun" w:eastAsia="SimSun" w:hAnsi="SimSun"/>
          <w:sz w:val="24"/>
          <w:szCs w:val="24"/>
        </w:rPr>
        <w:t xml:space="preserve">国际大坝委员会（ICOLD）Bulletin 154《Dam Safety Management》提出了大坝安全管理的系统框架，其核心理念包括：安全目标的定量化（个人风险标准通常为10⁻⁴～10⁻⁶/年、社会风险遵循ALARP原则）；多重防护屏障（监测→预警→应急→疏散四道防线）；持续的安全评估（定期安全复核，通常每5～10年一次全面评估）。</w:t>
      </w:r>
    </w:p>
    <w:p>
      <w:pPr>
        <w:spacing w:after="120" w:line="360"/>
        <w:ind w:firstLine="480"/>
        <w:jc w:val="both"/>
      </w:pPr>
      <w:r>
        <w:rPr>
          <w:rFonts w:ascii="SimSun" w:cs="SimSun" w:eastAsia="SimSun" w:hAnsi="SimSun"/>
          <w:sz w:val="24"/>
          <w:szCs w:val="24"/>
        </w:rPr>
        <w:t xml:space="preserve">ICOLD框架对水网约束管理的启示：红色约束的安全裕度εᵣ应基于定量风险分析（QRA）确定，而非凭经验设定；安全论证应采用“纵深防御”（Defence in Depth）原则，不依赖单一屏障；所有安全关键设备应有独立的定期校核机制。</w:t>
      </w:r>
    </w:p>
    <w:p>
      <w:pPr>
        <w:pStyle w:val="Heading2"/>
      </w:pPr>
      <w:r>
        <w:t xml:space="preserve">8.2 红黄绿三级约束体系</w:t>
      </w:r>
    </w:p>
    <w:p>
      <w:pPr>
        <w:spacing w:after="120" w:line="360"/>
        <w:ind w:firstLine="480"/>
        <w:jc w:val="both"/>
      </w:pPr>
      <w:r>
        <w:rPr>
          <w:rFonts w:ascii="SimSun" w:cs="SimSun" w:eastAsia="SimSun" w:hAnsi="SimSun"/>
          <w:sz w:val="24"/>
          <w:szCs w:val="24"/>
        </w:rPr>
        <w:t xml:space="preserve">红色约束（硬约束）：代表物理极限或安全红线，在任何情况下绝对不可突破。典型包括堤顶高程、设备极限参数。红色约束在MPC优化中以严格不等式约束形式实现：</w:t>
      </w:r>
    </w:p>
    <w:p>
      <w:pPr>
        <w:spacing w:before="160" w:after="160" w:line="360"/>
        <w:jc w:val="center"/>
      </w:pPr>
      <w:r>
        <w:rPr>
          <w:rFonts w:ascii="Times New Roman" w:cs="Times New Roman" w:eastAsia="Times New Roman" w:hAnsi="Times New Roman"/>
          <w:i/>
          <w:iCs/>
          <w:sz w:val="24"/>
          <w:szCs w:val="24"/>
        </w:rPr>
        <w:t xml:space="preserve">yᵢ(k+j|k) ≤ yᵢ,ᵣᵉᵈ − εᵣ , ∀j = 1,...,Nₚ , ∀d ∈ 𝕎</w:t>
      </w:r>
      <w:r>
        <w:rPr>
          <w:rFonts w:ascii="Times New Roman" w:cs="Times New Roman" w:eastAsia="Times New Roman" w:hAnsi="Times New Roman"/>
          <w:sz w:val="22"/>
          <w:szCs w:val="22"/>
        </w:rPr>
        <w:t xml:space="preserve">    (8-1)</w:t>
      </w:r>
    </w:p>
    <w:p>
      <w:pPr>
        <w:spacing w:after="80" w:line="320"/>
        <w:ind w:firstLine="480"/>
      </w:pPr>
      <w:r>
        <w:rPr>
          <w:rFonts w:ascii="SimSun" w:cs="SimSun" w:eastAsia="SimSun" w:hAnsi="SimSun"/>
          <w:color w:val="404040"/>
          <w:sz w:val="22"/>
          <w:szCs w:val="22"/>
        </w:rPr>
        <w:t xml:space="preserve">式中：yᵢ,ᵣᵉᵈ为红线值（如堤顶高程）；εᵣ为安全裕度（通常取0.1～0.3m）。红色约束绝不允许通过松弛变量放松，且需要多层冗余执行：MPC层→边缘控制器层→现地PLC层，任一层检测到越限均立即触发保护动作。</w:t>
      </w:r>
    </w:p>
    <w:p>
      <w:pPr>
        <w:spacing w:after="120" w:line="360"/>
        <w:ind w:firstLine="480"/>
        <w:jc w:val="both"/>
      </w:pPr>
      <w:r>
        <w:rPr>
          <w:rFonts w:ascii="SimSun" w:cs="SimSun" w:eastAsia="SimSun" w:hAnsi="SimSun"/>
          <w:sz w:val="24"/>
          <w:szCs w:val="24"/>
        </w:rPr>
        <w:t xml:space="preserve">黄色约束（软约束）：代表运行指标或管理要求，允许短时偏离但需要付出惩罚代价。在MPC优化中以松弛变量和惩罚项形式嵌入目标函数：</w:t>
      </w:r>
    </w:p>
    <w:p>
      <w:pPr>
        <w:spacing w:before="160" w:after="160" w:line="360"/>
        <w:jc w:val="center"/>
      </w:pPr>
      <w:r>
        <w:rPr>
          <w:rFonts w:ascii="Times New Roman" w:cs="Times New Roman" w:eastAsia="Times New Roman" w:hAnsi="Times New Roman"/>
          <w:i/>
          <w:iCs/>
          <w:sz w:val="24"/>
          <w:szCs w:val="24"/>
        </w:rPr>
        <w:t xml:space="preserve">Jₑₓₜ = J + ρ Σᵢ Σⱼ ξᵢ,ⱼ²</w:t>
      </w:r>
      <w:r>
        <w:rPr>
          <w:rFonts w:ascii="Times New Roman" w:cs="Times New Roman" w:eastAsia="Times New Roman" w:hAnsi="Times New Roman"/>
          <w:sz w:val="22"/>
          <w:szCs w:val="22"/>
        </w:rPr>
        <w:t xml:space="preserve">    (8-2)</w:t>
      </w:r>
    </w:p>
    <w:p>
      <w:pPr>
        <w:spacing w:before="160" w:after="160" w:line="360"/>
        <w:jc w:val="center"/>
      </w:pPr>
      <w:r>
        <w:rPr>
          <w:rFonts w:ascii="Times New Roman" w:cs="Times New Roman" w:eastAsia="Times New Roman" w:hAnsi="Times New Roman"/>
          <w:i/>
          <w:iCs/>
          <w:sz w:val="24"/>
          <w:szCs w:val="24"/>
        </w:rPr>
        <w:t xml:space="preserve">yᵢ,ₘᵢₙ − ξᵢ,ⱼ ≤ yᵢ(k+j|k) ≤ yᵢ,ₘₐₓ + ξᵢ,ⱼ , ξᵢ,ⱼ ≥ 0</w:t>
      </w:r>
      <w:r>
        <w:rPr>
          <w:rFonts w:ascii="Times New Roman" w:cs="Times New Roman" w:eastAsia="Times New Roman" w:hAnsi="Times New Roman"/>
          <w:sz w:val="22"/>
          <w:szCs w:val="22"/>
        </w:rPr>
        <w:t xml:space="preserve">    (8-3)</w:t>
      </w:r>
    </w:p>
    <w:p>
      <w:pPr>
        <w:spacing w:after="80" w:line="320"/>
        <w:ind w:firstLine="480"/>
      </w:pPr>
      <w:r>
        <w:rPr>
          <w:rFonts w:ascii="SimSun" w:cs="SimSun" w:eastAsia="SimSun" w:hAnsi="SimSun"/>
          <w:color w:val="404040"/>
          <w:sz w:val="22"/>
          <w:szCs w:val="22"/>
        </w:rPr>
        <w:t xml:space="preserve">式中：ξᵢ,ⱼ为松弛变量；ρ为惩罚系数（取值远大于Q、R中的权重，确保仅在必要时才偏离）。黄色约束的典型应用包括：目标水位偏差容许带（如±0.10m）、泵站组合切换间隔（如≥30min）。</w:t>
      </w:r>
    </w:p>
    <w:p>
      <w:pPr>
        <w:spacing w:after="120" w:line="360"/>
        <w:ind w:firstLine="480"/>
        <w:jc w:val="both"/>
      </w:pPr>
      <w:r>
        <w:rPr>
          <w:rFonts w:ascii="SimSun" w:cs="SimSun" w:eastAsia="SimSun" w:hAnsi="SimSun"/>
          <w:sz w:val="24"/>
          <w:szCs w:val="24"/>
        </w:rPr>
        <w:t xml:space="preserve">绿色约束（目标区间）：代表理想的运行区间，是优化追求的方向。系统在满足红色和黄色约束的前提下，尽可能将运行状态维持在绿色区间内。绿色区间通过目标函数中的参考轨迹r(k)来实现，不形成显式约束。</w:t>
      </w:r>
    </w:p>
    <w:p>
      <w:pPr>
        <w:pStyle w:val="Heading2"/>
      </w:pPr>
      <w:r>
        <w:t xml:space="preserve">8.3 约束裕度实时监测与动态调整</w:t>
      </w:r>
    </w:p>
    <w:p>
      <w:pPr>
        <w:spacing w:after="120" w:line="360"/>
        <w:ind w:firstLine="480"/>
        <w:jc w:val="both"/>
      </w:pPr>
      <w:r>
        <w:rPr>
          <w:rFonts w:ascii="SimSun" w:cs="SimSun" w:eastAsia="SimSun" w:hAnsi="SimSun"/>
          <w:sz w:val="24"/>
          <w:szCs w:val="24"/>
        </w:rPr>
        <w:t xml:space="preserve">约束裕度（Constraint Margin）定义为当前状态到约束边界的距离：</w:t>
      </w:r>
    </w:p>
    <w:p>
      <w:pPr>
        <w:spacing w:before="160" w:after="160" w:line="360"/>
        <w:jc w:val="center"/>
      </w:pPr>
      <w:r>
        <w:rPr>
          <w:rFonts w:ascii="Times New Roman" w:cs="Times New Roman" w:eastAsia="Times New Roman" w:hAnsi="Times New Roman"/>
          <w:i/>
          <w:iCs/>
          <w:sz w:val="24"/>
          <w:szCs w:val="24"/>
        </w:rPr>
        <w:t xml:space="preserve">Mᵢ(k) = yᵢ,ₘₐₓ − yᵢ(k)  或  Mᵢ(k) = yᵢ(k) − yᵢ,ₘᵢₙ</w:t>
      </w:r>
      <w:r>
        <w:rPr>
          <w:rFonts w:ascii="Times New Roman" w:cs="Times New Roman" w:eastAsia="Times New Roman" w:hAnsi="Times New Roman"/>
          <w:sz w:val="22"/>
          <w:szCs w:val="22"/>
        </w:rPr>
        <w:t xml:space="preserve">    (8-5)</w:t>
      </w:r>
    </w:p>
    <w:p>
      <w:pPr>
        <w:spacing w:after="80" w:line="320"/>
        <w:ind w:firstLine="480"/>
      </w:pPr>
      <w:r>
        <w:rPr>
          <w:rFonts w:ascii="SimSun" w:cs="SimSun" w:eastAsia="SimSun" w:hAnsi="SimSun"/>
          <w:color w:val="404040"/>
          <w:sz w:val="22"/>
          <w:szCs w:val="22"/>
        </w:rPr>
        <w:t xml:space="preserve">当裕度Mᵢ(k)&lt;ε₀时进入黄色预警区，当Mᵢ(k)&lt;εᵣ时进入红色紧急区。裕度阈值ε₀和εᵣ应基于当前状态估计的不确定性σᵃ动态调整：ε₀ = α₀σᵃ，εᵣ = αᵣσᵃ，其中α₀≈2.0、αᵣ≈3.0。</w:t>
      </w:r>
    </w:p>
    <w:p>
      <w:pPr>
        <w:spacing w:after="120" w:line="360"/>
        <w:ind w:firstLine="480"/>
        <w:jc w:val="both"/>
      </w:pPr>
      <w:r>
        <w:rPr>
          <w:rFonts w:ascii="SimSun" w:cs="SimSun" w:eastAsia="SimSun" w:hAnsi="SimSun"/>
          <w:sz w:val="24"/>
          <w:szCs w:val="24"/>
        </w:rPr>
        <w:t xml:space="preserve">约束裕度的预测值同样重要。利用MPC的预测轨迹，可以提前计算未来Nₚ个时步的裕度预测序列{Mᵢ(k+1|k), Mᵢ(k+2|k), ..., Mᵢ(k+Nₚ|k)}。当预测裕度低于阈值时，即使当前裕度充足，系统也应提前发出预警并调整控制策略。这种“预测性约束管理”机制是自主运行系统相比传统阈值报警的核心优势。</w:t>
      </w:r>
    </w:p>
    <w:p>
      <w:pPr>
        <w:pStyle w:val="Heading2"/>
      </w:pPr>
      <w:r>
        <w:t xml:space="preserve">8.4 约束-告警-预案联动机制</w:t>
      </w:r>
    </w:p>
    <w:p>
      <w:pPr>
        <w:spacing w:after="120" w:line="360"/>
        <w:ind w:firstLine="480"/>
        <w:jc w:val="both"/>
      </w:pPr>
      <w:r>
        <w:rPr>
          <w:rFonts w:ascii="SimSun" w:cs="SimSun" w:eastAsia="SimSun" w:hAnsi="SimSun"/>
          <w:sz w:val="24"/>
          <w:szCs w:val="24"/>
        </w:rPr>
        <w:t xml:space="preserve">约束管理的最终目的是实现“算法与预案同频”。联动机制需要三个核心要素协同。</w:t>
      </w:r>
    </w:p>
    <w:p>
      <w:pPr>
        <w:spacing w:after="120" w:line="360"/>
        <w:ind w:firstLine="480"/>
        <w:jc w:val="both"/>
      </w:pPr>
      <w:r>
        <w:rPr>
          <w:rFonts w:ascii="SimSun" w:cs="SimSun" w:eastAsia="SimSun" w:hAnsi="SimSun"/>
          <w:sz w:val="24"/>
          <w:szCs w:val="24"/>
        </w:rPr>
        <w:t xml:space="preserve">约束状态监测：实时计算所有红色和黄色约束的当前裕度和预测裕度，形成全网约束健康状态图谱。关键指标包括：最小裕度断面（全网中裕度最小的控制断面）、裕度恶化速率（裕度随时间的下降趋势）、裕度预警剩余时间（当前裕度按当前趋势降至阈值的预计时间）。</w:t>
      </w:r>
    </w:p>
    <w:p>
      <w:pPr>
        <w:spacing w:after="120" w:line="360"/>
        <w:ind w:firstLine="480"/>
        <w:jc w:val="both"/>
      </w:pPr>
      <w:r>
        <w:rPr>
          <w:rFonts w:ascii="SimSun" w:cs="SimSun" w:eastAsia="SimSun" w:hAnsi="SimSun"/>
          <w:sz w:val="24"/>
          <w:szCs w:val="24"/>
        </w:rPr>
        <w:t xml:space="preserve">告警分级与路由：一级告警（红色约束裕度不足）直接通知总调度中心值班主任和相关分控中心，响应时间要求≤15分钟；二级告警（黄色约束偏离）通知分控中心运行人员，响应时间要求≤30分钟；三级告警（绿色区间偏离）在运行日志中记录并在日报中汇总。</w:t>
      </w:r>
    </w:p>
    <w:p>
      <w:pPr>
        <w:spacing w:after="120" w:line="360"/>
        <w:ind w:firstLine="480"/>
        <w:jc w:val="both"/>
      </w:pPr>
      <w:r>
        <w:rPr>
          <w:rFonts w:ascii="SimSun" w:cs="SimSun" w:eastAsia="SimSun" w:hAnsi="SimSun"/>
          <w:sz w:val="24"/>
          <w:szCs w:val="24"/>
        </w:rPr>
        <w:t xml:space="preserve">应急预案自动衔接：每条红色约束关联一套预定义的应急预案。当约束裕度进入红色区域时，系统自动启动预案中的初始动作序列（如关闭相关闸门、开启退水闸、降低泵站出力），同时通知人工接管。预案的启动不依赖人工确认——这是自主运行系统“安全优先”原则的直接体现。人工介入后可以修改或终止预案执行，但系统的默认行为是“先保护、再报告”。</w:t>
      </w:r>
    </w:p>
    <w:p>
      <w:r>
        <w:br w:type="page"/>
      </w:r>
    </w:p>
    <w:p>
      <w:pPr>
        <w:pStyle w:val="Heading1"/>
      </w:pPr>
      <w:r>
        <w:t xml:space="preserve">第九章  关键技术五：场景库驱动的SIL/HIL验证与工程准入</w:t>
      </w:r>
    </w:p>
    <w:p>
      <w:pPr>
        <w:spacing w:after="120" w:line="360"/>
        <w:ind w:firstLine="480"/>
      </w:pPr>
      <w:r>
        <w:rPr>
          <w:rFonts w:ascii="SimSun" w:cs="SimSun" w:eastAsia="SimSun" w:hAnsi="SimSun"/>
          <w:b/>
          <w:bCs/>
          <w:sz w:val="24"/>
          <w:szCs w:val="24"/>
        </w:rPr>
        <w:t xml:space="preserve">—— 跨越“仿真完美、上线失灵”的鸿沟</w:t>
      </w:r>
    </w:p>
    <w:p>
      <w:pPr>
        <w:pStyle w:val="Heading2"/>
      </w:pPr>
      <w:r>
        <w:t xml:space="preserve">9.1 从“功能演示”到“场景验证”的范式转换</w:t>
      </w:r>
    </w:p>
    <w:p>
      <w:pPr>
        <w:spacing w:after="120" w:line="360"/>
        <w:ind w:firstLine="480"/>
        <w:jc w:val="both"/>
      </w:pPr>
      <w:r>
        <w:rPr>
          <w:rFonts w:ascii="SimSun" w:cs="SimSun" w:eastAsia="SimSun" w:hAnsi="SimSun"/>
          <w:sz w:val="24"/>
          <w:szCs w:val="24"/>
        </w:rPr>
        <w:t xml:space="preserve">当前水利智能系统的上线验收以“功能演示”为主，只证明了“系统在好天气里能跑”。场景驱动验证的核心理念是：不是问“系统能做什么”，而是问“系统在什么情况下会失败”。</w:t>
      </w:r>
    </w:p>
    <w:p>
      <w:pPr>
        <w:pStyle w:val="Heading2"/>
      </w:pPr>
      <w:r>
        <w:t xml:space="preserve">9.2 场景库构建方法论</w:t>
      </w:r>
    </w:p>
    <w:p>
      <w:pPr>
        <w:spacing w:after="120" w:line="360"/>
        <w:ind w:firstLine="480"/>
        <w:jc w:val="both"/>
      </w:pPr>
      <w:r>
        <w:rPr>
          <w:rFonts w:ascii="SimSun" w:cs="SimSun" w:eastAsia="SimSun" w:hAnsi="SimSun"/>
          <w:sz w:val="24"/>
          <w:szCs w:val="24"/>
        </w:rPr>
        <w:t xml:space="preserve">场景库构建遵循“ODD导向、风险驱动、组合覆盖”的方法论。场景空间维度包括：工况维度（基流量×水位×水质等级）、扰动维度（降雨事件×取水突变×上游来流变化）、设备维度（传感器故障×执行机构卡死×通信中断）和组合维度（多维交叉的复合场景）。</w:t>
      </w:r>
    </w:p>
    <w:p>
      <w:pPr>
        <w:spacing w:after="120" w:line="360"/>
        <w:ind w:firstLine="480"/>
        <w:jc w:val="both"/>
      </w:pPr>
      <w:r>
        <w:rPr>
          <w:rFonts w:ascii="SimSun" w:cs="SimSun" w:eastAsia="SimSun" w:hAnsi="SimSun"/>
          <w:sz w:val="24"/>
          <w:szCs w:val="24"/>
        </w:rPr>
        <w:t xml:space="preserve">采用基于风险矩阵的场景筛选方法确定核心测试场景集。风险值R = P × C，其中P为发生概率等级（1～5），C为后果严重度等级（1～5）。对于R≥15的“高风险”场景，必须100%覆盖测试；对于R≥8的“中风险”场景，抽样覆盖率不低于80%。建议初始场景库规模不少于200个，其中极端场景占比不低于30%。</w:t>
      </w:r>
    </w:p>
    <w:p>
      <w:pPr>
        <w:pStyle w:val="Heading2"/>
      </w:pPr>
      <w:r>
        <w:t xml:space="preserve">9.3 SIL与HIL验证平台</w:t>
      </w:r>
    </w:p>
    <w:p>
      <w:pPr>
        <w:spacing w:after="120" w:line="360"/>
        <w:ind w:firstLine="480"/>
        <w:jc w:val="both"/>
      </w:pPr>
      <w:r>
        <w:rPr>
          <w:rFonts w:ascii="SimSun" w:cs="SimSun" w:eastAsia="SimSun" w:hAnsi="SimSun"/>
          <w:sz w:val="24"/>
          <w:szCs w:val="24"/>
        </w:rPr>
        <w:t xml:space="preserve">SIL（Software-in-the-Loop）验证在纯软件环境中测试控制策略。SIL平台的核心组件包括：机理模型仿真引擎（运行Saint-Venant方程数值解）、被测控制算法、场景注入器（按预定义时序注入扰动）、评估记录器（自动计算KPI指标）。SIL测试的优势在于成本低、速度快、可重复，单个场景的仿真时间通常为实际运行时间的1/10～1/100。</w:t>
      </w:r>
    </w:p>
    <w:p>
      <w:pPr>
        <w:spacing w:after="120" w:line="360"/>
        <w:ind w:firstLine="480"/>
        <w:jc w:val="both"/>
      </w:pPr>
      <w:r>
        <w:rPr>
          <w:rFonts w:ascii="SimSun" w:cs="SimSun" w:eastAsia="SimSun" w:hAnsi="SimSun"/>
          <w:sz w:val="24"/>
          <w:szCs w:val="24"/>
        </w:rPr>
        <w:t xml:space="preserve">HIL（Hardware-in-the-Loop）验证接入真实控制硬件（PLC/RTU），能发现SIL无法暴露的问题：通信延迟与丢包、硬件计算精度限制、I/O信号转换误差、实时操作系统调度冲突。建议按“SIL → HIL → 现场试运行 → 正式上线”四阶段推进。</w:t>
      </w:r>
    </w:p>
    <w:p>
      <w:pPr>
        <w:pStyle w:val="Heading3"/>
      </w:pPr>
      <w:r>
        <w:t xml:space="preserve">9.3.1 对标ISO 26262的安全完整性等级</w:t>
      </w:r>
    </w:p>
    <w:p>
      <w:pPr>
        <w:spacing w:after="120" w:line="360"/>
        <w:ind w:firstLine="480"/>
        <w:jc w:val="both"/>
      </w:pPr>
      <w:r>
        <w:rPr>
          <w:rFonts w:ascii="SimSun" w:cs="SimSun" w:eastAsia="SimSun" w:hAnsi="SimSun"/>
          <w:sz w:val="24"/>
          <w:szCs w:val="24"/>
        </w:rPr>
        <w:t xml:space="preserve">ISO 26262是汽车功能安全的国际标准，定义了从ASIL-A到ASIL-D四个汽车安全完整性等级。ASIL等级由暴露度（Exposure）、可控性（Controllability）和严重度（Severity）三个维度综合确定。ASIL-D为最高等级，要求单点故障指标≥99%、潜在故障指标≥90%、硬件随机故障目标值≤10⁻⁸/h。</w:t>
      </w:r>
    </w:p>
    <w:p>
      <w:pPr>
        <w:spacing w:after="120" w:line="360"/>
        <w:ind w:firstLine="480"/>
        <w:jc w:val="both"/>
      </w:pPr>
      <w:r>
        <w:rPr>
          <w:rFonts w:ascii="SimSun" w:cs="SimSun" w:eastAsia="SimSun" w:hAnsi="SimSun"/>
          <w:sz w:val="24"/>
          <w:szCs w:val="24"/>
        </w:rPr>
        <w:t xml:space="preserve">对标水利领域，建议建立四级水利安全完整性等级（WSIL-A～WSIL-D）。WSIL-D适用于大坝溃坝风险防控、跨流域调水干线控制等最高安全要求场景；WSIL-C适用于城市供水主干管网控制；WSIL-B适用于一般灌区渠道控制；WSIL-A适用于辅助监测与展示类系统。每个WSIL等级对应不同的测试覆盖度要求、冗余设计要求和独立审核要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800"/>
        <w:gridCol w:w="2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安全等级</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故障容忍目标</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测试覆盖要求</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审核要求</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典型应用</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WSIL-D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&lt;10⁻⁷/h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MC/DC + 场景100%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独立第三方</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大坝/干线调水</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WSIL-C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&lt;10⁻⁶/h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分支覆盖 + 场景90%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独立团队</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城市主干管网</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WSIL-B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&lt;10⁻⁵/h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语句覆盖 + 场景70%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内部评审</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一般灌区</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WSIL-A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&lt;10⁻⁴/h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功能测试</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自检</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辅助监测展示</w:t>
            </w:r>
          </w:p>
        </w:tc>
      </w:tr>
    </w:tbl>
    <w:p>
      <w:pPr>
        <w:spacing w:before="120"/>
      </w:pPr>
    </w:p>
    <w:p>
      <w:pPr>
        <w:pStyle w:val="Heading3"/>
      </w:pPr>
      <w:r>
        <w:t xml:space="preserve">9.3.2 对标DO-178C的软件设计保证等级</w:t>
      </w:r>
    </w:p>
    <w:p>
      <w:pPr>
        <w:spacing w:after="120" w:line="360"/>
        <w:ind w:firstLine="480"/>
        <w:jc w:val="both"/>
      </w:pPr>
      <w:r>
        <w:rPr>
          <w:rFonts w:ascii="SimSun" w:cs="SimSun" w:eastAsia="SimSun" w:hAnsi="SimSun"/>
          <w:sz w:val="24"/>
          <w:szCs w:val="24"/>
        </w:rPr>
        <w:t xml:space="preserve">DO-178C（机载系统与设备认证中的软件考虑）是航空软件认证的核心标准。其核心理念是“目标导向（objectives-based）”而非“过程导向”——标准定义了每个设计保证等级（DAL）必须满足的目标集合，但不强制规定实现路径。</w:t>
      </w:r>
    </w:p>
    <w:p>
      <w:pPr>
        <w:spacing w:after="120" w:line="360"/>
        <w:ind w:firstLine="480"/>
        <w:jc w:val="both"/>
      </w:pPr>
      <w:r>
        <w:rPr>
          <w:rFonts w:ascii="SimSun" w:cs="SimSun" w:eastAsia="SimSun" w:hAnsi="SimSun"/>
          <w:sz w:val="24"/>
          <w:szCs w:val="24"/>
        </w:rPr>
        <w:t xml:space="preserve">DO-178C将软件分为A～E五个设计保证等级。DAL-A（灾难性故障）要求最为严格：100%的MC/DC（修正条件/判定覆盖）测试、完整的需求追溯矩阵、独立的验证与确认（IV&amp;V）、全部66个目标的符合性证据。DAL-E（无安全影响）无特殊要求。</w:t>
      </w:r>
    </w:p>
    <w:p>
      <w:pPr>
        <w:spacing w:after="120" w:line="360"/>
        <w:ind w:firstLine="480"/>
        <w:jc w:val="both"/>
      </w:pPr>
      <w:r>
        <w:rPr>
          <w:rFonts w:ascii="SimSun" w:cs="SimSun" w:eastAsia="SimSun" w:hAnsi="SimSun"/>
          <w:sz w:val="24"/>
          <w:szCs w:val="24"/>
        </w:rPr>
        <w:t xml:space="preserve">水利行业可借鉴DO-178C的“目标导向”思想：不必照搬全部66个目标，但应根据WSIL等级选取适用的目标子集。特别是以下目标值得优先引入：需求追溯（每个控制逻辑可追溯到需求文档）、结构覆盖分析（确保测试充分性）、参数数据项验证（确保配置参数在有效范围内）、问题报告与纠正措施（形成闭环改进机制）。</w:t>
      </w:r>
    </w:p>
    <w:p>
      <w:pPr>
        <w:pStyle w:val="Heading2"/>
      </w:pPr>
      <w:r>
        <w:t xml:space="preserve">9.4 工程准入与“电子适航证”</w:t>
      </w:r>
    </w:p>
    <w:p>
      <w:pPr>
        <w:spacing w:after="120" w:line="360"/>
        <w:ind w:firstLine="480"/>
        <w:jc w:val="both"/>
      </w:pPr>
      <w:r>
        <w:rPr>
          <w:rFonts w:ascii="SimSun" w:cs="SimSun" w:eastAsia="SimSun" w:hAnsi="SimSun"/>
          <w:sz w:val="24"/>
          <w:szCs w:val="24"/>
        </w:rPr>
        <w:t xml:space="preserve">工程准入的最终交付物是一份“电子适航证”。其结构借鉴Safety Case方法论（GSN——Goal Structuring Notation），形成“声明→论证→证据”的三层结构。</w:t>
      </w:r>
    </w:p>
    <w:p>
      <w:pPr>
        <w:spacing w:after="120" w:line="360"/>
        <w:ind w:firstLine="480"/>
        <w:jc w:val="both"/>
      </w:pPr>
      <w:r>
        <w:rPr>
          <w:rFonts w:ascii="SimSun" w:cs="SimSun" w:eastAsia="SimSun" w:hAnsi="SimSun"/>
          <w:sz w:val="24"/>
          <w:szCs w:val="24"/>
        </w:rPr>
        <w:t xml:space="preserve">电子适航证包含以下核心要素：（1）系统版本信息与配置基线；（2）ODD声明——精确定义系统的能力边界，包括设计工况范围、环境条件范围、设备健康状态假设；（3）测试覆盖度报告——场景库规模、执行数量、通过率、关键失败场景的根因分析与处置；（4）安全论证报告——基于GSN的结构化论证，顶层目标为“系统在ODD内的自主运行是可接受安全的”；（5）已知限制与残余风险清单——诚实列出系统的已知不足和对应的缓解措施；（6）操作人员培训记录——人机交接协议的培训与考核证据。</w:t>
      </w:r>
    </w:p>
    <w:p>
      <w:pPr>
        <w:spacing w:after="120" w:line="360"/>
        <w:ind w:firstLine="480"/>
        <w:jc w:val="both"/>
      </w:pPr>
      <w:r>
        <w:rPr>
          <w:rFonts w:ascii="SimSun" w:cs="SimSun" w:eastAsia="SimSun" w:hAnsi="SimSun"/>
          <w:sz w:val="24"/>
          <w:szCs w:val="24"/>
        </w:rPr>
        <w:t xml:space="preserve">审核建议由独立的第三方评测机构完成。长远目标是在水利部或行业学会层面建立“水利智能系统认证中心”，类似于航空领域的EASA/FAA认证体系。</w:t>
      </w:r>
    </w:p>
    <w:p>
      <w:r>
        <w:br w:type="page"/>
      </w:r>
    </w:p>
    <w:p>
      <w:pPr>
        <w:pStyle w:val="Heading1"/>
      </w:pPr>
      <w:r>
        <w:t xml:space="preserve">第十章  关键技术六：运维可溯与持续改进</w:t>
      </w:r>
    </w:p>
    <w:p>
      <w:pPr>
        <w:spacing w:after="120" w:line="360"/>
        <w:ind w:firstLine="480"/>
      </w:pPr>
      <w:r>
        <w:rPr>
          <w:rFonts w:ascii="SimSun" w:cs="SimSun" w:eastAsia="SimSun" w:hAnsi="SimSun"/>
          <w:b/>
          <w:bCs/>
          <w:sz w:val="24"/>
          <w:szCs w:val="24"/>
        </w:rPr>
        <w:t xml:space="preserve">—— 数字线程、知识闭环与系统进化</w:t>
      </w:r>
    </w:p>
    <w:p>
      <w:pPr>
        <w:pStyle w:val="Heading2"/>
      </w:pPr>
      <w:r>
        <w:t xml:space="preserve">10.1 数字线程架构</w:t>
      </w:r>
    </w:p>
    <w:p>
      <w:pPr>
        <w:spacing w:after="120" w:line="360"/>
        <w:ind w:firstLine="480"/>
        <w:jc w:val="both"/>
      </w:pPr>
      <w:r>
        <w:rPr>
          <w:rFonts w:ascii="SimSun" w:cs="SimSun" w:eastAsia="SimSun" w:hAnsi="SimSun"/>
          <w:sz w:val="24"/>
          <w:szCs w:val="24"/>
        </w:rPr>
        <w:t xml:space="preserve">数字线程（Digital Thread）是贯穿水网自主运行系统全生命周期的数据脊柱，记录全链路信息，形成不可篡改的证据链。设计需满足完整性、不可篡改性、可查询性和高效性要求。技术实现采用分层存储架构：热存储层（24-72小时，时序数据库如InfluxDB/TDengine，支持毫秒级查询）、温存储层（1-3个月，列式存储如ClickHouse，支持复杂聚合分析）、冷存储层（长期归档，对象存储如MinIO/S3，配合Parquet格式压缩至原始数据的10～20%）。</w:t>
      </w:r>
    </w:p>
    <w:p>
      <w:pPr>
        <w:pStyle w:val="Heading3"/>
      </w:pPr>
      <w:r>
        <w:t xml:space="preserve">10.1.1 决策审计日志规范</w:t>
      </w:r>
    </w:p>
    <w:p>
      <w:pPr>
        <w:spacing w:after="120" w:line="360"/>
        <w:ind w:firstLine="480"/>
        <w:jc w:val="both"/>
      </w:pPr>
      <w:r>
        <w:rPr>
          <w:rFonts w:ascii="SimSun" w:cs="SimSun" w:eastAsia="SimSun" w:hAnsi="SimSun"/>
          <w:sz w:val="24"/>
          <w:szCs w:val="24"/>
        </w:rPr>
        <w:t xml:space="preserve">参照IEC 62443（工业网络与系统安全）中的安全审计要求，每条决策审计记录应包含以下必填字段：时间戳（UTC精确到毫秒）、决策源标识（算法ID+版本号）、输入状态快照（触发决策的系统状态向量）、输出控制指令（具体的设定值变化）、约束裕度状态（各红/黄色约束的当前裕度值）、置信度评估（基于EnKF集合展布的不确定性度量）。审计日志采用仅追加（append-only）模式写入，配合Merkle树实现防篡改校验。</w:t>
      </w:r>
    </w:p>
    <w:p>
      <w:pPr>
        <w:spacing w:after="120" w:line="360"/>
        <w:ind w:firstLine="480"/>
        <w:jc w:val="both"/>
      </w:pPr>
      <w:r>
        <w:rPr>
          <w:rFonts w:ascii="SimSun" w:cs="SimSun" w:eastAsia="SimSun" w:hAnsi="SimSun"/>
          <w:sz w:val="24"/>
          <w:szCs w:val="24"/>
        </w:rPr>
        <w:t xml:space="preserve">对标航空领域的飞行数据记录器（FDR）标准（EUROCAE ED-112A），水网“运行数据记录器”应满足以下最低保留要求：最近72小时的全采样率数据（不得压缩或降频）、最近30天的关键参数数据（允许降频至1分钟间隔）、所有异常事件的完整现场数据（永久保留）。</w:t>
      </w:r>
    </w:p>
    <w:p>
      <w:pPr>
        <w:pStyle w:val="Heading2"/>
      </w:pPr>
      <w:r>
        <w:t xml:space="preserve">10.2 知识闭环与持续进化</w:t>
      </w:r>
    </w:p>
    <w:p>
      <w:pPr>
        <w:spacing w:after="120" w:line="360"/>
        <w:ind w:firstLine="480"/>
        <w:jc w:val="both"/>
      </w:pPr>
      <w:r>
        <w:rPr>
          <w:rFonts w:ascii="SimSun" w:cs="SimSun" w:eastAsia="SimSun" w:hAnsi="SimSun"/>
          <w:sz w:val="24"/>
          <w:szCs w:val="24"/>
        </w:rPr>
        <w:t xml:space="preserve">知识闭环包含：运行数据采集、事件识别与分类、根因分析、改进措施、验证与部署等核心环节。利用AI技术实现运维智能化：NLP自动解析运维日志，异常检测发现弱信号，因果推断区分相关性和因果性。长尾风险的识别和管理是知识闭环的核心价值之一。</w:t>
      </w:r>
    </w:p>
    <w:p>
      <w:pPr>
        <w:pStyle w:val="Heading3"/>
      </w:pPr>
      <w:r>
        <w:t xml:space="preserve">10.2.1 异常检测的数学方法</w:t>
      </w:r>
    </w:p>
    <w:p>
      <w:pPr>
        <w:spacing w:after="120" w:line="360"/>
        <w:ind w:firstLine="480"/>
        <w:jc w:val="both"/>
      </w:pPr>
      <w:r>
        <w:rPr>
          <w:rFonts w:ascii="SimSun" w:cs="SimSun" w:eastAsia="SimSun" w:hAnsi="SimSun"/>
          <w:sz w:val="24"/>
          <w:szCs w:val="24"/>
        </w:rPr>
        <w:t xml:space="preserve">水网运行异常检测采用基于残差分析的方法。设正常运行时系统输出y(k)与模型预测ŷ(k)的残差为r(k)=y(k)−ŷ(k)，在正常条件下r(k)服从均值为零的高斯分布。异常检测统计量采用CUSUM（累积和）算法：</w:t>
      </w:r>
    </w:p>
    <w:p>
      <w:pPr>
        <w:spacing w:before="160" w:after="160" w:line="360"/>
        <w:jc w:val="center"/>
      </w:pPr>
      <w:r>
        <w:rPr>
          <w:rFonts w:ascii="Times New Roman" w:cs="Times New Roman" w:eastAsia="Times New Roman" w:hAnsi="Times New Roman"/>
          <w:i/>
          <w:iCs/>
          <w:sz w:val="24"/>
          <w:szCs w:val="24"/>
        </w:rPr>
        <w:t xml:space="preserve">S⁺(k) = max{0, S⁺(k−1) + r(k)/σᵣ − ν}</w:t>
      </w:r>
      <w:r>
        <w:rPr>
          <w:rFonts w:ascii="Times New Roman" w:cs="Times New Roman" w:eastAsia="Times New Roman" w:hAnsi="Times New Roman"/>
          <w:sz w:val="22"/>
          <w:szCs w:val="22"/>
        </w:rPr>
        <w:t xml:space="preserve">    (10-1)</w:t>
      </w:r>
    </w:p>
    <w:p>
      <w:pPr>
        <w:spacing w:before="160" w:after="160" w:line="360"/>
        <w:jc w:val="center"/>
      </w:pPr>
      <w:r>
        <w:rPr>
          <w:rFonts w:ascii="Times New Roman" w:cs="Times New Roman" w:eastAsia="Times New Roman" w:hAnsi="Times New Roman"/>
          <w:i/>
          <w:iCs/>
          <w:sz w:val="24"/>
          <w:szCs w:val="24"/>
        </w:rPr>
        <w:t xml:space="preserve">S⁻(k) = max{0, S⁻(k−1) − r(k)/σᵣ − ν}</w:t>
      </w:r>
      <w:r>
        <w:rPr>
          <w:rFonts w:ascii="Times New Roman" w:cs="Times New Roman" w:eastAsia="Times New Roman" w:hAnsi="Times New Roman"/>
          <w:sz w:val="22"/>
          <w:szCs w:val="22"/>
        </w:rPr>
        <w:t xml:space="preserve">    (10-2)</w:t>
      </w:r>
    </w:p>
    <w:p>
      <w:pPr>
        <w:spacing w:after="80" w:line="320"/>
        <w:ind w:firstLine="480"/>
      </w:pPr>
      <w:r>
        <w:rPr>
          <w:rFonts w:ascii="SimSun" w:cs="SimSun" w:eastAsia="SimSun" w:hAnsi="SimSun"/>
          <w:color w:val="404040"/>
          <w:sz w:val="22"/>
          <w:szCs w:val="22"/>
        </w:rPr>
        <w:t xml:space="preserve">式中：σᵣ为残差标准差；ν为漂移容许参数（通常取0.5）。当S⁺(k)或S⁻(k)超过预设阈值h时，触发异常报警。CUSUM算法对微小持续偏移的检测灵敏度远高于传统阈值法。</w:t>
      </w:r>
    </w:p>
    <w:p>
      <w:pPr>
        <w:spacing w:after="120" w:line="360"/>
        <w:ind w:firstLine="480"/>
        <w:jc w:val="both"/>
      </w:pPr>
      <w:r>
        <w:rPr>
          <w:rFonts w:ascii="SimSun" w:cs="SimSun" w:eastAsia="SimSun" w:hAnsi="SimSun"/>
          <w:sz w:val="24"/>
          <w:szCs w:val="24"/>
        </w:rPr>
        <w:t xml:space="preserve">阈值h的选取需要平衡漏报率（False Negative Rate）和误报率（False Positive Rate）。根据Neyman-Pearson准则，在给定误报率α的约束下最小化漏报率，h的典型取值范围为4～6倍σᵣ。对于水网关键断面（如跨省界断面），建议取h=4σᵣ以提高灵敏度；对于一般监测断面，取h=5σᵣ以降低误报频率。</w:t>
      </w:r>
    </w:p>
    <w:p>
      <w:pPr>
        <w:pStyle w:val="Heading3"/>
      </w:pPr>
      <w:r>
        <w:t xml:space="preserve">10.2.2 系统进化的量化评估</w:t>
      </w:r>
    </w:p>
    <w:p>
      <w:pPr>
        <w:spacing w:after="120" w:line="360"/>
        <w:ind w:firstLine="480"/>
        <w:jc w:val="both"/>
      </w:pPr>
      <w:r>
        <w:rPr>
          <w:rFonts w:ascii="SimSun" w:cs="SimSun" w:eastAsia="SimSun" w:hAnsi="SimSun"/>
          <w:sz w:val="24"/>
          <w:szCs w:val="24"/>
        </w:rPr>
        <w:t xml:space="preserve">知识闭环的有效性通过“系统成熟度指数”（System Maturity Index, SMI）量化评估：</w:t>
      </w:r>
    </w:p>
    <w:p>
      <w:pPr>
        <w:spacing w:before="160" w:after="160" w:line="360"/>
        <w:jc w:val="center"/>
      </w:pPr>
      <w:r>
        <w:rPr>
          <w:rFonts w:ascii="Times New Roman" w:cs="Times New Roman" w:eastAsia="Times New Roman" w:hAnsi="Times New Roman"/>
          <w:i/>
          <w:iCs/>
          <w:sz w:val="24"/>
          <w:szCs w:val="24"/>
        </w:rPr>
        <w:t xml:space="preserve">SMI = w₁·Coverage + w₂·MTTR⁻¹ + w₃·(1−FPR) + w₄·KnowledgeRatio</w:t>
      </w:r>
      <w:r>
        <w:rPr>
          <w:rFonts w:ascii="Times New Roman" w:cs="Times New Roman" w:eastAsia="Times New Roman" w:hAnsi="Times New Roman"/>
          <w:sz w:val="22"/>
          <w:szCs w:val="22"/>
        </w:rPr>
        <w:t xml:space="preserve">    (10-3)</w:t>
      </w:r>
    </w:p>
    <w:p>
      <w:pPr>
        <w:spacing w:after="80" w:line="320"/>
        <w:ind w:firstLine="480"/>
      </w:pPr>
      <w:r>
        <w:rPr>
          <w:rFonts w:ascii="SimSun" w:cs="SimSun" w:eastAsia="SimSun" w:hAnsi="SimSun"/>
          <w:color w:val="404040"/>
          <w:sz w:val="22"/>
          <w:szCs w:val="22"/>
        </w:rPr>
        <w:t xml:space="preserve">式中：Coverage为场景库覆盖度（已验证场景/ODD内总场景）；MTTR为平均故障恢复时间（Mean Time To Recovery）；FPR为误报率（False Positive Rate）；KnowledgeRatio为知识复用率（历史事件中有预案匹配的比例）；w₁～w₄为权重系数。SMI的初始值通常为0.3～0.4，经过1～2年的知识闭环迭代后应达到0.7以上。</w:t>
      </w:r>
    </w:p>
    <w:p>
      <w:pPr>
        <w:pStyle w:val="Heading2"/>
      </w:pPr>
      <w:r>
        <w:t xml:space="preserve">10.3 模型自校核与参数自适应</w:t>
      </w:r>
    </w:p>
    <w:p>
      <w:pPr>
        <w:spacing w:after="120" w:line="360"/>
        <w:ind w:firstLine="480"/>
        <w:jc w:val="both"/>
      </w:pPr>
      <w:r>
        <w:rPr>
          <w:rFonts w:ascii="SimSun" w:cs="SimSun" w:eastAsia="SimSun" w:hAnsi="SimSun"/>
          <w:sz w:val="24"/>
          <w:szCs w:val="24"/>
        </w:rPr>
        <w:t xml:space="preserve">水网系统的物理特性会随时间发生缓慢漂移——渠道淤积导致过水断面变化、管道老化导致粗糙系数增大、闸门磨损导致流量系数偏移。如果控制模型不能跟踪这些变化，数字孪生保真度将逐步降低，最终导致控制性能退化。</w:t>
      </w:r>
    </w:p>
    <w:p>
      <w:pPr>
        <w:spacing w:after="120" w:line="360"/>
        <w:ind w:firstLine="480"/>
        <w:jc w:val="both"/>
      </w:pPr>
      <w:r>
        <w:rPr>
          <w:rFonts w:ascii="SimSun" w:cs="SimSun" w:eastAsia="SimSun" w:hAnsi="SimSun"/>
          <w:sz w:val="24"/>
          <w:szCs w:val="24"/>
        </w:rPr>
        <w:t xml:space="preserve">建议采用双时间尺度的参数自适应策略：快时间尺度（分钟～小时级），利用EnKF的联合状态-参数估计（Joint State-Parameter Estimation）实时修正关键参数（如Manning系数n、闸门流量系数Cd）。联合估计的状态向量扩展为：</w:t>
      </w:r>
    </w:p>
    <w:p>
      <w:pPr>
        <w:spacing w:before="160" w:after="160" w:line="360"/>
        <w:jc w:val="center"/>
      </w:pPr>
      <w:r>
        <w:rPr>
          <w:rFonts w:ascii="Times New Roman" w:cs="Times New Roman" w:eastAsia="Times New Roman" w:hAnsi="Times New Roman"/>
          <w:i/>
          <w:iCs/>
          <w:sz w:val="24"/>
          <w:szCs w:val="24"/>
        </w:rPr>
        <w:t xml:space="preserve">xₐᵤₑ = [xᵀ, θᵀ]ᵀ , 其中 θ = [n₁, ..., nₘ, Cᵈ₁, ..., Cᵈₖ]ᵀ</w:t>
      </w:r>
      <w:r>
        <w:rPr>
          <w:rFonts w:ascii="Times New Roman" w:cs="Times New Roman" w:eastAsia="Times New Roman" w:hAnsi="Times New Roman"/>
          <w:sz w:val="22"/>
          <w:szCs w:val="22"/>
        </w:rPr>
        <w:t xml:space="preserve">    (10-4)</w:t>
      </w:r>
    </w:p>
    <w:p>
      <w:pPr>
        <w:spacing w:after="80" w:line="320"/>
        <w:ind w:firstLine="480"/>
      </w:pPr>
      <w:r>
        <w:rPr>
          <w:rFonts w:ascii="SimSun" w:cs="SimSun" w:eastAsia="SimSun" w:hAnsi="SimSun"/>
          <w:color w:val="404040"/>
          <w:sz w:val="22"/>
          <w:szCs w:val="22"/>
        </w:rPr>
        <w:t xml:space="preserve">式中：x为系统状态（水位、流量）；θ为待估参数向量。参数的先验分布应根据工程经验设定合理范围，如Manning系数n∈[0.012, 0.025]，防止参数估计发散到物理上不合理的取值。</w:t>
      </w:r>
    </w:p>
    <w:p>
      <w:pPr>
        <w:spacing w:after="120" w:line="360"/>
        <w:ind w:firstLine="480"/>
        <w:jc w:val="both"/>
      </w:pPr>
      <w:r>
        <w:rPr>
          <w:rFonts w:ascii="SimSun" w:cs="SimSun" w:eastAsia="SimSun" w:hAnsi="SimSun"/>
          <w:sz w:val="24"/>
          <w:szCs w:val="24"/>
        </w:rPr>
        <w:t xml:space="preserve">慢时间尺度（周～月级），对快速参数估计的时间序列进行趋势分析，识别系统性漂移。当参数漂移超过初始标定值的±20%时，触发模型重标定流程，需要人工确认物理原因（如实地检查渠道淤积程度）后更新基线参数。这一机制确保了模型校核的物理可解释性，避免了纯数据驱动方法可能出现的“参数补偿”陷阱（即用错误的参数组合拟合正确的结果）。</w:t>
      </w:r>
    </w:p>
    <w:p>
      <w:pPr>
        <w:pStyle w:val="Heading2"/>
      </w:pPr>
      <w:r>
        <w:t xml:space="preserve">10.4 版本管理与变更控制</w:t>
      </w:r>
    </w:p>
    <w:p>
      <w:pPr>
        <w:spacing w:after="120" w:line="360"/>
        <w:ind w:firstLine="480"/>
        <w:jc w:val="both"/>
      </w:pPr>
      <w:r>
        <w:rPr>
          <w:rFonts w:ascii="SimSun" w:cs="SimSun" w:eastAsia="SimSun" w:hAnsi="SimSun"/>
          <w:sz w:val="24"/>
          <w:szCs w:val="24"/>
        </w:rPr>
        <w:t xml:space="preserve">自主运行系统在全生命周期中将经历频繁的软件更新（算法优化、Bug修复、ODD扩展）和配置变更（参数调整、约束更新、场景库扩充）。借鉴软件工程中的DevOps/MLOps实践，建议建立严格的版本管理与变更控制流程。</w:t>
      </w:r>
    </w:p>
    <w:p>
      <w:pPr>
        <w:spacing w:after="120" w:line="360"/>
        <w:ind w:firstLine="480"/>
        <w:jc w:val="both"/>
      </w:pPr>
      <w:r>
        <w:rPr>
          <w:rFonts w:ascii="SimSun" w:cs="SimSun" w:eastAsia="SimSun" w:hAnsi="SimSun"/>
          <w:sz w:val="24"/>
          <w:szCs w:val="24"/>
        </w:rPr>
        <w:t xml:space="preserve">版本管理采用语义化版本号（Semantic Versioning）：MAJOR.MINOR.PATCH。MAJOR版本变更（如1.0→2.0）表示控制架构或ODD发生重大变化，需要完整的SIL/HIL回归测试；MINOR版本变更（如2.0→2.1）表示功能增强或参数调整，需要定向场景回归测试；PATCH版本变更（如2.1.0→2.1.1）表示Bug修复或文档更新，需要最小化影响分析。</w:t>
      </w:r>
    </w:p>
    <w:p>
      <w:pPr>
        <w:spacing w:after="120" w:line="360"/>
        <w:ind w:firstLine="480"/>
        <w:jc w:val="both"/>
      </w:pPr>
      <w:r>
        <w:rPr>
          <w:rFonts w:ascii="SimSun" w:cs="SimSun" w:eastAsia="SimSun" w:hAnsi="SimSun"/>
          <w:sz w:val="24"/>
          <w:szCs w:val="24"/>
        </w:rPr>
        <w:t xml:space="preserve">变更控制的核心原则是“每次变更都可回滚”。所有变更必须经过“提案→评审→测试→灰度发布→正式上线”的完整流程。灰度发布（Canary Deployment）策略：先在1～2个非关键渠池上运行新版本48小时，确认无异常后逐步扩展到全线。这一策略在互联网行业已是标准实践，但在水利行业尚未建立。</w:t>
      </w:r>
    </w:p>
    <w:p>
      <w:r>
        <w:br w:type="page"/>
      </w:r>
    </w:p>
    <w:p>
      <w:pPr>
        <w:pStyle w:val="Heading1"/>
      </w:pPr>
      <w:r>
        <w:t xml:space="preserve">第十一章  标准体系与生态建设</w:t>
      </w:r>
    </w:p>
    <w:p>
      <w:pPr>
        <w:spacing w:after="120" w:line="360"/>
        <w:ind w:firstLine="480"/>
      </w:pPr>
      <w:r>
        <w:rPr>
          <w:rFonts w:ascii="SimSun" w:cs="SimSun" w:eastAsia="SimSun" w:hAnsi="SimSun"/>
          <w:b/>
          <w:bCs/>
          <w:sz w:val="24"/>
          <w:szCs w:val="24"/>
        </w:rPr>
        <w:t xml:space="preserve">—— 互操作、数据模型与工程交付规范</w:t>
      </w:r>
    </w:p>
    <w:p>
      <w:pPr>
        <w:pStyle w:val="Heading2"/>
      </w:pPr>
      <w:r>
        <w:t xml:space="preserve">11.1 统一语义模型：Water-CIM</w:t>
      </w:r>
    </w:p>
    <w:p>
      <w:pPr>
        <w:spacing w:after="120" w:line="360"/>
        <w:ind w:firstLine="480"/>
        <w:jc w:val="both"/>
      </w:pPr>
      <w:r>
        <w:rPr>
          <w:rFonts w:ascii="SimSun" w:cs="SimSun" w:eastAsia="SimSun" w:hAnsi="SimSun"/>
          <w:sz w:val="24"/>
          <w:szCs w:val="24"/>
        </w:rPr>
        <w:t xml:space="preserve">Water-CIM借鉴电力行业CIM（IEC 61970/61968）的成功经验，为水网中的各类资产、属性、拓扑关系和运行参数提供标准化的表达方式。其核心价值在于解决多厂商系统互操作问题——当前水利信息化系统普遍存在“数据孤岛”现象，各系统间的数据交换依赖定制接口，维护成本高、扩展性差。</w:t>
      </w:r>
    </w:p>
    <w:p>
      <w:pPr>
        <w:pStyle w:val="Heading3"/>
      </w:pPr>
      <w:r>
        <w:t xml:space="preserve">11.1.1 Water-CIM包结构设计</w:t>
      </w:r>
    </w:p>
    <w:p>
      <w:pPr>
        <w:spacing w:after="120" w:line="360"/>
        <w:ind w:firstLine="480"/>
        <w:jc w:val="both"/>
      </w:pPr>
      <w:r>
        <w:rPr>
          <w:rFonts w:ascii="SimSun" w:cs="SimSun" w:eastAsia="SimSun" w:hAnsi="SimSun"/>
          <w:sz w:val="24"/>
          <w:szCs w:val="24"/>
        </w:rPr>
        <w:t xml:space="preserve">参照IEC 61970 CIM的包结构，Water-CIM建议划分为以下核心包。物理资产包（PhysicalAsset）：涵盖渠道（Channel）、管道（Pipeline）、闸门（Gate）、泵站（PumpStation）、水库（Reservoir）、阀门（Valve）等核心水工设施，每类设施定义其几何属性（长度、断面形状、高程）、材质属性和设计参数。</w:t>
      </w:r>
    </w:p>
    <w:p>
      <w:pPr>
        <w:spacing w:after="120" w:line="360"/>
        <w:ind w:firstLine="480"/>
        <w:jc w:val="both"/>
      </w:pPr>
      <w:r>
        <w:rPr>
          <w:rFonts w:ascii="SimSun" w:cs="SimSun" w:eastAsia="SimSun" w:hAnsi="SimSun"/>
          <w:sz w:val="24"/>
          <w:szCs w:val="24"/>
        </w:rPr>
        <w:t xml:space="preserve">拓扑连接包（Topology）：定义水网的拓扑连接关系，核心类包括连接节点（ConnectivityNode）、终端（Terminal）、拓扑节点（TopologicalNode）。拓扑模型支持三级抽象：物理连接层（反映实际管线连接）、逻辑连接层（反映水力耦合关系）、控制分区层（反映调度管辖边界）。</w:t>
      </w:r>
    </w:p>
    <w:p>
      <w:pPr>
        <w:spacing w:after="120" w:line="360"/>
        <w:ind w:firstLine="480"/>
        <w:jc w:val="both"/>
      </w:pPr>
      <w:r>
        <w:rPr>
          <w:rFonts w:ascii="SimSun" w:cs="SimSun" w:eastAsia="SimSun" w:hAnsi="SimSun"/>
          <w:sz w:val="24"/>
          <w:szCs w:val="24"/>
        </w:rPr>
        <w:t xml:space="preserve">运行参数包（OperationalParameter）：定义实时测量值（Measurement）、模拟量（Analog）、离散量（Discrete）、累计量（Accumulator）等测量类型。每个测量值关联到具体的物理设备和测点位置。运行约束（OperationalLimit）类定义红、黄、绿三级约束值及其关联的预案动作。</w:t>
      </w:r>
    </w:p>
    <w:p>
      <w:pPr>
        <w:spacing w:after="120" w:line="360"/>
        <w:ind w:firstLine="480"/>
        <w:jc w:val="both"/>
      </w:pPr>
      <w:r>
        <w:rPr>
          <w:rFonts w:ascii="SimSun" w:cs="SimSun" w:eastAsia="SimSun" w:hAnsi="SimSun"/>
          <w:sz w:val="24"/>
          <w:szCs w:val="24"/>
        </w:rPr>
        <w:t xml:space="preserve">控制对象包（ControlObject）：定义控制回路（ControlLoop）、设定值（Setpoint）、控制模式（ControlMode）、控制区域（ControlArea）等控制相关概念。核心创新是引入“可控对象”（ControllableObject）抽象类，统一表达闸门、泵组、阀门等所有可控设备的控制接口。</w:t>
      </w:r>
    </w:p>
    <w:p>
      <w:pPr>
        <w:pStyle w:val="Heading3"/>
      </w:pPr>
      <w:r>
        <w:t xml:space="preserve">11.1.2 与IEC 61970 CIM的映射关系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IEC 61970 CIM包</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Water-CIM对应包</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核心差异</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Wires（输电线路）</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Channel/Pipeline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水力特性替代电气特性</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Generation（发电）</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PumpStation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扬程-流量曲线替代出力曲线</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LoadModel（负荷）</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WaterDemand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需水预测替代负荷预测</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Topology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Topology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增加水力连通性判断</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Measurement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Measurement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增加水质监测参数</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OperationalLimits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OperationalLimits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增加红黄绿三级体系</w:t>
            </w:r>
          </w:p>
        </w:tc>
      </w:tr>
    </w:tbl>
    <w:p>
      <w:pPr>
        <w:spacing w:before="120"/>
      </w:pPr>
    </w:p>
    <w:p>
      <w:pPr>
        <w:pStyle w:val="Heading2"/>
      </w:pPr>
      <w:r>
        <w:t xml:space="preserve">11.2 模型耦合接口标准</w:t>
      </w:r>
    </w:p>
    <w:p>
      <w:pPr>
        <w:spacing w:after="120" w:line="360"/>
        <w:ind w:firstLine="480"/>
        <w:jc w:val="both"/>
      </w:pPr>
      <w:r>
        <w:rPr>
          <w:rFonts w:ascii="SimSun" w:cs="SimSun" w:eastAsia="SimSun" w:hAnsi="SimSun"/>
          <w:sz w:val="24"/>
          <w:szCs w:val="24"/>
        </w:rPr>
        <w:t xml:space="preserve">建议采用OpenMI（Open Modelling Interface）或其扩展版本作为模型耦合的标准接口。OpenMI定义了模型间数据交换的标准协议，核心接口包括：ILinkableComponent（可链接组件接口）——每个模型封装为一个组件；IInput/IOutput（输入输出端口）——定义模型的数据交换点；ITimeSet（时间集）——处理不同模型的时间步长差异；IValueSet（值集）——标准化数据格式。</w:t>
      </w:r>
    </w:p>
    <w:p>
      <w:pPr>
        <w:spacing w:after="120" w:line="360"/>
        <w:ind w:firstLine="480"/>
        <w:jc w:val="both"/>
      </w:pPr>
      <w:r>
        <w:rPr>
          <w:rFonts w:ascii="SimSun" w:cs="SimSun" w:eastAsia="SimSun" w:hAnsi="SimSun"/>
          <w:sz w:val="24"/>
          <w:szCs w:val="24"/>
        </w:rPr>
        <w:t xml:space="preserve">水网应用中的典型耦合场景包括：水力-水质模型耦合（流场驱动污染物传输）、气象-水文模型耦合（降雨预报驱动径流模拟）、调度-控制模型耦合（优化调度方案驱动实时控制）、同化-仿真模型耦合（观测数据在线修正仿真模型）。每种耦合需要定义交换变量、时间步长协调策略和收敛准则。</w:t>
      </w:r>
    </w:p>
    <w:p>
      <w:pPr>
        <w:pStyle w:val="Heading2"/>
      </w:pPr>
      <w:r>
        <w:t xml:space="preserve">11.3 现行国际标准条文解读</w:t>
      </w:r>
    </w:p>
    <w:p>
      <w:pPr>
        <w:pStyle w:val="Heading3"/>
      </w:pPr>
      <w:r>
        <w:t xml:space="preserve">11.3.1 ISO 24591系列：智慧水管理</w:t>
      </w:r>
    </w:p>
    <w:p>
      <w:pPr>
        <w:spacing w:after="120" w:line="360"/>
        <w:ind w:firstLine="480"/>
        <w:jc w:val="both"/>
      </w:pPr>
      <w:r>
        <w:rPr>
          <w:rFonts w:ascii="SimSun" w:cs="SimSun" w:eastAsia="SimSun" w:hAnsi="SimSun"/>
          <w:sz w:val="24"/>
          <w:szCs w:val="24"/>
        </w:rPr>
        <w:t xml:space="preserve">ISO 24591《智慧水管理》是水利信息化领域首个专门的国际标准系列，于2024年正式发布。ISO 24591-1:2024（第1部分：总则与框架）定义了智慧水管理的总体架构和核心术语。该标准将智慧水管理系统划分为四个层次：感知层（Sensing Layer）——传感器网络与数据采集；传输层（Communication Layer）——有线/无线数据通信；平台层（Platform Layer）——数据管理、模型计算、决策支持；应用层（Application Layer）——面向用户的业务功能。</w:t>
      </w:r>
    </w:p>
    <w:p>
      <w:pPr>
        <w:spacing w:after="120" w:line="360"/>
        <w:ind w:firstLine="480"/>
        <w:jc w:val="both"/>
      </w:pPr>
      <w:r>
        <w:rPr>
          <w:rFonts w:ascii="SimSun" w:cs="SimSun" w:eastAsia="SimSun" w:hAnsi="SimSun"/>
          <w:sz w:val="24"/>
          <w:szCs w:val="24"/>
        </w:rPr>
        <w:t xml:space="preserve">ISO 24591对数据质量提出了明确要求：数据完整性（Completeness）不低于95%；数据时效性（Timeliness）满足业务时间尺度要求；数据准确性（Accuracy）经过校核验证。这些要求可直接作为水网数字孪生的数据质量底线。但ISO 24591尚未涉及控制系统的安全准入、场景验证等工程级要求——这正是本报告提出的“工程准入包”所要填补的空白。</w:t>
      </w:r>
    </w:p>
    <w:p>
      <w:pPr>
        <w:pStyle w:val="Heading3"/>
      </w:pPr>
      <w:r>
        <w:t xml:space="preserve">11.3.2 IEC 62443系列：工控系统网络安全</w:t>
      </w:r>
    </w:p>
    <w:p>
      <w:pPr>
        <w:spacing w:after="120" w:line="360"/>
        <w:ind w:firstLine="480"/>
        <w:jc w:val="both"/>
      </w:pPr>
      <w:r>
        <w:rPr>
          <w:rFonts w:ascii="SimSun" w:cs="SimSun" w:eastAsia="SimSun" w:hAnsi="SimSun"/>
          <w:sz w:val="24"/>
          <w:szCs w:val="24"/>
        </w:rPr>
        <w:t xml:space="preserve">IEC 62443《工业通信网络——网络和系统安全》是工业控制系统网络安全的核心标准族，对水网自主运行系统的安全架构设计具有直接指导意义。该标准定义了四个安全等级（Security Level, SL1～SL4）：SL1防护非故意或偶然的违规；SL2防护使用简单手段的故意违规；SL3防护使用复杂手段的故意违规；SL4防护使用国家级资源的故意违规。</w:t>
      </w:r>
    </w:p>
    <w:p>
      <w:pPr>
        <w:spacing w:after="120" w:line="360"/>
        <w:ind w:firstLine="480"/>
        <w:jc w:val="both"/>
      </w:pPr>
      <w:r>
        <w:rPr>
          <w:rFonts w:ascii="SimSun" w:cs="SimSun" w:eastAsia="SimSun" w:hAnsi="SimSun"/>
          <w:sz w:val="24"/>
          <w:szCs w:val="24"/>
        </w:rPr>
        <w:t xml:space="preserve">水网自主运行系统的网络安全设计建议：调度指令通道应达到SL3级（防护复杂攻击），采用端到端加密（TLS 1.3）、双向身份认证、数字签名等措施；监测数据通道应达到SL2级；管理维护通道应达到SL2级以上。关键控制回路（如大坝闸门、跨流域调水干线）应实施“安全区域（Zone）”隔离，与非关键系统物理分离。</w:t>
      </w:r>
    </w:p>
    <w:p>
      <w:pPr>
        <w:pStyle w:val="Heading3"/>
      </w:pPr>
      <w:r>
        <w:t xml:space="preserve">11.3.3 GB/T相关国家标准</w:t>
      </w:r>
    </w:p>
    <w:p>
      <w:pPr>
        <w:spacing w:after="120" w:line="360"/>
        <w:ind w:firstLine="480"/>
        <w:jc w:val="both"/>
      </w:pPr>
      <w:r>
        <w:rPr>
          <w:rFonts w:ascii="SimSun" w:cs="SimSun" w:eastAsia="SimSun" w:hAnsi="SimSun"/>
          <w:sz w:val="24"/>
          <w:szCs w:val="24"/>
        </w:rPr>
        <w:t xml:space="preserve">国内现行的水利信息化相关标准包括：GB/T 50509《水利水电工程水情自动测报系统设计规范》规定了水情遥测站网密度、数据传输可靠性（≥99.5%）和报警响应时间（≤30分钟）等基本要求。SL 549《水文信息编码》定义了水利数据的统一编码体系。SL/T 705《水利信息化标准体系表》给出了水利信息化标准的总体框架。</w:t>
      </w:r>
    </w:p>
    <w:p>
      <w:pPr>
        <w:spacing w:after="120" w:line="360"/>
        <w:ind w:firstLine="480"/>
        <w:jc w:val="both"/>
      </w:pPr>
      <w:r>
        <w:rPr>
          <w:rFonts w:ascii="SimSun" w:cs="SimSun" w:eastAsia="SimSun" w:hAnsi="SimSun"/>
          <w:sz w:val="24"/>
          <w:szCs w:val="24"/>
        </w:rPr>
        <w:t xml:space="preserve">现有国标体系的核心不足在于：偏重“数据采集与传输”环节，缺乏对“智能决策与控制”环节的规范；缺乏功能安全标准（类比ISO 26262）和软件质量标准（类比DO-178C）；未建立分级分类的安全准入机制。建议在GB/T 50509等标准的修订中，增补自主运行系统的ODD定义规范、SIL/HIL验证要求和安全论证模板等内容。</w:t>
      </w:r>
    </w:p>
    <w:p>
      <w:pPr>
        <w:pStyle w:val="Heading2"/>
      </w:pPr>
      <w:r>
        <w:t xml:space="preserve">11.4 工程交付规范</w:t>
      </w:r>
    </w:p>
    <w:p>
      <w:pPr>
        <w:pStyle w:val="Heading3"/>
      </w:pPr>
      <w:r>
        <w:t xml:space="preserve">11.4.1 ODD描述模板规范</w:t>
      </w:r>
    </w:p>
    <w:p>
      <w:pPr>
        <w:spacing w:after="120" w:line="360"/>
        <w:ind w:firstLine="480"/>
        <w:jc w:val="both"/>
      </w:pPr>
      <w:r>
        <w:rPr>
          <w:rFonts w:ascii="SimSun" w:cs="SimSun" w:eastAsia="SimSun" w:hAnsi="SimSun"/>
          <w:sz w:val="24"/>
          <w:szCs w:val="24"/>
        </w:rPr>
        <w:t xml:space="preserve">建议制定标准化的ODD描述模板，包含以下必填项。运行工况范围：上游来流范围（Qₘᵢₙ～Qₘₐₓ）、下游水位范围、各取水口流量范围。环境条件：气温范围、降雨强度范围、冰期/非冰期标识。设备状态假设：传感器最低可用率（如≥90%）、执行机构响应时间上限、通信链路最大延迟。系统功能边界：明确列出系统能处理和不能处理的场景类型。人机接口要求：自动-手动切换响应时间、操作员最低培训要求。</w:t>
      </w:r>
    </w:p>
    <w:p>
      <w:pPr>
        <w:pStyle w:val="Heading3"/>
      </w:pPr>
      <w:r>
        <w:t xml:space="preserve">11.4.2 场景描述语言规范</w:t>
      </w:r>
    </w:p>
    <w:p>
      <w:pPr>
        <w:spacing w:after="120" w:line="360"/>
        <w:ind w:firstLine="480"/>
        <w:jc w:val="both"/>
      </w:pPr>
      <w:r>
        <w:rPr>
          <w:rFonts w:ascii="SimSun" w:cs="SimSun" w:eastAsia="SimSun" w:hAnsi="SimSun"/>
          <w:sz w:val="24"/>
          <w:szCs w:val="24"/>
        </w:rPr>
        <w:t xml:space="preserve">建议开发水利场景描述语言（WSDL-Scenario），参照OpenSCENARIO（汽车行业）的设计思路。核心元素包括：场景头（ScenarioHeader）——ID、名称、风险等级、ODD关联；初始条件（InitialConditions）——各节点初始水位、流量、设备状态；事件序列（EventSequence）——按时间轴定义扰动事件的触发条件和参数；评估准则（EvaluationCriteria）——判定场景通过/失败的定量指标与阈值。场景文件采用XML或JSON格式，支持参数化模板与批量生成。</w:t>
      </w:r>
    </w:p>
    <w:p>
      <w:pPr>
        <w:pStyle w:val="Heading3"/>
      </w:pPr>
      <w:r>
        <w:t xml:space="preserve">11.4.3 SIL/HIL测试报告规范</w:t>
      </w:r>
    </w:p>
    <w:p>
      <w:pPr>
        <w:spacing w:after="120" w:line="360"/>
        <w:ind w:firstLine="480"/>
        <w:jc w:val="both"/>
      </w:pPr>
      <w:r>
        <w:rPr>
          <w:rFonts w:ascii="SimSun" w:cs="SimSun" w:eastAsia="SimSun" w:hAnsi="SimSun"/>
          <w:sz w:val="24"/>
          <w:szCs w:val="24"/>
        </w:rPr>
        <w:t xml:space="preserve">测试报告需包含以下核心内容：测试环境配置（硬件版本、软件版本、模型版本、参数配置基线），场景执行矩阵（场景ID×执行结果×关键KPI值），失败场景根因分析（每个失败场景的详细诊断与处置方案），覆盖度统计（工况空间覆盖率、扰动空间覆盖率、设备故障覆盖率），回归测试记录（每次版本变更后的回归测试结果对比）。</w:t>
      </w:r>
    </w:p>
    <w:p>
      <w:r>
        <w:br w:type="page"/>
      </w:r>
    </w:p>
    <w:p>
      <w:pPr>
        <w:pStyle w:val="Heading1"/>
      </w:pPr>
      <w:r>
        <w:t xml:space="preserve">第十二章  示范场景、指标体系与效益评估</w:t>
      </w:r>
    </w:p>
    <w:p>
      <w:pPr>
        <w:pStyle w:val="Heading2"/>
      </w:pPr>
      <w:r>
        <w:t xml:space="preserve">12.1 典型示范场景选择</w:t>
      </w:r>
    </w:p>
    <w:p>
      <w:pPr>
        <w:pStyle w:val="Heading3"/>
      </w:pPr>
      <w:r>
        <w:t xml:space="preserve">12.1.1 场景一：长距离调水工程稳态/动态切换控制</w:t>
      </w:r>
    </w:p>
    <w:p>
      <w:pPr>
        <w:spacing w:after="120" w:line="360"/>
        <w:ind w:firstLine="480"/>
        <w:jc w:val="both"/>
      </w:pPr>
      <w:r>
        <w:rPr>
          <w:rFonts w:ascii="SimSun" w:cs="SimSun" w:eastAsia="SimSun" w:hAnsi="SimSun"/>
          <w:sz w:val="24"/>
          <w:szCs w:val="24"/>
        </w:rPr>
        <w:t xml:space="preserve">以南水北调中线工程为典型代表。中线干渠全长1432公里，设有63个渠池、97座节制闸、64座退水闸和54座分水口。核心控制挑战包括：上游丹江口水库来水的季节性波动（枯水期流量约30m³/s，丰水期可达350m³/s）、沿线54个分水口的随机取水扰动、全线水力传输时滞长达70～80小时。</w:t>
      </w:r>
    </w:p>
    <w:p>
      <w:pPr>
        <w:spacing w:after="120" w:line="360"/>
        <w:ind w:firstLine="480"/>
        <w:jc w:val="both"/>
      </w:pPr>
      <w:r>
        <w:rPr>
          <w:rFonts w:ascii="SimSun" w:cs="SimSun" w:eastAsia="SimSun" w:hAnsi="SimSun"/>
          <w:sz w:val="24"/>
          <w:szCs w:val="24"/>
        </w:rPr>
        <w:t xml:space="preserve">对标荷兰Rijkswaterstaat对Noord-Holland运河系统的自动化控制实践，中线工程的L3级自主运行目标应包括：在ODD内实现全线水位波动控制在±0.10m以内（当前人工调度约为±0.25m）；分水口流量调整的响应时间从当前的4～6小时缩短至1～2小时；冰期-非冰期工况切换实现自动化，无需人工逐闸调整。</w:t>
      </w:r>
    </w:p>
    <w:p>
      <w:pPr>
        <w:pStyle w:val="Heading3"/>
      </w:pPr>
      <w:r>
        <w:t xml:space="preserve">12.1.2 场景二：梯级泵站群协同优化控制</w:t>
      </w:r>
    </w:p>
    <w:p>
      <w:pPr>
        <w:spacing w:after="120" w:line="360"/>
        <w:ind w:firstLine="480"/>
        <w:jc w:val="both"/>
      </w:pPr>
      <w:r>
        <w:rPr>
          <w:rFonts w:ascii="SimSun" w:cs="SimSun" w:eastAsia="SimSun" w:hAnsi="SimSun"/>
          <w:sz w:val="24"/>
          <w:szCs w:val="24"/>
        </w:rPr>
        <w:t xml:space="preserve">以引江济淮工程、南水北调东线工程为代表。引江济淮工程设有8个梯级泵站，总扬程约30m，设计流量300m³/s。梯级泵站群控制的核心难点在于：电价分时计费导致的非线性成本函数、泵组启停的离散优化特性、上下级泵站之间的水力耦合时滞。</w:t>
      </w:r>
    </w:p>
    <w:p>
      <w:pPr>
        <w:spacing w:after="120" w:line="360"/>
        <w:ind w:firstLine="480"/>
        <w:jc w:val="both"/>
      </w:pPr>
      <w:r>
        <w:rPr>
          <w:rFonts w:ascii="SimSun" w:cs="SimSun" w:eastAsia="SimSun" w:hAnsi="SimSun"/>
          <w:sz w:val="24"/>
          <w:szCs w:val="24"/>
        </w:rPr>
        <w:t xml:space="preserve">对标以色列Mekorot的泵站群能耗优化经验，示范目标包括：利用分时电价的谷峰差实现错峰调度，年度电费降低10～20%；通过泵组最优组合选择，单位扬程能耗降低8～15%；泵组启停次数减少30%以上，延长设备使用寿命。</w:t>
      </w:r>
    </w:p>
    <w:p>
      <w:pPr>
        <w:pStyle w:val="Heading3"/>
      </w:pPr>
      <w:r>
        <w:t xml:space="preserve">12.1.3 场景三：城市防洪排涝联调系统</w:t>
      </w:r>
    </w:p>
    <w:p>
      <w:pPr>
        <w:spacing w:after="120" w:line="360"/>
        <w:ind w:firstLine="480"/>
        <w:jc w:val="both"/>
      </w:pPr>
      <w:r>
        <w:rPr>
          <w:rFonts w:ascii="SimSun" w:cs="SimSun" w:eastAsia="SimSun" w:hAnsi="SimSun"/>
          <w:sz w:val="24"/>
          <w:szCs w:val="24"/>
        </w:rPr>
        <w:t xml:space="preserve">以深圳、武汉等城市为代表。城市防洪排涝面临的核心挑战是：短历时强降雨的预见期极短（通常仅1～3小时）、城市下垫面高度不透水导致产汇流极快、排水管网-河道-泵站-闸门之间的耦合关系复杂。</w:t>
      </w:r>
    </w:p>
    <w:p>
      <w:pPr>
        <w:spacing w:after="120" w:line="360"/>
        <w:ind w:firstLine="480"/>
        <w:jc w:val="both"/>
      </w:pPr>
      <w:r>
        <w:rPr>
          <w:rFonts w:ascii="SimSun" w:cs="SimSun" w:eastAsia="SimSun" w:hAnsi="SimSun"/>
          <w:sz w:val="24"/>
          <w:szCs w:val="24"/>
        </w:rPr>
        <w:t xml:space="preserve">对标新加坡PUB的Marina Barrage城市防洪系统（集防洪、供水、休闲三大功能于一体），示范目标包括：暴雨预警-泵站预启动的全自动联动链响应时间不超过15分钟；在50年一遇暴雨工况下，内涝积水点数量较传统调度减少60%以上；实现“预腾库容→实时排涝→事后蓄水”的全过程自动化。</w:t>
      </w:r>
    </w:p>
    <w:p>
      <w:pPr>
        <w:pStyle w:val="Heading2"/>
      </w:pPr>
      <w:r>
        <w:t xml:space="preserve">12.2 评估指标体系</w:t>
      </w:r>
    </w:p>
    <w:p>
      <w:pPr>
        <w:spacing w:after="120" w:line="360"/>
        <w:ind w:firstLine="480"/>
        <w:jc w:val="both"/>
      </w:pPr>
      <w:r>
        <w:rPr>
          <w:rFonts w:ascii="SimSun" w:cs="SimSun" w:eastAsia="SimSun" w:hAnsi="SimSun"/>
          <w:sz w:val="24"/>
          <w:szCs w:val="24"/>
        </w:rPr>
        <w:t xml:space="preserve">从安全性、绩效、稳健性和运维效率四个维度构建评估框架：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评估维度</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核心指标</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评估方法</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目标值参考</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安全性</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约束越界次数</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运行记录统计</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趋近于零</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安全性</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风险暴露时间</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约束裕度时序分析</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较基线降低80%以上</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绩效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供水保证率</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实际/计划供水量</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≥95%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绩效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输水效率</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到达/输入水量</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较基线提升5-10%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绩效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单位能耗</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总能耗/总输水量</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较基线降低15-25%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稳健性</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预报误差敏感度</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性能对预报误差变化率</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性能退化&lt;10%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运维效率</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人工干预频次</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单位时间操作次数</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较基线降低70%以上</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运维效率</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故障平均恢复时间</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检测到恢复的时间</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较基线缩短50%</w:t>
            </w:r>
          </w:p>
        </w:tc>
      </w:tr>
    </w:tbl>
    <w:p>
      <w:pPr>
        <w:spacing w:before="120"/>
      </w:pPr>
    </w:p>
    <w:p>
      <w:pPr>
        <w:pStyle w:val="Heading3"/>
      </w:pPr>
      <w:r>
        <w:t xml:space="preserve">12.2.1 国际基准对比</w:t>
      </w:r>
    </w:p>
    <w:p>
      <w:pPr>
        <w:spacing w:after="120" w:line="360"/>
        <w:ind w:firstLine="480"/>
        <w:jc w:val="both"/>
      </w:pPr>
      <w:r>
        <w:rPr>
          <w:rFonts w:ascii="SimSun" w:cs="SimSun" w:eastAsia="SimSun" w:hAnsi="SimSun"/>
          <w:sz w:val="24"/>
          <w:szCs w:val="24"/>
        </w:rPr>
        <w:t xml:space="preserve">为客观评估中国水网自主运行的技术水平，建立国际基准对比框架：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600"/>
        <w:gridCol w:w="1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指标</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中国现状（典型值）</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国际先进（典型值）</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SimHei" w:cs="SimHei" w:eastAsia="SimHei" w:hAnsi="SimHei"/>
                <w:b/>
                <w:bCs/>
                <w:color w:val="FFFFFF"/>
                <w:sz w:val="22"/>
                <w:szCs w:val="22"/>
              </w:rPr>
              <w:t xml:space="preserve">差距倍数</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漏损率（NRW）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15～25%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5～8%（新加坡/日本）</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2～4x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传感器密度（个/100km）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5～15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30～50（以色列）</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3～6x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水位控制精度</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±0.20～0.30m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±0.05～0.10m（荷兰）</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2～4x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调度响应时间</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2～6小时</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15～30分钟（以色列）</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4～12x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单位能耗（kWh/km·m³）</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基准值1.0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0.6～0.8（欧洲）</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1.3～1.5x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场景库覆盖度</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≈5～10%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70～90%（汽车行业）</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7～18x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SIL/HIL测试时长</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 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&gt;10000小时（航空）</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SimSun" w:cs="SimSun" w:eastAsia="SimSun" w:hAnsi="SimSun"/>
                <w:sz w:val="21"/>
                <w:szCs w:val="21"/>
              </w:rPr>
              <w:t xml:space="preserve">∞</w:t>
            </w:r>
          </w:p>
        </w:tc>
      </w:tr>
    </w:tbl>
    <w:p>
      <w:pPr>
        <w:spacing w:before="120"/>
      </w:pPr>
    </w:p>
    <w:p>
      <w:pPr>
        <w:pStyle w:val="Heading2"/>
      </w:pPr>
      <w:r>
        <w:t xml:space="preserve">12.3 效益评估方法</w:t>
      </w:r>
    </w:p>
    <w:p>
      <w:pPr>
        <w:pStyle w:val="Heading3"/>
      </w:pPr>
      <w:r>
        <w:t xml:space="preserve">12.3.1 全生命周期成本（LCC）模型</w:t>
      </w:r>
    </w:p>
    <w:p>
      <w:pPr>
        <w:spacing w:after="120" w:line="360"/>
        <w:ind w:firstLine="480"/>
        <w:jc w:val="both"/>
      </w:pPr>
      <w:r>
        <w:rPr>
          <w:rFonts w:ascii="SimSun" w:cs="SimSun" w:eastAsia="SimSun" w:hAnsi="SimSun"/>
          <w:sz w:val="24"/>
          <w:szCs w:val="24"/>
        </w:rPr>
        <w:t xml:space="preserve">经济效益评估采用全生命周期成本（Life Cycle Cost, LCC）方法。LCC模型的数学表达为：</w:t>
      </w:r>
    </w:p>
    <w:p>
      <w:pPr>
        <w:spacing w:before="160" w:after="160" w:line="360"/>
        <w:jc w:val="center"/>
      </w:pPr>
      <w:r>
        <w:rPr>
          <w:rFonts w:ascii="Times New Roman" w:cs="Times New Roman" w:eastAsia="Times New Roman" w:hAnsi="Times New Roman"/>
          <w:i/>
          <w:iCs/>
          <w:sz w:val="24"/>
          <w:szCs w:val="24"/>
        </w:rPr>
        <w:t xml:space="preserve">LCC = CAPEX + Σₜ₌₁ᵀ OPEX(t)/(1+r)ᵗ + Σₜ₌₁ᵀ RISK(t)/(1+r)ᵗ − RV/(1+r)ᵀ</w:t>
      </w:r>
      <w:r>
        <w:rPr>
          <w:rFonts w:ascii="Times New Roman" w:cs="Times New Roman" w:eastAsia="Times New Roman" w:hAnsi="Times New Roman"/>
          <w:sz w:val="22"/>
          <w:szCs w:val="22"/>
        </w:rPr>
        <w:t xml:space="preserve">    (12-1)</w:t>
      </w:r>
    </w:p>
    <w:p>
      <w:pPr>
        <w:spacing w:after="80" w:line="320"/>
        <w:ind w:firstLine="480"/>
      </w:pPr>
      <w:r>
        <w:rPr>
          <w:rFonts w:ascii="SimSun" w:cs="SimSun" w:eastAsia="SimSun" w:hAnsi="SimSun"/>
          <w:color w:val="404040"/>
          <w:sz w:val="22"/>
          <w:szCs w:val="22"/>
        </w:rPr>
        <w:t xml:space="preserve">式中：CAPEX为初始投资（系统建设费+设备购置费+集成调试费）；OPEX(t)为第t年的运行维护成本（电费+人工+维保+模型更新）；RISK(t)为第t年的风险成本（预期事故损失×发生概率）；RV为系统残值；r为折现率；T为评估期（建议取20～30年）。</w:t>
      </w:r>
    </w:p>
    <w:p>
      <w:pPr>
        <w:spacing w:after="120" w:line="360"/>
        <w:ind w:firstLine="480"/>
        <w:jc w:val="both"/>
      </w:pPr>
      <w:r>
        <w:rPr>
          <w:rFonts w:ascii="SimSun" w:cs="SimSun" w:eastAsia="SimSun" w:hAnsi="SimSun"/>
          <w:sz w:val="24"/>
          <w:szCs w:val="24"/>
        </w:rPr>
        <w:t xml:space="preserve">自主运行系统的核心经济价值体现在OPEX和RISK两项的系统性降低：OPEX方面，电费通过泵站群优化调度可降低10～20%；人工通过减少值守人员和干预频次可降低30～50%；维保通过预测性维护替代定期维护可降低15～25%。RISK方面，约束越界事故的预期损失可降低60～80%；应急响应时间缩短带来的间接损失减少约40～60%。</w:t>
      </w:r>
    </w:p>
    <w:p>
      <w:pPr>
        <w:spacing w:after="120" w:line="360"/>
        <w:ind w:firstLine="480"/>
        <w:jc w:val="both"/>
      </w:pPr>
      <w:r>
        <w:rPr>
          <w:rFonts w:ascii="SimSun" w:cs="SimSun" w:eastAsia="SimSun" w:hAnsi="SimSun"/>
          <w:sz w:val="24"/>
          <w:szCs w:val="24"/>
        </w:rPr>
        <w:t xml:space="preserve">以南水北调中线工程为测算案例：假设CAPEX增加约3～5亿元（用于传感器加密、边缘计算设备、SIL/HIL平台），但年度OPEX可降低约8000万～1.2亿元（其中电费节省约5000万元、人力节省约3000万元），投资回收期约3～5年。考虑风险成本降低后的综合经济效益，20年LCC可节省15～25亿元。</w:t>
      </w:r>
    </w:p>
    <w:p>
      <w:r>
        <w:br w:type="page"/>
      </w:r>
    </w:p>
    <w:p>
      <w:pPr>
        <w:pStyle w:val="Heading1"/>
      </w:pPr>
      <w:r>
        <w:t xml:space="preserve">第十三章  结论与行动建议：从试点到规模化的路线图</w:t>
      </w:r>
    </w:p>
    <w:p>
      <w:pPr>
        <w:pStyle w:val="Heading2"/>
      </w:pPr>
      <w:r>
        <w:t xml:space="preserve">13.1 核心结论</w:t>
      </w:r>
    </w:p>
    <w:p>
      <w:pPr>
        <w:spacing w:after="120" w:line="360"/>
        <w:ind w:firstLine="480"/>
        <w:jc w:val="both"/>
      </w:pPr>
      <w:r>
        <w:rPr>
          <w:rFonts w:ascii="SimSun" w:cs="SimSun" w:eastAsia="SimSun" w:hAnsi="SimSun"/>
          <w:sz w:val="24"/>
          <w:szCs w:val="24"/>
        </w:rPr>
        <w:t xml:space="preserve">第一，水网智能调控与自主运行的学科本质是“水系统控制论（Water System Cybernetics）”，其第一性原理要求建立完整的“感知—状态重构—预测—决策—控制—验证”闭环。这一认识突破了传统水利学科以“规划—设计—施工”为核心的范式，将运行阶段的“可控性”提升到与建设阶段的“可建性”同等重要的地位。</w:t>
      </w:r>
    </w:p>
    <w:p>
      <w:pPr>
        <w:spacing w:after="120" w:line="360"/>
        <w:ind w:firstLine="480"/>
        <w:jc w:val="both"/>
      </w:pPr>
      <w:r>
        <w:rPr>
          <w:rFonts w:ascii="SimSun" w:cs="SimSun" w:eastAsia="SimSun" w:hAnsi="SimSun"/>
          <w:sz w:val="24"/>
          <w:szCs w:val="24"/>
        </w:rPr>
        <w:t xml:space="preserve">第二，水利行业与先进行业的最大差距不在算法层面，而在“工程准入范式”层面。通过系统性的跨行业对标分析，差距集中体现在三个方面：缺乏运行设计域（ODD）的规范化定义——汽车行业已有SAE J3016+ISO 34503等完整ODD标准族；缺乏场景驱动的验证体系——航空行业的DO-178C+DO-254要求全周期的结构覆盖分析和独立验证；缺乏统一语义模型——电力行业的IEC 61970 CIM已实现全球范围的互操作。建设“工程准入包”是从“数字化”走向“自主运行”的必经之路。</w:t>
      </w:r>
    </w:p>
    <w:p>
      <w:pPr>
        <w:spacing w:after="120" w:line="360"/>
        <w:ind w:firstLine="480"/>
        <w:jc w:val="both"/>
      </w:pPr>
      <w:r>
        <w:rPr>
          <w:rFonts w:ascii="SimSun" w:cs="SimSun" w:eastAsia="SimSun" w:hAnsi="SimSun"/>
          <w:sz w:val="24"/>
          <w:szCs w:val="24"/>
        </w:rPr>
        <w:t xml:space="preserve">第三，六大关键技术构成了完整的技术体系，彼此之间存在强耦合关系，需要系统推进、不可偏废。统一建模与降阶（第五章）为状态重构与预测（第六章）提供前向模型基础；数据同化的不确定性量化结果直接驱动鲁棒MPC的约束裕度设定（第七、八章）；SIL/HIL验证（第九章）是“工程准入包”的核心交付物；数字线程与知识闭环（第十章）为系统持续进化提供数据基础。这六大技术如同齿轮组，缺一环则全链失效。</w:t>
      </w:r>
    </w:p>
    <w:p>
      <w:pPr>
        <w:spacing w:after="120" w:line="360"/>
        <w:ind w:firstLine="480"/>
        <w:jc w:val="both"/>
      </w:pPr>
      <w:r>
        <w:rPr>
          <w:rFonts w:ascii="SimSun" w:cs="SimSun" w:eastAsia="SimSun" w:hAnsi="SimSun"/>
          <w:sz w:val="24"/>
          <w:szCs w:val="24"/>
        </w:rPr>
        <w:t xml:space="preserve">第四，国际案例对比表明，水网自主运行在技术上是可行的、在经济上是有利的。荷兰Rijkswaterstaat的运河自动化、以色列Mekorot的全网优化调度、新加坡PUB的智慧水网已提供了成功范例。但英国Thames Water的教训也警示：忽视运行维护投入将导致基础设施退化的恶性循环。中国国家水网的规模远超上述案例，挑战更大但一旦突破，其示范价值和技术外溢效应也将最为显著。</w:t>
      </w:r>
    </w:p>
    <w:p>
      <w:pPr>
        <w:spacing w:after="120" w:line="360"/>
        <w:ind w:firstLine="480"/>
        <w:jc w:val="both"/>
      </w:pPr>
      <w:r>
        <w:rPr>
          <w:rFonts w:ascii="SimSun" w:cs="SimSun" w:eastAsia="SimSun" w:hAnsi="SimSun"/>
          <w:sz w:val="24"/>
          <w:szCs w:val="24"/>
        </w:rPr>
        <w:t xml:space="preserve">第五，在AGI/Agentic AI快速发展的背景下，水利行业的正确策略是“AI增强控制工程”——利用AI的强大能力来加速建模、降低运维成本、提升态势感知，但以控制工程的安全框架为基座。越是“强智能”的系统，越需要严格的ODD定义、完备的场景库和规范的SIL/HIL验证，这一点在Gartner关于40%以上Agentic AI项目可能失败的预测中已得到充分印证。</w:t>
      </w:r>
    </w:p>
    <w:p>
      <w:pPr>
        <w:pStyle w:val="Heading2"/>
      </w:pPr>
      <w:r>
        <w:t xml:space="preserve">13.2 分阶段实施路线图</w:t>
      </w:r>
    </w:p>
    <w:p>
      <w:pPr>
        <w:pStyle w:val="Heading3"/>
      </w:pPr>
      <w:r>
        <w:t xml:space="preserve">13.2.1 试点期（2025—2027年）：跑通流程、验证方法</w:t>
      </w:r>
    </w:p>
    <w:p>
      <w:pPr>
        <w:spacing w:after="120" w:line="360"/>
        <w:ind w:firstLine="480"/>
        <w:jc w:val="both"/>
      </w:pPr>
      <w:r>
        <w:rPr>
          <w:rFonts w:ascii="SimSun" w:cs="SimSun" w:eastAsia="SimSun" w:hAnsi="SimSun"/>
          <w:sz w:val="24"/>
          <w:szCs w:val="24"/>
        </w:rPr>
        <w:t xml:space="preserve">选定2～3个典型工程作为试点，建议优先选择：南水北调中线工程的某一管理段（50～100km，含5～10座节制闸）、一座中型梯级泵站工程、一个城市防洪排涝联调系统。</w:t>
      </w:r>
    </w:p>
    <w:p>
      <w:pPr>
        <w:spacing w:after="120" w:line="360"/>
        <w:ind w:firstLine="480"/>
        <w:jc w:val="both"/>
      </w:pPr>
      <w:r>
        <w:rPr>
          <w:rFonts w:ascii="SimSun" w:cs="SimSun" w:eastAsia="SimSun" w:hAnsi="SimSun"/>
          <w:sz w:val="24"/>
          <w:szCs w:val="24"/>
        </w:rPr>
        <w:t xml:space="preserve">试点期的核心任务包括：建立试点工程的ODD定义与基础场景库（不少于200个场景，其中极端场景占比≥30%）；完成物理模型与降阶模型的在线校核与验证（TF≥0.90）；搭建SIL测试平台并完成首轮全场景回归测试；在有限范围内进行L2级闭环控制现场验证（单渠池恒水位控制，水位波动标准差降低40%以上）；初步形成“工程准入包”编制规范草案。</w:t>
      </w:r>
    </w:p>
    <w:p>
      <w:pPr>
        <w:spacing w:after="120" w:line="360"/>
        <w:ind w:firstLine="480"/>
        <w:jc w:val="both"/>
      </w:pPr>
      <w:r>
        <w:rPr>
          <w:rFonts w:ascii="SimSun" w:cs="SimSun" w:eastAsia="SimSun" w:hAnsi="SimSun"/>
          <w:sz w:val="24"/>
          <w:szCs w:val="24"/>
        </w:rPr>
        <w:t xml:space="preserve">试点期的量化成功标准：MPC控制效果优于现有人工调度15%以上（以水位波动标准差衡量）；SIL测试场景通过率达95%以上；数字孪生保真度TF≥0.90；初步建立“场景—测试—评估”的闭环工作流程。预估投入：每个试点工程约3000～5000万元。</w:t>
      </w:r>
    </w:p>
    <w:p>
      <w:pPr>
        <w:pStyle w:val="Heading3"/>
      </w:pPr>
      <w:r>
        <w:t xml:space="preserve">13.2.2 推广期（2027—2030年）：形成标准、建设能力</w:t>
      </w:r>
    </w:p>
    <w:p>
      <w:pPr>
        <w:spacing w:after="120" w:line="360"/>
        <w:ind w:firstLine="480"/>
        <w:jc w:val="both"/>
      </w:pPr>
      <w:r>
        <w:rPr>
          <w:rFonts w:ascii="SimSun" w:cs="SimSun" w:eastAsia="SimSun" w:hAnsi="SimSun"/>
          <w:sz w:val="24"/>
          <w:szCs w:val="24"/>
        </w:rPr>
        <w:t xml:space="preserve">在5～10个工程中推广应用，覆盖长距离调水、梯级泵站、城市防洪排涝三类主要场景。推广期的核心任务包括：形成行业级规范——将试点期的经验固化为《水网自主运行系统工程准入技术规程》（建议由水利部信息中心牵头编制）；建立第三方评测中心——培育2～3家具备SIL/HIL测试能力的专业机构；推动“运行科学”进入高校课程——在5～10所重点水利院校开设相关核心课程（水系统状态估计与数据同化、模型预测控制、水利控制系统安全论证）；启动Water-CIM等数据标准制定——通过IAHR、IWA等国际组织推动国际标准化进程。</w:t>
      </w:r>
    </w:p>
    <w:p>
      <w:pPr>
        <w:spacing w:after="120" w:line="360"/>
        <w:ind w:firstLine="480"/>
        <w:jc w:val="both"/>
      </w:pPr>
      <w:r>
        <w:rPr>
          <w:rFonts w:ascii="SimSun" w:cs="SimSun" w:eastAsia="SimSun" w:hAnsi="SimSun"/>
          <w:sz w:val="24"/>
          <w:szCs w:val="24"/>
        </w:rPr>
        <w:t xml:space="preserve">推广期的量化成功标准：至少3个工程实现L3级条件自主运行（在ODD内连续无人干预运行≥72小时）；场景库规模扩展到1000+个标准化场景；第三方评测中心累计完成10+套系统的准入评估；Water-CIM国际标准提案进入ISO/TC224投票程序。</w:t>
      </w:r>
    </w:p>
    <w:p>
      <w:pPr>
        <w:pStyle w:val="Heading3"/>
      </w:pPr>
      <w:r>
        <w:t xml:space="preserve">13.2.3 成熟期（2030—2035年）：规模覆盖、国际引领</w:t>
      </w:r>
    </w:p>
    <w:p>
      <w:pPr>
        <w:spacing w:after="120" w:line="360"/>
        <w:ind w:firstLine="480"/>
        <w:jc w:val="both"/>
      </w:pPr>
      <w:r>
        <w:rPr>
          <w:rFonts w:ascii="SimSun" w:cs="SimSun" w:eastAsia="SimSun" w:hAnsi="SimSun"/>
          <w:sz w:val="24"/>
          <w:szCs w:val="24"/>
        </w:rPr>
        <w:t xml:space="preserve">国家水网主骨架和纲、目、结关键节点实现L3+级自主运行，AI成为标准化增强工具。成熟期的核心特征包括：全国主要跨流域调水工程实现自主运行（南水北调中线全线、东线主泵站群、引江济淮等）；水利智能系统认证中心正式运行（类比航空领域EASA/FAA）；“水系统控制论”作为独立二级学科方向获得认可；中国水网自主运行技术和标准在“一带一路”沿线国家推广应用。</w:t>
      </w:r>
    </w:p>
    <w:p>
      <w:pPr>
        <w:pStyle w:val="Heading2"/>
      </w:pPr>
      <w:r>
        <w:t xml:space="preserve">13.3 核心行动建议</w:t>
      </w:r>
    </w:p>
    <w:p>
      <w:pPr>
        <w:pStyle w:val="Heading3"/>
      </w:pPr>
      <w:r>
        <w:t xml:space="preserve">13.3.1 建议一：立即着手构建“工程准入”体系</w:t>
      </w:r>
    </w:p>
    <w:p>
      <w:pPr>
        <w:spacing w:after="120" w:line="360"/>
        <w:ind w:firstLine="480"/>
        <w:jc w:val="both"/>
      </w:pPr>
      <w:r>
        <w:rPr>
          <w:rFonts w:ascii="SimSun" w:cs="SimSun" w:eastAsia="SimSun" w:hAnsi="SimSun"/>
          <w:sz w:val="24"/>
          <w:szCs w:val="24"/>
        </w:rPr>
        <w:t xml:space="preserve">这是最紧迫、最具杠杆效应的行动。具体步骤包括：编制《水网智能系统工程准入技术指南》（2025年启动，2027年发布行业标准）；在3个试点工程中率先实施“准入包”交付要求（ODD声明、场景库覆盖报告、SIL/HIL测试报告、安全论证报告）；组建跨部门的“工程准入”技术委员会，邀请汽车、航空领域专家参与经验移植。</w:t>
      </w:r>
    </w:p>
    <w:p>
      <w:pPr>
        <w:pStyle w:val="Heading3"/>
      </w:pPr>
      <w:r>
        <w:t xml:space="preserve">13.3.2 建议二：将“运行科学”纳入高等教育核心课程</w:t>
      </w:r>
    </w:p>
    <w:p>
      <w:pPr>
        <w:spacing w:after="120" w:line="360"/>
        <w:ind w:firstLine="480"/>
        <w:jc w:val="both"/>
      </w:pPr>
      <w:r>
        <w:rPr>
          <w:rFonts w:ascii="SimSun" w:cs="SimSun" w:eastAsia="SimSun" w:hAnsi="SimSun"/>
          <w:sz w:val="24"/>
          <w:szCs w:val="24"/>
        </w:rPr>
        <w:t xml:space="preserve">人才是长期竞争力的根本。建议在水利工程本科和研究生培养方案中增设五门核心课程：水系统状态估计与数据同化、水系统辨识与自适应控制、模型预测控制原理与水利应用、水系统鲁棒优化与不确定性量化、水利控制系统安全论证与验证。短期内可通过暑期学校、继续教育等形式面向在职工程师开展培训。</w:t>
      </w:r>
    </w:p>
    <w:p>
      <w:pPr>
        <w:pStyle w:val="Heading3"/>
      </w:pPr>
      <w:r>
        <w:t xml:space="preserve">13.3.3 建议三：以“控制论+准入制”重塑智慧水利建设范式</w:t>
      </w:r>
    </w:p>
    <w:p>
      <w:pPr>
        <w:spacing w:after="120" w:line="360"/>
        <w:ind w:firstLine="480"/>
        <w:jc w:val="both"/>
      </w:pPr>
      <w:r>
        <w:rPr>
          <w:rFonts w:ascii="SimSun" w:cs="SimSun" w:eastAsia="SimSun" w:hAnsi="SimSun"/>
          <w:sz w:val="24"/>
          <w:szCs w:val="24"/>
        </w:rPr>
        <w:t xml:space="preserve">在项目立项、招标、验收的全流程中嵌入“工程准入”要求。具体措施包括：在可研阶段明确系统目标自主运行等级（L0～L4）和对应ODD范围；在招标文件中将“工程准入包”列为必须交付的成果物；在验收环节要求提交SIL/HIL测试报告和第三方评测意见；在运行阶段实施年度场景库更新和复验机制。</w:t>
      </w:r>
    </w:p>
    <w:p>
      <w:pPr>
        <w:pStyle w:val="Heading3"/>
      </w:pPr>
      <w:r>
        <w:t xml:space="preserve">13.3.4 建议四：积极参与国际标准制定和学术交流</w:t>
      </w:r>
    </w:p>
    <w:p>
      <w:pPr>
        <w:spacing w:after="120" w:line="360"/>
        <w:ind w:firstLine="480"/>
        <w:jc w:val="both"/>
      </w:pPr>
      <w:r>
        <w:rPr>
          <w:rFonts w:ascii="SimSun" w:cs="SimSun" w:eastAsia="SimSun" w:hAnsi="SimSun"/>
          <w:sz w:val="24"/>
          <w:szCs w:val="24"/>
        </w:rPr>
        <w:t xml:space="preserve">通过IAHR水系统运行工作组、IWA数字化转型专家组、ISO/TC224（饮用水供应与废水处理服务）等国际平台，主动推动中国方案进入国际视野。重点推进事项包括：在IAHR框架下发起“水网自主运行等级”（Water Network Autonomy Levels）国际倡议；联合荷兰TU Delft、以色列Technion等国际领先机构共建标准化场景库；在SWAN（Smart Water Networks Forum）年会上持续展示天河大模型的技术进展与工程实绩。</w:t>
      </w:r>
    </w:p>
    <w:p>
      <w:pPr>
        <w:pStyle w:val="Heading3"/>
      </w:pPr>
      <w:r>
        <w:t xml:space="preserve">13.3.5 建议五：建立长效的技术创新与产业协同机制</w:t>
      </w:r>
    </w:p>
    <w:p>
      <w:pPr>
        <w:spacing w:after="120" w:line="360"/>
        <w:ind w:firstLine="480"/>
        <w:jc w:val="both"/>
      </w:pPr>
      <w:r>
        <w:rPr>
          <w:rFonts w:ascii="SimSun" w:cs="SimSun" w:eastAsia="SimSun" w:hAnsi="SimSun"/>
          <w:sz w:val="24"/>
          <w:szCs w:val="24"/>
        </w:rPr>
        <w:t xml:space="preserve">水网自主运行涉及控制科学、水利工程、计算机科学、安全工程等多个学科，需要跨学科、跨行业的协同创新。建议设立“水网自主运行”国家重点研发计划专项（年度经费约2～3亿元，持续支持5年）；组建产学研用联合体，将水利设计院、控制系统集成商、高校科研团队、水利管理单位紧密联结；建立开源的SIL/HIL测试基准平台，降低中小企业的技术门槛，促进行业生态健康发展。</w:t>
      </w:r>
    </w:p>
    <w:p>
      <w:r>
        <w:br w:type="page"/>
      </w:r>
    </w:p>
    <w:p>
      <w:pPr>
        <w:pStyle w:val="Heading1"/>
      </w:pPr>
      <w:r>
        <w:t xml:space="preserve">第十四章  参考文献</w:t>
      </w:r>
    </w:p>
    <w:p>
      <w:pPr>
        <w:spacing w:after="80" w:line="320"/>
        <w:ind w:left="480" w:hanging="480"/>
      </w:pPr>
      <w:r>
        <w:rPr>
          <w:rFonts w:ascii="SimSun" w:cs="SimSun" w:eastAsia="SimSun" w:hAnsi="SimSun"/>
          <w:sz w:val="22"/>
          <w:szCs w:val="22"/>
        </w:rPr>
        <w:t xml:space="preserve">[1] SAE International. (2021). J3016: Taxonomy and Definitions for Terms Related to Driving Automation Systems.</w:t>
      </w:r>
    </w:p>
    <w:p>
      <w:pPr>
        <w:spacing w:after="80" w:line="320"/>
        <w:ind w:left="480" w:hanging="480"/>
      </w:pPr>
      <w:r>
        <w:rPr>
          <w:rFonts w:ascii="SimSun" w:cs="SimSun" w:eastAsia="SimSun" w:hAnsi="SimSun"/>
          <w:sz w:val="22"/>
          <w:szCs w:val="22"/>
        </w:rPr>
        <w:t xml:space="preserve">[2] OECD. (2022). Financing a Water Secure Future. OECD Studies on Water.</w:t>
      </w:r>
    </w:p>
    <w:p>
      <w:pPr>
        <w:spacing w:after="80" w:line="320"/>
        <w:ind w:left="480" w:hanging="480"/>
      </w:pPr>
      <w:r>
        <w:rPr>
          <w:rFonts w:ascii="SimSun" w:cs="SimSun" w:eastAsia="SimSun" w:hAnsi="SimSun"/>
          <w:sz w:val="22"/>
          <w:szCs w:val="22"/>
        </w:rPr>
        <w:t xml:space="preserve">[3] World Health Organization &amp; IWA. (2009). Water safety plan manual.</w:t>
      </w:r>
    </w:p>
    <w:p>
      <w:pPr>
        <w:spacing w:after="80" w:line="320"/>
        <w:ind w:left="480" w:hanging="480"/>
      </w:pPr>
      <w:r>
        <w:rPr>
          <w:rFonts w:ascii="SimSun" w:cs="SimSun" w:eastAsia="SimSun" w:hAnsi="SimSun"/>
          <w:sz w:val="22"/>
          <w:szCs w:val="22"/>
        </w:rPr>
        <w:t xml:space="preserve">[4] World Health Organization. (2023). Water safety plan manual (2nd ed.).</w:t>
      </w:r>
    </w:p>
    <w:p>
      <w:pPr>
        <w:spacing w:after="80" w:line="320"/>
        <w:ind w:left="480" w:hanging="480"/>
      </w:pPr>
      <w:r>
        <w:rPr>
          <w:rFonts w:ascii="SimSun" w:cs="SimSun" w:eastAsia="SimSun" w:hAnsi="SimSun"/>
          <w:sz w:val="22"/>
          <w:szCs w:val="22"/>
        </w:rPr>
        <w:t xml:space="preserve">[5] Financial Times. (2024). Thames Water warns ageing assets pose risk to public safety.</w:t>
      </w:r>
    </w:p>
    <w:p>
      <w:pPr>
        <w:spacing w:after="80" w:line="320"/>
        <w:ind w:left="480" w:hanging="480"/>
      </w:pPr>
      <w:r>
        <w:rPr>
          <w:rFonts w:ascii="SimSun" w:cs="SimSun" w:eastAsia="SimSun" w:hAnsi="SimSun"/>
          <w:sz w:val="22"/>
          <w:szCs w:val="22"/>
        </w:rPr>
        <w:t xml:space="preserve">[6] ISO. (2024). ISO 24591-1:2024 Smart water management — Part 1.</w:t>
      </w:r>
    </w:p>
    <w:p>
      <w:pPr>
        <w:spacing w:after="80" w:line="320"/>
        <w:ind w:left="480" w:hanging="480"/>
      </w:pPr>
      <w:r>
        <w:rPr>
          <w:rFonts w:ascii="SimSun" w:cs="SimSun" w:eastAsia="SimSun" w:hAnsi="SimSun"/>
          <w:sz w:val="22"/>
          <w:szCs w:val="22"/>
        </w:rPr>
        <w:t xml:space="preserve">[7] 中共中央, 国务院. (2023). 《国家水网建设规划纲要》.</w:t>
      </w:r>
    </w:p>
    <w:p>
      <w:pPr>
        <w:spacing w:after="80" w:line="320"/>
        <w:ind w:left="480" w:hanging="480"/>
      </w:pPr>
      <w:r>
        <w:rPr>
          <w:rFonts w:ascii="SimSun" w:cs="SimSun" w:eastAsia="SimSun" w:hAnsi="SimSun"/>
          <w:sz w:val="22"/>
          <w:szCs w:val="22"/>
        </w:rPr>
        <w:t xml:space="preserve">[8] 水利部. (2021). 《关于大力推进智慧水利建设的指导意见》.</w:t>
      </w:r>
    </w:p>
    <w:p>
      <w:pPr>
        <w:spacing w:after="80" w:line="320"/>
        <w:ind w:left="480" w:hanging="480"/>
      </w:pPr>
      <w:r>
        <w:rPr>
          <w:rFonts w:ascii="SimSun" w:cs="SimSun" w:eastAsia="SimSun" w:hAnsi="SimSun"/>
          <w:sz w:val="22"/>
          <w:szCs w:val="22"/>
        </w:rPr>
        <w:t xml:space="preserve">[9] Gartner. (2025). Predicts Over 40% of Agentic AI Projects Will Be Canceled by End of 2027.</w:t>
      </w:r>
    </w:p>
    <w:p>
      <w:pPr>
        <w:spacing w:after="80" w:line="320"/>
        <w:ind w:left="480" w:hanging="480"/>
      </w:pPr>
      <w:r>
        <w:rPr>
          <w:rFonts w:ascii="SimSun" w:cs="SimSun" w:eastAsia="SimSun" w:hAnsi="SimSun"/>
          <w:sz w:val="22"/>
          <w:szCs w:val="22"/>
        </w:rPr>
        <w:t xml:space="preserve">[10] Schuurmans, J., et al. (1995). Open-channel flow model approximation for controller design. Applied Mathematical Modelling, 19(9), 525-530.</w:t>
      </w:r>
    </w:p>
    <w:p>
      <w:pPr>
        <w:spacing w:after="80" w:line="320"/>
        <w:ind w:left="480" w:hanging="480"/>
      </w:pPr>
      <w:r>
        <w:rPr>
          <w:rFonts w:ascii="SimSun" w:cs="SimSun" w:eastAsia="SimSun" w:hAnsi="SimSun"/>
          <w:sz w:val="22"/>
          <w:szCs w:val="22"/>
        </w:rPr>
        <w:t xml:space="preserve">[11] Evensen, G. (2009). Data Assimilation: The Ensemble Kalman Filter. Springer.</w:t>
      </w:r>
    </w:p>
    <w:p>
      <w:pPr>
        <w:spacing w:after="80" w:line="320"/>
        <w:ind w:left="480" w:hanging="480"/>
      </w:pPr>
      <w:r>
        <w:rPr>
          <w:rFonts w:ascii="SimSun" w:cs="SimSun" w:eastAsia="SimSun" w:hAnsi="SimSun"/>
          <w:sz w:val="22"/>
          <w:szCs w:val="22"/>
        </w:rPr>
        <w:t xml:space="preserve">[12] Castelletti, A., et al. (2023). Model predictive control of water resources systems. Annual Reviews in Control, 55, 442-465.</w:t>
      </w:r>
    </w:p>
    <w:p>
      <w:pPr>
        <w:spacing w:after="80" w:line="320"/>
        <w:ind w:left="480" w:hanging="480"/>
      </w:pPr>
      <w:r>
        <w:rPr>
          <w:rFonts w:ascii="SimSun" w:cs="SimSun" w:eastAsia="SimSun" w:hAnsi="SimSun"/>
          <w:sz w:val="22"/>
          <w:szCs w:val="22"/>
        </w:rPr>
        <w:t xml:space="preserve">[13] ISO. (2018). ISO 26262: Road vehicles — Functional safety.</w:t>
      </w:r>
    </w:p>
    <w:p>
      <w:pPr>
        <w:spacing w:after="80" w:line="320"/>
        <w:ind w:left="480" w:hanging="480"/>
      </w:pPr>
      <w:r>
        <w:rPr>
          <w:rFonts w:ascii="SimSun" w:cs="SimSun" w:eastAsia="SimSun" w:hAnsi="SimSun"/>
          <w:sz w:val="22"/>
          <w:szCs w:val="22"/>
        </w:rPr>
        <w:t xml:space="preserve">[14] RTCA. (2011). DO-178C: Software Considerations in Airborne Systems.</w:t>
      </w:r>
    </w:p>
    <w:p>
      <w:pPr>
        <w:spacing w:after="80" w:line="320"/>
        <w:ind w:left="480" w:hanging="480"/>
      </w:pPr>
      <w:r>
        <w:rPr>
          <w:rFonts w:ascii="SimSun" w:cs="SimSun" w:eastAsia="SimSun" w:hAnsi="SimSun"/>
          <w:sz w:val="22"/>
          <w:szCs w:val="22"/>
        </w:rPr>
        <w:t xml:space="preserve">[15] IEC. (2020). IEC 61970: Energy management system application program interface (CIM).</w:t>
      </w:r>
    </w:p>
    <w:p>
      <w:pPr>
        <w:spacing w:after="80" w:line="320"/>
        <w:ind w:left="480" w:hanging="480"/>
      </w:pPr>
      <w:r>
        <w:rPr>
          <w:rFonts w:ascii="SimSun" w:cs="SimSun" w:eastAsia="SimSun" w:hAnsi="SimSun"/>
          <w:sz w:val="22"/>
          <w:szCs w:val="22"/>
        </w:rPr>
        <w:t xml:space="preserve">[16] Wiener, N. (1948). Cybernetics. MIT Press.</w:t>
      </w:r>
    </w:p>
    <w:p>
      <w:pPr>
        <w:spacing w:after="80" w:line="320"/>
        <w:ind w:left="480" w:hanging="480"/>
      </w:pPr>
      <w:r>
        <w:rPr>
          <w:rFonts w:ascii="SimSun" w:cs="SimSun" w:eastAsia="SimSun" w:hAnsi="SimSun"/>
          <w:sz w:val="22"/>
          <w:szCs w:val="22"/>
        </w:rPr>
        <w:t xml:space="preserve">[17] Rawlings, J. B., et al. (2017). Model Predictive Control: Theory, Computation, and Design. Nob Hill Publishing.</w:t>
      </w:r>
    </w:p>
    <w:p>
      <w:pPr>
        <w:spacing w:after="80" w:line="320"/>
        <w:ind w:left="480" w:hanging="480"/>
      </w:pPr>
      <w:r>
        <w:rPr>
          <w:rFonts w:ascii="SimSun" w:cs="SimSun" w:eastAsia="SimSun" w:hAnsi="SimSun"/>
          <w:sz w:val="22"/>
          <w:szCs w:val="22"/>
        </w:rPr>
        <w:t xml:space="preserve">[18] Mayne, D. Q. (2014). Model predictive control: Recent developments. Automatica, 50(12), 2967-2986.</w:t>
      </w:r>
    </w:p>
    <w:p>
      <w:pPr>
        <w:spacing w:after="80" w:line="320"/>
        <w:ind w:left="480" w:hanging="480"/>
      </w:pPr>
      <w:r>
        <w:rPr>
          <w:rFonts w:ascii="SimSun" w:cs="SimSun" w:eastAsia="SimSun" w:hAnsi="SimSun"/>
          <w:sz w:val="22"/>
          <w:szCs w:val="22"/>
        </w:rPr>
        <w:t xml:space="preserve">[19] Camacho, E. F., &amp; Bordons, C. (2013). Model Predictive Control. Springer.</w:t>
      </w:r>
    </w:p>
    <w:p>
      <w:pPr>
        <w:spacing w:after="80" w:line="320"/>
        <w:ind w:left="480" w:hanging="480"/>
      </w:pPr>
      <w:r>
        <w:rPr>
          <w:rFonts w:ascii="SimSun" w:cs="SimSun" w:eastAsia="SimSun" w:hAnsi="SimSun"/>
          <w:sz w:val="22"/>
          <w:szCs w:val="22"/>
        </w:rPr>
        <w:t xml:space="preserve">[20] Clemmens, A. J., et al. (2005). Test cases for canal control algorithms. J. Irrig. Drain. Eng., 131(6), 502-514.</w:t>
      </w:r>
    </w:p>
    <w:p>
      <w:pPr>
        <w:spacing w:after="80" w:line="320"/>
        <w:ind w:left="480" w:hanging="480"/>
      </w:pPr>
      <w:r>
        <w:rPr>
          <w:rFonts w:ascii="SimSun" w:cs="SimSun" w:eastAsia="SimSun" w:hAnsi="SimSun"/>
          <w:sz w:val="22"/>
          <w:szCs w:val="22"/>
        </w:rPr>
        <w:t xml:space="preserve">[21] van Overloop, P. J. (2006). Model Predictive Control on Open Water Systems. PhD Thesis, TU Delft.</w:t>
      </w:r>
    </w:p>
    <w:p>
      <w:pPr>
        <w:spacing w:after="80" w:line="320"/>
        <w:ind w:left="480" w:hanging="480"/>
      </w:pPr>
      <w:r>
        <w:rPr>
          <w:rFonts w:ascii="SimSun" w:cs="SimSun" w:eastAsia="SimSun" w:hAnsi="SimSun"/>
          <w:sz w:val="22"/>
          <w:szCs w:val="22"/>
        </w:rPr>
        <w:t xml:space="preserve">[22] Xu, M., et al. (2012). MPC for operation of a large-scale open canal system. J. Irrig. Drain. Eng., 138(3), 253-261.</w:t>
      </w:r>
    </w:p>
    <w:p>
      <w:pPr>
        <w:spacing w:after="80" w:line="320"/>
        <w:ind w:left="480" w:hanging="480"/>
      </w:pPr>
      <w:r>
        <w:rPr>
          <w:rFonts w:ascii="SimSun" w:cs="SimSun" w:eastAsia="SimSun" w:hAnsi="SimSun"/>
          <w:sz w:val="22"/>
          <w:szCs w:val="22"/>
        </w:rPr>
        <w:t xml:space="preserve">[23] IWA. (2019). Digital Water: Industry Leaders Chart the Transformation Journey.</w:t>
      </w:r>
    </w:p>
    <w:p>
      <w:pPr>
        <w:spacing w:after="80" w:line="320"/>
        <w:ind w:left="480" w:hanging="480"/>
      </w:pPr>
      <w:r>
        <w:rPr>
          <w:rFonts w:ascii="SimSun" w:cs="SimSun" w:eastAsia="SimSun" w:hAnsi="SimSun"/>
          <w:sz w:val="22"/>
          <w:szCs w:val="22"/>
        </w:rPr>
        <w:t xml:space="preserve">[24] SWAN. (2023). Smart Water Networks Forum Annual Report.</w:t>
      </w:r>
    </w:p>
    <w:p>
      <w:pPr>
        <w:spacing w:after="80" w:line="320"/>
        <w:ind w:left="480" w:hanging="480"/>
      </w:pPr>
      <w:r>
        <w:rPr>
          <w:rFonts w:ascii="SimSun" w:cs="SimSun" w:eastAsia="SimSun" w:hAnsi="SimSun"/>
          <w:sz w:val="22"/>
          <w:szCs w:val="22"/>
        </w:rPr>
        <w:t xml:space="preserve">[25] Gregersen, J. B., et al. (2007). OpenMI: Open modelling interface. J. Hydroinformatics, 9(3), 175-191.</w:t>
      </w:r>
    </w:p>
    <w:p>
      <w:pPr>
        <w:spacing w:after="80" w:line="320"/>
        <w:ind w:left="480" w:hanging="480"/>
      </w:pPr>
      <w:r>
        <w:rPr>
          <w:rFonts w:ascii="SimSun" w:cs="SimSun" w:eastAsia="SimSun" w:hAnsi="SimSun"/>
          <w:sz w:val="22"/>
          <w:szCs w:val="22"/>
        </w:rPr>
        <w:t xml:space="preserve">[26] Christofides, P. D., et al. (2013). Distributed Model Predictive Control. Computers &amp; Chemical Engineering, 51, 21-41.</w:t>
      </w:r>
    </w:p>
    <w:p>
      <w:pPr>
        <w:spacing w:after="80" w:line="320"/>
        <w:ind w:left="480" w:hanging="480"/>
      </w:pPr>
      <w:r>
        <w:rPr>
          <w:rFonts w:ascii="SimSun" w:cs="SimSun" w:eastAsia="SimSun" w:hAnsi="SimSun"/>
          <w:sz w:val="22"/>
          <w:szCs w:val="22"/>
        </w:rPr>
        <w:t xml:space="preserve">[27] Ljung, L. (1999). System Identification: Theory for the User (2nd ed.). Prentice Hall.</w:t>
      </w:r>
    </w:p>
    <w:p>
      <w:pPr>
        <w:spacing w:after="80" w:line="320"/>
        <w:ind w:left="480" w:hanging="480"/>
      </w:pPr>
      <w:r>
        <w:rPr>
          <w:rFonts w:ascii="SimSun" w:cs="SimSun" w:eastAsia="SimSun" w:hAnsi="SimSun"/>
          <w:sz w:val="22"/>
          <w:szCs w:val="22"/>
        </w:rPr>
        <w:t xml:space="preserve">[28] Senge, P. M. (1990). The Fifth Discipline. Doubleday.</w:t>
      </w:r>
    </w:p>
    <w:p>
      <w:pPr>
        <w:spacing w:after="80" w:line="320"/>
        <w:ind w:left="480" w:hanging="480"/>
      </w:pPr>
      <w:r>
        <w:rPr>
          <w:rFonts w:ascii="SimSun" w:cs="SimSun" w:eastAsia="SimSun" w:hAnsi="SimSun"/>
          <w:sz w:val="22"/>
          <w:szCs w:val="22"/>
        </w:rPr>
        <w:t xml:space="preserve">[29] NASA. (2010). NASA Systems Engineering Handbook (SP-2016-6105 Rev2).</w:t>
      </w:r>
    </w:p>
    <w:p>
      <w:pPr>
        <w:spacing w:after="80" w:line="320"/>
        <w:ind w:left="480" w:hanging="480"/>
      </w:pPr>
      <w:r>
        <w:rPr>
          <w:rFonts w:ascii="SimSun" w:cs="SimSun" w:eastAsia="SimSun" w:hAnsi="SimSun"/>
          <w:sz w:val="22"/>
          <w:szCs w:val="22"/>
        </w:rPr>
        <w:t xml:space="preserve">[30] Bishop, P., &amp; Bloomfield, R. (2000). A methodology for safety case development. Safety and Reliability, 20(1), 34-42.</w:t>
      </w:r>
    </w:p>
    <w:p>
      <w:pPr>
        <w:spacing w:after="80" w:line="320"/>
        <w:ind w:left="480" w:hanging="480"/>
      </w:pPr>
      <w:r>
        <w:rPr>
          <w:rFonts w:ascii="SimSun" w:cs="SimSun" w:eastAsia="SimSun" w:hAnsi="SimSun"/>
          <w:sz w:val="22"/>
          <w:szCs w:val="22"/>
        </w:rPr>
        <w:t xml:space="preserve">[31] ISO. (2022). ISO 21448: Road vehicles — Safety of the intended functionality (SOTIF).</w:t>
      </w:r>
    </w:p>
    <w:p>
      <w:pPr>
        <w:spacing w:after="80" w:line="320"/>
        <w:ind w:left="480" w:hanging="480"/>
      </w:pPr>
      <w:r>
        <w:rPr>
          <w:rFonts w:ascii="SimSun" w:cs="SimSun" w:eastAsia="SimSun" w:hAnsi="SimSun"/>
          <w:sz w:val="22"/>
          <w:szCs w:val="22"/>
        </w:rPr>
        <w:t xml:space="preserve">[32] 水利部信息中心. (2023). 《数字孪生水利建设技术指南》.</w:t>
      </w:r>
    </w:p>
    <w:p>
      <w:pPr>
        <w:spacing w:after="80" w:line="320"/>
        <w:ind w:left="480" w:hanging="480"/>
      </w:pPr>
      <w:r>
        <w:rPr>
          <w:rFonts w:ascii="SimSun" w:cs="SimSun" w:eastAsia="SimSun" w:hAnsi="SimSun"/>
          <w:sz w:val="22"/>
          <w:szCs w:val="22"/>
        </w:rPr>
        <w:t xml:space="preserve">[33] Lei, X., et al. (2023). Towards autonomous operation of water networks. IAHR World Congress.</w:t>
      </w:r>
    </w:p>
    <w:p>
      <w:pPr>
        <w:spacing w:after="80" w:line="320"/>
        <w:ind w:left="480" w:hanging="480"/>
      </w:pPr>
      <w:r>
        <w:rPr>
          <w:rFonts w:ascii="SimSun" w:cs="SimSun" w:eastAsia="SimSun" w:hAnsi="SimSun"/>
          <w:sz w:val="22"/>
          <w:szCs w:val="22"/>
        </w:rPr>
        <w:t xml:space="preserve">[34] Rijkswaterstaat. (2015). Maeslantkering Storm Surge Barrier: Design, Operation and Maintenance.</w:t>
      </w:r>
    </w:p>
    <w:p>
      <w:pPr>
        <w:spacing w:after="80" w:line="320"/>
        <w:ind w:left="480" w:hanging="480"/>
      </w:pPr>
      <w:r>
        <w:rPr>
          <w:rFonts w:ascii="SimSun" w:cs="SimSun" w:eastAsia="SimSun" w:hAnsi="SimSun"/>
          <w:sz w:val="22"/>
          <w:szCs w:val="22"/>
        </w:rPr>
        <w:t xml:space="preserve">[35] van Overloop, P. J., et al. (2010). Distributed model predictive control of irrigation canals. Irrigation and Drainage, 59(2), 119-134.</w:t>
      </w:r>
    </w:p>
    <w:p>
      <w:pPr>
        <w:spacing w:after="80" w:line="320"/>
        <w:ind w:left="480" w:hanging="480"/>
      </w:pPr>
      <w:r>
        <w:rPr>
          <w:rFonts w:ascii="SimSun" w:cs="SimSun" w:eastAsia="SimSun" w:hAnsi="SimSun"/>
          <w:sz w:val="22"/>
          <w:szCs w:val="22"/>
        </w:rPr>
        <w:t xml:space="preserve">[36] PUB Singapore. (2022). Smart Water Grid: Digital Transformation of Water Infrastructure. Annual Report.</w:t>
      </w:r>
    </w:p>
    <w:p>
      <w:pPr>
        <w:spacing w:after="80" w:line="320"/>
        <w:ind w:left="480" w:hanging="480"/>
      </w:pPr>
      <w:r>
        <w:rPr>
          <w:rFonts w:ascii="SimSun" w:cs="SimSun" w:eastAsia="SimSun" w:hAnsi="SimSun"/>
          <w:sz w:val="22"/>
          <w:szCs w:val="22"/>
        </w:rPr>
        <w:t xml:space="preserve">[37] Mekorot. (2021). National Water System Optimization: Technology and Operations.</w:t>
      </w:r>
    </w:p>
    <w:p>
      <w:pPr>
        <w:spacing w:after="80" w:line="320"/>
        <w:ind w:left="480" w:hanging="480"/>
      </w:pPr>
      <w:r>
        <w:rPr>
          <w:rFonts w:ascii="SimSun" w:cs="SimSun" w:eastAsia="SimSun" w:hAnsi="SimSun"/>
          <w:sz w:val="22"/>
          <w:szCs w:val="22"/>
        </w:rPr>
        <w:t xml:space="preserve">[38] MDBA. (2020). Murray-Darling Basin Plan: Water Resource Plan Assessment. MDBA Report.</w:t>
      </w:r>
    </w:p>
    <w:p>
      <w:pPr>
        <w:spacing w:after="80" w:line="320"/>
        <w:ind w:left="480" w:hanging="480"/>
      </w:pPr>
      <w:r>
        <w:rPr>
          <w:rFonts w:ascii="SimSun" w:cs="SimSun" w:eastAsia="SimSun" w:hAnsi="SimSun"/>
          <w:sz w:val="22"/>
          <w:szCs w:val="22"/>
        </w:rPr>
        <w:t xml:space="preserve">[39] IEC. (2018). IEC 62443: Industrial communication networks — Network and system security.</w:t>
      </w:r>
    </w:p>
    <w:p>
      <w:pPr>
        <w:spacing w:after="80" w:line="320"/>
        <w:ind w:left="480" w:hanging="480"/>
      </w:pPr>
      <w:r>
        <w:rPr>
          <w:rFonts w:ascii="SimSun" w:cs="SimSun" w:eastAsia="SimSun" w:hAnsi="SimSun"/>
          <w:sz w:val="22"/>
          <w:szCs w:val="22"/>
        </w:rPr>
        <w:t xml:space="preserve">[40] EUROCAE. (2013). ED-112A: Minimum Operational Performance Specification for Crash Protected Airborne Recorder Systems.</w:t>
      </w:r>
    </w:p>
    <w:p>
      <w:pPr>
        <w:spacing w:after="80" w:line="320"/>
        <w:ind w:left="480" w:hanging="480"/>
      </w:pPr>
      <w:r>
        <w:rPr>
          <w:rFonts w:ascii="SimSun" w:cs="SimSun" w:eastAsia="SimSun" w:hAnsi="SimSun"/>
          <w:sz w:val="22"/>
          <w:szCs w:val="22"/>
        </w:rPr>
        <w:t xml:space="preserve">[41] GB/T 50509-2009. 水利水电工程水情自动测报系统设计规范.</w:t>
      </w:r>
    </w:p>
    <w:p>
      <w:pPr>
        <w:spacing w:after="80" w:line="320"/>
        <w:ind w:left="480" w:hanging="480"/>
      </w:pPr>
      <w:r>
        <w:rPr>
          <w:rFonts w:ascii="SimSun" w:cs="SimSun" w:eastAsia="SimSun" w:hAnsi="SimSun"/>
          <w:sz w:val="22"/>
          <w:szCs w:val="22"/>
        </w:rPr>
        <w:t xml:space="preserve">[42] SL/T 705-2015. 水利信息化标准体系表.</w:t>
      </w:r>
    </w:p>
    <w:p>
      <w:pPr>
        <w:spacing w:after="80" w:line="320"/>
        <w:ind w:left="480" w:hanging="480"/>
      </w:pPr>
      <w:r>
        <w:rPr>
          <w:rFonts w:ascii="SimSun" w:cs="SimSun" w:eastAsia="SimSun" w:hAnsi="SimSun"/>
          <w:sz w:val="22"/>
          <w:szCs w:val="22"/>
        </w:rPr>
        <w:t xml:space="preserve">[43] Page, E. S. (1954). Continuous inspection schemes. Biometrika, 41(1/2), 100-115.</w:t>
      </w:r>
    </w:p>
    <w:p>
      <w:pPr>
        <w:spacing w:after="80" w:line="320"/>
        <w:ind w:left="480" w:hanging="480"/>
      </w:pPr>
      <w:r>
        <w:rPr>
          <w:rFonts w:ascii="SimSun" w:cs="SimSun" w:eastAsia="SimSun" w:hAnsi="SimSun"/>
          <w:sz w:val="22"/>
          <w:szCs w:val="22"/>
        </w:rPr>
        <w:t xml:space="preserve">[44] Kelly, T. P. (1998). Arguing Safety: A Systematic Approach to Managing Safety Cases. PhD Thesis, University of York.</w:t>
      </w:r>
    </w:p>
    <w:p>
      <w:pPr>
        <w:spacing w:after="80" w:line="320"/>
        <w:ind w:left="480" w:hanging="480"/>
      </w:pPr>
      <w:r>
        <w:rPr>
          <w:rFonts w:ascii="SimSun" w:cs="SimSun" w:eastAsia="SimSun" w:hAnsi="SimSun"/>
          <w:sz w:val="22"/>
          <w:szCs w:val="22"/>
        </w:rPr>
        <w:t xml:space="preserve">[45] OpenSCENARIO. (2022). ASAM OpenSCENARIO V2.0: Dynamic Content.</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KaiTi" w:cs="KaiTi" w:eastAsia="KaiTi" w:hAnsi="KaiTi"/>
        <w:color w:val="999999"/>
        <w:sz w:val="18"/>
        <w:szCs w:val="18"/>
      </w:rPr>
      <w:t xml:space="preserve">水网智能调控与自主运行关键技术研究报告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imHei" w:cs="SimHei" w:eastAsia="SimHei" w:hAnsi="SimHei"/>
      <w:b/>
      <w:bCs/>
      <w:color w:val="1F4E79"/>
      <w:sz w:val="36"/>
      <w:szCs w:val="36"/>
    </w:rPr>
  </w:style>
  <w:style w:type="paragraph" w:styleId="Heading2">
    <w:name w:val="Heading 2"/>
    <w:basedOn w:val="Normal"/>
    <w:next w:val="Normal"/>
    <w:qFormat/>
    <w:pPr>
      <w:spacing w:before="240" w:after="180"/>
      <w:outlineLvl w:val="1"/>
    </w:pPr>
    <w:rPr>
      <w:rFonts w:ascii="SimHei" w:cs="SimHei" w:eastAsia="SimHei" w:hAnsi="SimHei"/>
      <w:b/>
      <w:bCs/>
      <w:color w:val="2E75B6"/>
      <w:sz w:val="30"/>
      <w:szCs w:val="30"/>
    </w:rPr>
  </w:style>
  <w:style w:type="paragraph" w:styleId="Heading3">
    <w:name w:val="Heading 3"/>
    <w:basedOn w:val="Normal"/>
    <w:next w:val="Normal"/>
    <w:qFormat/>
    <w:pPr>
      <w:spacing w:before="180" w:after="120"/>
      <w:outlineLvl w:val="2"/>
    </w:pPr>
    <w:rPr>
      <w:rFonts w:ascii="SimHei" w:cs="SimHei" w:eastAsia="SimHei" w:hAnsi="SimHe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2026-02-06T00:36:56.073Z</dcterms:created>
  <dcterms:modified xsi:type="dcterms:W3CDTF">2026-02-06T00:36:56.074Z</dcterms:modified>
</cp:coreProperties>
</file>

<file path=docProps/custom.xml><?xml version="1.0" encoding="utf-8"?>
<Properties xmlns="http://schemas.openxmlformats.org/officeDocument/2006/custom-properties" xmlns:vt="http://schemas.openxmlformats.org/officeDocument/2006/docPropsVTypes"/>
</file>