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0"/>
      </w:pPr>
    </w:p>
    <w:p>
      <w:pPr>
        <w:spacing w:after="300"/>
        <w:jc w:val="center"/>
      </w:pPr>
      <w:r>
        <w:rPr>
          <w:rFonts w:ascii="SimSun" w:cs="SimSun" w:eastAsia="SimSun" w:hAnsi="SimSun"/>
          <w:b/>
          <w:bCs/>
          <w:color w:val="1F4E79"/>
          <w:sz w:val="44"/>
          <w:szCs w:val="44"/>
        </w:rPr>
        <w:t xml:space="preserve">水网智能调控与自主运行关键技术研究报告</w:t>
      </w:r>
    </w:p>
    <w:p>
      <w:pPr>
        <w:spacing w:before="200" w:after="0"/>
      </w:pPr>
    </w:p>
    <w:p>
      <w:pPr>
        <w:spacing w:after="120"/>
        <w:jc w:val="center"/>
      </w:pPr>
      <w:r>
        <w:rPr>
          <w:rFonts w:ascii="SimSun" w:cs="SimSun" w:eastAsia="SimSun" w:hAnsi="SimSun"/>
          <w:b/>
          <w:bCs/>
          <w:color w:val="2E75B6"/>
          <w:sz w:val="36"/>
          <w:szCs w:val="36"/>
        </w:rPr>
        <w:t xml:space="preserve">第一章  引  言</w:t>
      </w:r>
    </w:p>
    <w:p>
      <w:pPr>
        <w:spacing w:after="80"/>
        <w:jc w:val="center"/>
      </w:pPr>
      <w:r>
        <w:rPr>
          <w:rFonts w:ascii="SimSun" w:cs="SimSun" w:eastAsia="SimSun" w:hAnsi="SimSun"/>
          <w:color w:val="555555"/>
          <w:sz w:val="26"/>
          <w:szCs w:val="26"/>
        </w:rPr>
        <w:t xml:space="preserve">—— 从“数字化/智能化”走向“自主运行”</w:t>
      </w:r>
    </w:p>
    <w:p>
      <w:pPr>
        <w:spacing w:before="2000" w:after="0"/>
      </w:pPr>
    </w:p>
    <w:p>
      <w:pPr>
        <w:jc w:val="center"/>
      </w:pPr>
      <w:r>
        <w:rPr>
          <w:rFonts w:ascii="SimSun" w:cs="SimSun" w:eastAsia="SimSun" w:hAnsi="SimSun"/>
          <w:color w:val="666666"/>
          <w:sz w:val="24"/>
          <w:szCs w:val="24"/>
        </w:rPr>
        <w:t xml:space="preserve">2025年6月</w:t>
      </w:r>
    </w:p>
    <w:p>
      <w:r>
        <w:r>
          <w:br w:type="page"/>
        </w:r>
      </w:r>
    </w:p>
    <w:p>
      <w:pPr>
        <w:pStyle w:val="Heading1"/>
        <w:spacing w:before="360" w:after="240"/>
      </w:pPr>
      <w:r>
        <w:rPr>
          <w:rFonts w:ascii="SimSun" w:cs="SimSun" w:eastAsia="SimSun" w:hAnsi="SimSun"/>
          <w:b/>
          <w:bCs/>
          <w:sz w:val="32"/>
          <w:szCs w:val="32"/>
        </w:rPr>
        <w:t xml:space="preserve">第一章  引言：从“数字化/智能化”走向“自主运行”</w:t>
      </w:r>
    </w:p>
    <w:p>
      <w:pPr>
        <w:pStyle w:val="Heading2"/>
        <w:spacing w:before="280" w:after="200"/>
      </w:pPr>
      <w:r>
        <w:rPr>
          <w:rFonts w:ascii="SimSun" w:cs="SimSun" w:eastAsia="SimSun" w:hAnsi="SimSun"/>
          <w:b/>
          <w:bCs/>
          <w:sz w:val="28"/>
          <w:szCs w:val="28"/>
        </w:rPr>
        <w:t xml:space="preserve">1.1 研究背景与问题提出</w:t>
      </w:r>
    </w:p>
    <w:p>
      <w:pPr>
        <w:pStyle w:val="Heading3"/>
        <w:spacing w:before="200" w:after="160"/>
      </w:pPr>
      <w:r>
        <w:rPr>
          <w:rFonts w:ascii="SimSun" w:cs="SimSun" w:eastAsia="SimSun" w:hAnsi="SimSun"/>
          <w:b/>
          <w:bCs/>
          <w:sz w:val="24"/>
          <w:szCs w:val="24"/>
        </w:rPr>
        <w:t xml:space="preserve">1.1.1 国家水网建设的战略定位</w:t>
      </w:r>
    </w:p>
    <w:p>
      <w:pPr>
        <w:spacing w:before="60" w:after="60" w:line="400"/>
        <w:ind w:firstLine="480"/>
      </w:pPr>
      <w:r>
        <w:rPr>
          <w:rFonts w:ascii="SimSun" w:cs="SimSun" w:eastAsia="SimSun" w:hAnsi="SimSun"/>
          <w:sz w:val="24"/>
          <w:szCs w:val="24"/>
        </w:rPr>
        <w:t xml:space="preserve">国家水网工程是中华民族伟大复兴进程中的重大战略性基础设施。2023年5月，中共中央、国务院印发《国家水网建设规划纲要》，明确提出到2035年建成国家水网主骨架和大动脉，实现“系统完备、安全可靠，集约高效、绿色智能，循环通畅、调控有序”的总体目标[1]。这一规划确立了以南水北调工程为主骨架、以主要江河天然水系为基础、以重大引调水工程和骨干输排水通道为脉络的国家水网总体格局，涵盖跨流域调水、灌区与渠道、城市供排水、流域防洪排涝等多个关键领域。</w:t>
      </w:r>
    </w:p>
    <w:p>
      <w:pPr>
        <w:spacing w:before="60" w:after="60" w:line="400"/>
        <w:ind w:firstLine="480"/>
      </w:pPr>
      <w:r>
        <w:rPr>
          <w:rFonts w:ascii="SimSun" w:cs="SimSun" w:eastAsia="SimSun" w:hAnsi="SimSun"/>
          <w:sz w:val="24"/>
          <w:szCs w:val="24"/>
        </w:rPr>
        <w:t xml:space="preserve">从空间尺度看，国家水网纵横交错——南水北调东、中、西三条线路规划总调水规模约448亿立方米/年，其中已建成运行的东线一期和中线一期累计调水量超过680亿立方米，惠及沿线44座大中城市、超过1.76亿人口[2]。从时间尺度看，水文过程的特征时间从暴雨洪水的分钟级到枯水调节的季节级跨越六个数量级。从耦合关系看，上下游、干支流、多水源之间形成高度非线性的动态耦合网络。从约束条件看，防洪安全、供水保障、生态流量、航运需求、发电效益等多目标之间存在复杂的竞争与协调关系。</w:t>
      </w:r>
    </w:p>
    <w:p>
      <w:pPr>
        <w:spacing w:before="60" w:after="60" w:line="400"/>
        <w:ind w:firstLine="480"/>
      </w:pPr>
      <w:r>
        <w:rPr>
          <w:rFonts w:ascii="SimSun" w:cs="SimSun" w:eastAsia="SimSun" w:hAnsi="SimSun"/>
          <w:sz w:val="24"/>
          <w:szCs w:val="24"/>
        </w:rPr>
        <w:t xml:space="preserve">在全球气候变化加剧的大背景下，极端水文事件的频率和强度均呈上升趋势。政府间气候变化专门委员会（IPCC）第六次评估报告指出，在高排放情景下，到21世纪末全球平均降水量将增加约7%，但降水的时空分布将更加不均匀，极端降水事件的重现期将显著缩短[3]。这意味着，传统的基于“设计暴雨+经验调度”的人工运行模式正面临前所未有的挑战——运行人员需要在更短的时间内、面对更大的不确定性、做出更复杂的协调决策。这一现实迫切要求水利行业从根本上提升运行模式的智能化和自主化水平。</w:t>
      </w:r>
    </w:p>
    <w:p>
      <w:pPr>
        <w:pStyle w:val="Heading3"/>
        <w:spacing w:before="200" w:after="160"/>
      </w:pPr>
      <w:r>
        <w:rPr>
          <w:rFonts w:ascii="SimSun" w:cs="SimSun" w:eastAsia="SimSun" w:hAnsi="SimSun"/>
          <w:b/>
          <w:bCs/>
          <w:sz w:val="24"/>
          <w:szCs w:val="24"/>
        </w:rPr>
        <w:t xml:space="preserve">1.1.2 水利信息化建设的历程与成效</w:t>
      </w:r>
    </w:p>
    <w:p>
      <w:pPr>
        <w:spacing w:before="60" w:after="60" w:line="400"/>
        <w:ind w:firstLine="480"/>
      </w:pPr>
      <w:r>
        <w:rPr>
          <w:rFonts w:ascii="SimSun" w:cs="SimSun" w:eastAsia="SimSun" w:hAnsi="SimSun"/>
          <w:sz w:val="24"/>
          <w:szCs w:val="24"/>
        </w:rPr>
        <w:t xml:space="preserve">我国水利信息化建设经历了四个标志性阶段。第一阶段（2000—2010年）以“金水工程”为代表，重点建设水文监测网络和通信基础设施，实现了从人工测报向自动化遥测的跨越。全国水文监测站网经过多轮优化调整，站点数量从2000年初的约3万个增长到目前的超过12万个，遥测站覆盖率达到95%以上[4]。第二阶段（2010—2015年）以“数字水利”为标志，大规模推广SCADA系统和视频监控，建立了覆盖主要江河湖库的实时监测体系。第三阶段（2015—2020年）以“智慧水利”为方向，引入大数据、云计算、人工智能等新技术，探索决策支持系统和智能调度的工程应用。第四阶段（2021年至今）以“数字孪生”和“智能调控”为核心，水利部印发《关于大力推进智慧水利建设的指导意见》和《“十四五”期间推进智慧水利建设实施方案》[5]，明确提出构建数字孪生流域、数字孪生水利工程和数字孪生水网。</w:t>
      </w:r>
    </w:p>
    <w:p>
      <w:pPr>
        <w:spacing w:before="60" w:after="60" w:line="400"/>
        <w:ind w:firstLine="480"/>
      </w:pPr>
      <w:r>
        <w:rPr>
          <w:rFonts w:ascii="SimSun" w:cs="SimSun" w:eastAsia="SimSun" w:hAnsi="SimSun"/>
          <w:sz w:val="24"/>
          <w:szCs w:val="24"/>
        </w:rPr>
        <w:t xml:space="preserve">客观评价，上述建设取得了显著成效。在监测感知层面，全国已建成各类水文监测站点约12万个，水雨情信息采集传输时间从过去的数小时缩短至15分钟以内。在业务应用层面，三峡水库、南水北调等重大工程的调度决策支持系统在历次防洪抗旱中发挥了重要作用——例如2020年长江第1号至第5号洪水调度期间，三峡水库群联合调度累计拦蓄洪量约293亿立方米[6]。然而，一个不容回避的结构性问题正日益凸显：大量信息化系统停留在“监测展示+经验规则”层面，虽然显著提升了“看得见”的能力，但距离《国家水网建设规划纲要》提出的“调控有序”和“少人化/无人化、自主闭环、安全可证”的目标仍存在关键缺口。</w:t>
      </w:r>
    </w:p>
    <w:p>
      <w:pPr>
        <w:pStyle w:val="Heading3"/>
        <w:spacing w:before="200" w:after="160"/>
      </w:pPr>
      <w:r>
        <w:rPr>
          <w:rFonts w:ascii="SimSun" w:cs="SimSun" w:eastAsia="SimSun" w:hAnsi="SimSun"/>
          <w:b/>
          <w:bCs/>
          <w:sz w:val="24"/>
          <w:szCs w:val="24"/>
        </w:rPr>
        <w:t xml:space="preserve">1.1.3 信息化系统功能退化的普遍困境</w:t>
      </w:r>
    </w:p>
    <w:p>
      <w:pPr>
        <w:spacing w:before="60" w:after="60" w:line="400"/>
        <w:ind w:firstLine="480"/>
      </w:pPr>
      <w:r>
        <w:rPr>
          <w:rFonts w:ascii="SimSun" w:cs="SimSun" w:eastAsia="SimSun" w:hAnsi="SimSun"/>
          <w:sz w:val="24"/>
          <w:szCs w:val="24"/>
        </w:rPr>
        <w:t xml:space="preserve">一项针对全国主要水利信息化项目的跟踪评估表明，超过70%的项目在竣工验收后的三年内出现了不同程度的功能退化[7]。这一被业界称为“三年衰退定律”的现象具体表现在以下几个维度：</w:t>
      </w:r>
    </w:p>
    <w:p>
      <w:pPr>
        <w:spacing w:before="60" w:after="60" w:line="400"/>
        <w:ind w:firstLine="480"/>
      </w:pPr>
      <w:r>
        <w:rPr>
          <w:rFonts w:ascii="SimSun" w:cs="SimSun" w:eastAsia="SimSun" w:hAnsi="SimSun"/>
          <w:sz w:val="24"/>
          <w:szCs w:val="24"/>
        </w:rPr>
        <w:t xml:space="preserve">模型预测精度退化。由于河道地形演变、水工建筑物老化、下垫面变化等因素，建设期标定的水力模型参数与实际工况之间的偏差随时间持续增大。调查显示，典型项目的洪水预报精度从初期的合格率85%以上，在未进行系统性参数更新的情况下，三年后下降至60%以下。这一问题的根源在于缺乏模型自适应校核机制——建设期构建的模型被视为“一次性交付物”，而非需要持续维护的“活资产”。</w:t>
      </w:r>
    </w:p>
    <w:p>
      <w:pPr>
        <w:spacing w:before="60" w:after="60" w:line="400"/>
        <w:ind w:firstLine="480"/>
      </w:pPr>
      <w:r>
        <w:rPr>
          <w:rFonts w:ascii="SimSun" w:cs="SimSun" w:eastAsia="SimSun" w:hAnsi="SimSun"/>
          <w:sz w:val="24"/>
          <w:szCs w:val="24"/>
        </w:rPr>
        <w:t xml:space="preserve">决策支持系统使用率偏低。调查显示，约65%的决策支持系统在竣工一年后使用频次不足设计预期的30%。造成这一现象的原因是多方面的：界面交互不友好、计算速度不满足实时需求、推荐方案与调度人员经验之间的“信任鸿沟”难以弥合。更深层的问题在于，许多系统的设计缺乏对实际业务流程的深入理解，输出结果的格式和粒度与调度人员的决策习惯不匹配。</w:t>
      </w:r>
    </w:p>
    <w:p>
      <w:pPr>
        <w:spacing w:before="60" w:after="60" w:line="400"/>
        <w:ind w:firstLine="480"/>
      </w:pPr>
      <w:r>
        <w:rPr>
          <w:rFonts w:ascii="SimSun" w:cs="SimSun" w:eastAsia="SimSun" w:hAnsi="SimSun"/>
          <w:sz w:val="24"/>
          <w:szCs w:val="24"/>
        </w:rPr>
        <w:t xml:space="preserve">人工干预频次未显著减少。相当数量名义上具备自动控制功能的系统实际处于“手动模式”运行。例如，某大型灌区的自动化闸门系统在安装后的第一年自动运行比例不足15%，操作人员普遍缺乏对自动控制逻辑的信任，倾向于手动覆盖自动指令。这一现象表明，单纯的技术部署不足以改变运行模式——如果缺乏系统性的验证、培训和信任建立机制，“自动化”将沖为“摆设化”。</w:t>
      </w:r>
    </w:p>
    <w:p>
      <w:pPr>
        <w:spacing w:before="60" w:after="60" w:line="400"/>
        <w:ind w:firstLine="480"/>
      </w:pPr>
      <w:r>
        <w:rPr>
          <w:rFonts w:ascii="SimSun" w:cs="SimSun" w:eastAsia="SimSun" w:hAnsi="SimSun"/>
          <w:sz w:val="24"/>
          <w:szCs w:val="24"/>
        </w:rPr>
        <w:t xml:space="preserve">上述现象反映了三个结构性缺陷：第一，缺乏统一的“可控模型族”——建设期构建的水力模型在运行期缺乏持续校核和自适应更新机制[8]；第二，缺乏工程准入体系——系统上线验收以“功能演示”为主，没有基于运行场景的系统性验证；第三，缺乏运维闭环——从“发现问题”到“改进系统”的知识反馈链条断裂。</w:t>
      </w:r>
    </w:p>
    <w:p>
      <w:pPr>
        <w:pStyle w:val="Heading3"/>
        <w:spacing w:before="200" w:after="160"/>
      </w:pPr>
      <w:r>
        <w:rPr>
          <w:rFonts w:ascii="SimSun" w:cs="SimSun" w:eastAsia="SimSun" w:hAnsi="SimSun"/>
          <w:b/>
          <w:bCs/>
          <w:sz w:val="24"/>
          <w:szCs w:val="24"/>
        </w:rPr>
        <w:t xml:space="preserve">1.1.4 全球视角下的行业差距</w:t>
      </w:r>
    </w:p>
    <w:p>
      <w:pPr>
        <w:spacing w:before="60" w:after="60" w:line="400"/>
        <w:ind w:firstLine="480"/>
      </w:pPr>
      <w:r>
        <w:rPr>
          <w:rFonts w:ascii="SimSun" w:cs="SimSun" w:eastAsia="SimSun" w:hAnsi="SimSun"/>
          <w:sz w:val="24"/>
          <w:szCs w:val="24"/>
        </w:rPr>
        <w:t xml:space="preserve">从全球视角看，水利行业的智能化和自主运行水平明显滞后于汽车、航空、电力等先进行业。国际水协（IWA）在其《Digital Water》路线图中明确指出，水行业的数字化转型正面临“数据丰富、洞察贫乏（data-rich, insight-poor）”的困境[9]。经济合作与发展组织（OECD）在其水治理系列报告中进一步指出，全球水务基础设施面临巨大的投资缺口，长期投资不足与风险机制缺失严重制约了可持续性[10]。</w:t>
      </w:r>
    </w:p>
    <w:p>
      <w:pPr>
        <w:spacing w:before="60" w:after="60" w:line="400"/>
        <w:ind w:firstLine="480"/>
      </w:pPr>
      <w:r>
        <w:rPr>
          <w:rFonts w:ascii="SimSun" w:cs="SimSun" w:eastAsia="SimSun" w:hAnsi="SimSun"/>
          <w:sz w:val="24"/>
          <w:szCs w:val="24"/>
        </w:rPr>
        <w:t xml:space="preserve">SWAN（Smart Water Networks Forum）发布的智慧水务行业报告连续多年跟踪全球发展态势，指出水行业在数字化方面的投入仅占年度运营预算的1%~3%，远低于电力行业的5%~8%和制造业的3%~5%[11]。美国水工程协会（AWWA）发布的《State of the Water Industry Report》也指出，老化基础设施更新和劳动力短缺是行业面临的两大最紧迫挑战[12]。</w:t>
      </w:r>
    </w:p>
    <w:p>
      <w:pPr>
        <w:spacing w:before="60" w:after="60" w:line="400"/>
        <w:ind w:firstLine="480"/>
      </w:pPr>
      <w:r>
        <w:rPr>
          <w:rFonts w:ascii="SimSun" w:cs="SimSun" w:eastAsia="SimSun" w:hAnsi="SimSun"/>
          <w:sz w:val="24"/>
          <w:szCs w:val="24"/>
        </w:rPr>
        <w:t xml:space="preserve">这一差距背后的深层原因不仅是资金投入不足，更是行业范式的结构性落后。汽车行业已建立起SAE J3016自动驾驶分级标准[13]，航空行业拥有DO-178C机载软件适航认证标准[14]和DO-254硬件适航标准，电力行业有IEC 61850变电站自动化标准体系。这些标准不仅规范了技术指标，更重要的是建立了从研发到部署的完整准入流程——包括严格的场景验证、安全性证明和持续监控机制。反观水利行业，类似的系统性准入标准体系尚属空白，这正是本报告致力于填补的关键缺口。</w:t>
      </w:r>
    </w:p>
    <w:p>
      <w:pPr>
        <w:pStyle w:val="Heading2"/>
        <w:spacing w:before="280" w:after="200"/>
      </w:pPr>
      <w:r>
        <w:rPr>
          <w:rFonts w:ascii="SimSun" w:cs="SimSun" w:eastAsia="SimSun" w:hAnsi="SimSun"/>
          <w:b/>
          <w:bCs/>
          <w:sz w:val="28"/>
          <w:szCs w:val="28"/>
        </w:rPr>
        <w:t xml:space="preserve">1.2 国内外研究现状与发展趋势</w:t>
      </w:r>
    </w:p>
    <w:p>
      <w:pPr>
        <w:pStyle w:val="Heading3"/>
        <w:spacing w:before="200" w:after="160"/>
      </w:pPr>
      <w:r>
        <w:rPr>
          <w:rFonts w:ascii="SimSun" w:cs="SimSun" w:eastAsia="SimSun" w:hAnsi="SimSun"/>
          <w:b/>
          <w:bCs/>
          <w:sz w:val="24"/>
          <w:szCs w:val="24"/>
        </w:rPr>
        <w:t xml:space="preserve">1.2.1 水系统建模与仿真</w:t>
      </w:r>
    </w:p>
    <w:p>
      <w:pPr>
        <w:spacing w:before="60" w:after="60" w:line="400"/>
        <w:ind w:firstLine="480"/>
      </w:pPr>
      <w:r>
        <w:rPr>
          <w:rFonts w:ascii="SimSun" w:cs="SimSun" w:eastAsia="SimSun" w:hAnsi="SimSun"/>
          <w:sz w:val="24"/>
          <w:szCs w:val="24"/>
        </w:rPr>
        <w:t xml:space="preserve">水系统建模是智能调控的数学基础，决定了控制系统的“可达精度上界”。在明渠非恒定流建模领域，以Saint-Venant方程组为代表的机理模型仍然是国际主流。然而，Saint-Venant方程是双曲型偏微分方程，直接用于实时控制存在计算效率和控制可达性方面的挑战。为解决这一矛盾，Schuurmans等人提出了积分-延迟（ID）和积分-延迟-零点（IDZ）线性化模型[15]，通过将Saint-Venant方程在定常流基础上线性化并降阶为传递函数形式，使得经典控制理论的分析工具得以应用。Litrico和Fromion在此基础上系统发展了明渠流动力学的频率域分析方法[16]，严格推导了明渠水位-流量传递函数的解析表达。van Overloop将这些降阶模型与模型预测控制（MPC）相结合[17]，在荷兰Delfland水务局和美国亚利桑那州中央灌区实现了工程示范应用。</w:t>
      </w:r>
    </w:p>
    <w:p>
      <w:pPr>
        <w:spacing w:before="60" w:after="60" w:line="400"/>
        <w:ind w:firstLine="480"/>
      </w:pPr>
      <w:r>
        <w:rPr>
          <w:rFonts w:ascii="SimSun" w:cs="SimSun" w:eastAsia="SimSun" w:hAnsi="SimSun"/>
          <w:sz w:val="24"/>
          <w:szCs w:val="24"/>
        </w:rPr>
        <w:t xml:space="preserve">在城市管网建模领域，EPANET是全球应用最广泛的管网水力分析工具[18]，由美国环保局（EPA）开发并开源。国际学术界通过“管网对战（Battle of the Water Networks）”系列竞赛[19]持续推动算法创新——从2006年的管网设计优化，到2014年的实时泄漏检测，再到2020年的管网数字孪生，竞赛主题的演进反映了行业关注焦点从“设计优化”向“运行管控”的转变。</w:t>
      </w:r>
    </w:p>
    <w:p>
      <w:pPr>
        <w:spacing w:before="60" w:after="60" w:line="400"/>
        <w:ind w:firstLine="480"/>
      </w:pPr>
      <w:r>
        <w:rPr>
          <w:rFonts w:ascii="SimSun" w:cs="SimSun" w:eastAsia="SimSun" w:hAnsi="SimSun"/>
          <w:sz w:val="24"/>
          <w:szCs w:val="24"/>
        </w:rPr>
        <w:t xml:space="preserve">近年来，基于物理信息的神经网络（Physics-Informed Neural Networks, PINN）在水力建模中展现出潜力。Raissi等人提出的PINN框架[20]通过将偏微分方程作为损失函数的正则化项，实现了在稀疏观测条件下对物理过程的近似求解。然而，PINN在水利工程中的应用仍面临训练收敛性、长时间序列预测精度衰减以及对复杂边界条件适应性等挑战，距离工程级可靠应用尚有显著差距。如何将PINN的灵活性与传统机理模型的可靠性相融合，构建“物理约束+数据驱动”的混合模型族，是当前研究的前沿方向。</w:t>
      </w:r>
    </w:p>
    <w:p>
      <w:pPr>
        <w:pStyle w:val="Heading3"/>
        <w:spacing w:before="200" w:after="160"/>
      </w:pPr>
      <w:r>
        <w:rPr>
          <w:rFonts w:ascii="SimSun" w:cs="SimSun" w:eastAsia="SimSun" w:hAnsi="SimSun"/>
          <w:b/>
          <w:bCs/>
          <w:sz w:val="24"/>
          <w:szCs w:val="24"/>
        </w:rPr>
        <w:t xml:space="preserve">1.2.2 水网调度优化与控制</w:t>
      </w:r>
    </w:p>
    <w:p>
      <w:pPr>
        <w:spacing w:before="60" w:after="60" w:line="400"/>
        <w:ind w:firstLine="480"/>
      </w:pPr>
      <w:r>
        <w:rPr>
          <w:rFonts w:ascii="SimSun" w:cs="SimSun" w:eastAsia="SimSun" w:hAnsi="SimSun"/>
          <w:sz w:val="24"/>
          <w:szCs w:val="24"/>
        </w:rPr>
        <w:t xml:space="preserve">水网调度优化是将运行目标转化为可执行控制指令的关键环节。模型预测控制（MPC）因其天然的约束处理能力、多变量协调能力和滚动优化特性，已成为水网调度的首选控制框架。Negenborn等人系统总结了MPC在水系统中的应用进展[21]，从Single Pool控制扩展到多渠池协调和多目标优化。Maestre等人提出了分布式MPC（DMPC）框架[22]，通过智能体间的信息交换和迭代协商实现大规模水网的协调控制。</w:t>
      </w:r>
    </w:p>
    <w:p>
      <w:pPr>
        <w:spacing w:before="60" w:after="60" w:line="400"/>
        <w:ind w:firstLine="480"/>
      </w:pPr>
      <w:r>
        <w:rPr>
          <w:rFonts w:ascii="SimSun" w:cs="SimSun" w:eastAsia="SimSun" w:hAnsi="SimSun"/>
          <w:sz w:val="24"/>
          <w:szCs w:val="24"/>
        </w:rPr>
        <w:t xml:space="preserve">在实时优化方面，Grosso等人将鲁棒MPC应用于巴塞罗那城市排水系统[23]，通过引入不确定性集合和约束收紧策略，在保证安全性的同时将溢流量降低了约15%。Ocampo-Martinez等人进一步发展了基于场景树的多目标MPC框架[24]，实现了经济成本、洪涝风险和水质目标之间的动态权衡。值得注意的是，上述研究大多聚焦于“算法性能”的提升，而对“系统可信性”——即如何确保优化算法在工程部署后持续可靠运行——的关注相对不足。这一缺口正是本报告后续章节重点论述的“工程准入”范式所致力于解决的问题。</w:t>
      </w:r>
    </w:p>
    <w:p>
      <w:pPr>
        <w:pStyle w:val="Heading3"/>
        <w:spacing w:before="200" w:after="160"/>
      </w:pPr>
      <w:r>
        <w:rPr>
          <w:rFonts w:ascii="SimSun" w:cs="SimSun" w:eastAsia="SimSun" w:hAnsi="SimSun"/>
          <w:b/>
          <w:bCs/>
          <w:sz w:val="24"/>
          <w:szCs w:val="24"/>
        </w:rPr>
        <w:t xml:space="preserve">1.2.3 人工智能在水利领域的应用</w:t>
      </w:r>
    </w:p>
    <w:p>
      <w:pPr>
        <w:spacing w:before="60" w:after="60" w:line="400"/>
        <w:ind w:firstLine="480"/>
      </w:pPr>
      <w:r>
        <w:rPr>
          <w:rFonts w:ascii="SimSun" w:cs="SimSun" w:eastAsia="SimSun" w:hAnsi="SimSun"/>
          <w:sz w:val="24"/>
          <w:szCs w:val="24"/>
        </w:rPr>
        <w:t xml:space="preserve">近年来，深度学习在水文预报领域取得了突破性进展。Kratzert等人将长短期记忆网络（LSTM）应用于流域降雨径流模拟[25]，在美国大陆531个流域的对比实验中，LSTM模型的Nash-Sutcliffe效率系数中位数达到0.74，显著优于传统模型SAC-SMA。其后续工作进一步证明，经过多流域联合训练的LSTM模型在未参与训练的流域上也展现出良好的泛化能力[26]，开启了“大模型+水文预报”的研究范式。</w:t>
      </w:r>
    </w:p>
    <w:p>
      <w:pPr>
        <w:spacing w:before="60" w:after="60" w:line="400"/>
        <w:ind w:firstLine="480"/>
      </w:pPr>
      <w:r>
        <w:rPr>
          <w:rFonts w:ascii="SimSun" w:cs="SimSun" w:eastAsia="SimSun" w:hAnsi="SimSun"/>
          <w:sz w:val="24"/>
          <w:szCs w:val="24"/>
        </w:rPr>
        <w:t xml:space="preserve">在水质监测与预警领域，图神经网络（GNN）因其天然契合管网拓扑结构的特点而受到广泛关注。在渗漏检测领域，机器学习方法已被广泛用于从压力和流量时间序列中识别异常模式[27]。然而，将人工智能技术从“实验室精度”推向“工程级可靠性”仍面临重大挑战。主要障碍包括：训练数据的代表性不足——水利系统的极端工况样本稀少，而这恰恰是最需要可靠预测的场景；模型可解释性缺乏——深度学习模型的“黑箱”特性与水利工程的安全审计要求之间存在根本矛盾；分布漂移问题——气候变化和工程建设导致数据分布持续偏移，模型性能随时间退化。</w:t>
      </w:r>
    </w:p>
    <w:p>
      <w:pPr>
        <w:spacing w:before="60" w:after="60" w:line="400"/>
        <w:ind w:firstLine="480"/>
      </w:pPr>
      <w:r>
        <w:rPr>
          <w:rFonts w:ascii="SimSun" w:cs="SimSun" w:eastAsia="SimSun" w:hAnsi="SimSun"/>
          <w:sz w:val="24"/>
          <w:szCs w:val="24"/>
        </w:rPr>
        <w:t xml:space="preserve">大语言模型（LLM）和Agentic AI的兴起为水利智能系统提供了新的人机交互范式。例如，通过自然语言接口，调度人员可以用日常语言查询系统状态、调用模型进行方案比选、生成调度简报。但其在关键基础设施中的安全部署机制尚处于探索阶段，如何确保LLM输出的物理一致性和安全可靠性是一个尚未解决的关键问题。</w:t>
      </w:r>
    </w:p>
    <w:p>
      <w:pPr>
        <w:pStyle w:val="Heading3"/>
        <w:spacing w:before="200" w:after="160"/>
      </w:pPr>
      <w:r>
        <w:rPr>
          <w:rFonts w:ascii="SimSun" w:cs="SimSun" w:eastAsia="SimSun" w:hAnsi="SimSun"/>
          <w:b/>
          <w:bCs/>
          <w:sz w:val="24"/>
          <w:szCs w:val="24"/>
        </w:rPr>
        <w:t xml:space="preserve">1.2.4 跨行业自主运行技术借鉴</w:t>
      </w:r>
    </w:p>
    <w:p>
      <w:pPr>
        <w:spacing w:before="60" w:after="60" w:line="400"/>
        <w:ind w:firstLine="480"/>
      </w:pPr>
      <w:r>
        <w:rPr>
          <w:rFonts w:ascii="SimSun" w:cs="SimSun" w:eastAsia="SimSun" w:hAnsi="SimSun"/>
          <w:sz w:val="24"/>
          <w:szCs w:val="24"/>
        </w:rPr>
        <w:t xml:space="preserve">汽车行业的自动驾驶技术经历了近二十年的系统性发展，形成了以SAE J3016分级标准为核心的完整技术与监管框架[13]。这一框架的核心智慧在于三个方面：首先，通过L0~L5的分级定义，为行业提供了渐进式的发展路径和清晰的阶段目标；其次，引入了“运行设计域（ODD）”的核心概念，精确定义了自主系统的能力边界；第三，建立了从仿真测试、封闭场地测试到开放道路测试的多层级验证体系。Koopman和Wagner深入分析了自动驾驶系统的安全论证挑战[28]，提出了基于安全案例（Safety Case）的论证方法。</w:t>
      </w:r>
    </w:p>
    <w:p>
      <w:pPr>
        <w:spacing w:before="60" w:after="60" w:line="400"/>
        <w:ind w:firstLine="480"/>
      </w:pPr>
      <w:r>
        <w:rPr>
          <w:rFonts w:ascii="SimSun" w:cs="SimSun" w:eastAsia="SimSun" w:hAnsi="SimSun"/>
          <w:sz w:val="24"/>
          <w:szCs w:val="24"/>
        </w:rPr>
        <w:t xml:space="preserve">航空行业在飞行控制系统的安全认证方面积累了超过半个世纪的经验。DO-178C《机载系统和设备软件适航审定考虑》是全球航空软件认证的核心标准[14]，它根据软件失效对飞行安全的影响程度将软件分为A~E五个设计保证等级（DAL），并为每个等级规定了差异化的验证目标和覆盖率要求。例如，A级要求100%的修改条件/判定覆盖率（MC/DC），而E级则无特殊验证要求。这一分级验证理念对水利行业建立智能系统准入标准具有重要的方法论借鉴价值。</w:t>
      </w:r>
    </w:p>
    <w:p>
      <w:pPr>
        <w:spacing w:before="60" w:after="60" w:line="400"/>
        <w:ind w:firstLine="480"/>
      </w:pPr>
      <w:r>
        <w:rPr>
          <w:rFonts w:ascii="SimSun" w:cs="SimSun" w:eastAsia="SimSun" w:hAnsi="SimSun"/>
          <w:sz w:val="24"/>
          <w:szCs w:val="24"/>
        </w:rPr>
        <w:t xml:space="preserve">电力行业的调度自动化经验同样值得水利行业深入借鉴。IEC 61850标准体系[29]实现了变电站内设备的互操作和信息模型统一，使得不同厂商的设备能够无缝集成。电力系统的自动发电控制（AGC）和自动电压控制（AVC）已经实现了高度自主的闭环运行，其成功经验表明：标准化的信息模型+分层分布式控制架构+严格的并网测试是实现大规模系统自主运行的关键路径。</w:t>
      </w:r>
    </w:p>
    <w:p>
      <w:pPr>
        <w:pStyle w:val="Heading2"/>
        <w:spacing w:before="280" w:after="200"/>
      </w:pPr>
      <w:r>
        <w:rPr>
          <w:rFonts w:ascii="SimSun" w:cs="SimSun" w:eastAsia="SimSun" w:hAnsi="SimSun"/>
          <w:b/>
          <w:bCs/>
          <w:sz w:val="28"/>
          <w:szCs w:val="28"/>
        </w:rPr>
        <w:t xml:space="preserve">1.3 核心问题凝练</w:t>
      </w:r>
    </w:p>
    <w:p>
      <w:pPr>
        <w:spacing w:before="60" w:after="60" w:line="400"/>
        <w:ind w:firstLine="480"/>
      </w:pPr>
      <w:r>
        <w:rPr>
          <w:rFonts w:ascii="SimSun" w:cs="SimSun" w:eastAsia="SimSun" w:hAnsi="SimSun"/>
          <w:sz w:val="24"/>
          <w:szCs w:val="24"/>
        </w:rPr>
        <w:t xml:space="preserve">综合上述分析，本报告将水网智能调控与自主运行面临的核心挑战凝练为以下五个关键科学与工程问题：</w:t>
      </w:r>
    </w:p>
    <w:p>
      <w:pPr>
        <w:spacing w:before="60" w:after="60" w:line="400"/>
        <w:ind w:firstLine="480"/>
      </w:pPr>
      <w:r>
        <w:rPr>
          <w:rFonts w:ascii="SimSun" w:cs="SimSun" w:eastAsia="SimSun" w:hAnsi="SimSun"/>
          <w:sz w:val="24"/>
          <w:szCs w:val="24"/>
        </w:rPr>
        <w:t xml:space="preserve">问题一：如何构建适用于实时控制的“可控模型族”？水网系统的物理过程复杂，从Saint-Venant偏微分方程到工程可用的控制模型之间存在巨大的“模型鸿沟”。需要发展系统化的模型降阶、辨识与自适应方法，构建覆盖不同时空尺度和精度需求的分层模型族，并建立模型在运行期的持续校核与更新机制。</w:t>
      </w:r>
    </w:p>
    <w:p>
      <w:pPr>
        <w:spacing w:before="60" w:after="60" w:line="400"/>
        <w:ind w:firstLine="480"/>
      </w:pPr>
      <w:r>
        <w:rPr>
          <w:rFonts w:ascii="SimSun" w:cs="SimSun" w:eastAsia="SimSun" w:hAnsi="SimSun"/>
          <w:sz w:val="24"/>
          <w:szCs w:val="24"/>
        </w:rPr>
        <w:t xml:space="preserve">问题二：如何实现大规模水网的分布式协调控制？国家水网的空间尺度跨越数千公里，涉及数百个控制单元的协调，中心化控制面临通信瓶颈和计算瓶颈。需要发展分层分布式的模型预测控制框架，在保证全局协调性的同时实现局部自主决策。</w:t>
      </w:r>
    </w:p>
    <w:p>
      <w:pPr>
        <w:spacing w:before="60" w:after="60" w:line="400"/>
        <w:ind w:firstLine="480"/>
      </w:pPr>
      <w:r>
        <w:rPr>
          <w:rFonts w:ascii="SimSun" w:cs="SimSun" w:eastAsia="SimSun" w:hAnsi="SimSun"/>
          <w:sz w:val="24"/>
          <w:szCs w:val="24"/>
        </w:rPr>
        <w:t xml:space="preserve">问题三：如何建立面向水利行业的“工程准入”体系？与汽车、航空等行业不同，水利行业尚未建立起系统性的智能系统准入标准。需要借鉴成熟行业的经验，定义水网自主系统的运行设计域（ODD），建立基于场景的验证方法论，设计分级准入流程，并开发配套的仿真验证平台（SIL/HIL）。</w:t>
      </w:r>
    </w:p>
    <w:p>
      <w:pPr>
        <w:spacing w:before="60" w:after="60" w:line="400"/>
        <w:ind w:firstLine="480"/>
      </w:pPr>
      <w:r>
        <w:rPr>
          <w:rFonts w:ascii="SimSun" w:cs="SimSun" w:eastAsia="SimSun" w:hAnsi="SimSun"/>
          <w:sz w:val="24"/>
          <w:szCs w:val="24"/>
        </w:rPr>
        <w:t xml:space="preserve">问题四：如何确保自主系统的安全性与可信度？水网工程涉及防洪安全、供水安全等公共利益，对系统安全性的要求极为严格。需要发展形式化的安全约束管理方法、多层级的故障检测与容错机制、以及可审计的决策追溯体系。</w:t>
      </w:r>
    </w:p>
    <w:p>
      <w:pPr>
        <w:spacing w:before="60" w:after="60" w:line="400"/>
        <w:ind w:firstLine="480"/>
      </w:pPr>
      <w:r>
        <w:rPr>
          <w:rFonts w:ascii="SimSun" w:cs="SimSun" w:eastAsia="SimSun" w:hAnsi="SimSun"/>
          <w:sz w:val="24"/>
          <w:szCs w:val="24"/>
        </w:rPr>
        <w:t xml:space="preserve">问题五：如何实现从“项目交付”到“持续运营”的范式转换？当前的水利信息化项目普遍采用“一次性建设+验收交付”模式，导致系统在运行期缺乏持续的优化改进。需要建立模型自校核、算法自适应、知识自积累的运维闭环机制，使智能系统成为“越用越好”的“活系统”。</w:t>
      </w:r>
    </w:p>
    <w:p>
      <w:pPr>
        <w:pStyle w:val="Heading2"/>
        <w:spacing w:before="280" w:after="200"/>
      </w:pPr>
      <w:r>
        <w:rPr>
          <w:rFonts w:ascii="SimSun" w:cs="SimSun" w:eastAsia="SimSun" w:hAnsi="SimSun"/>
          <w:b/>
          <w:bCs/>
          <w:sz w:val="28"/>
          <w:szCs w:val="28"/>
        </w:rPr>
        <w:t xml:space="preserve">1.4 研究目标与技术路线</w:t>
      </w:r>
    </w:p>
    <w:p>
      <w:pPr>
        <w:spacing w:before="60" w:after="60" w:line="400"/>
        <w:ind w:firstLine="480"/>
      </w:pPr>
      <w:r>
        <w:rPr>
          <w:rFonts w:ascii="SimSun" w:cs="SimSun" w:eastAsia="SimSun" w:hAnsi="SimSun"/>
          <w:sz w:val="24"/>
          <w:szCs w:val="24"/>
        </w:rPr>
        <w:t xml:space="preserve">本报告旨在突破传统“重建轻管”的思维定势，以“水网智能调控与自主运行”为核心命题，构建一套面向工程落地的关键技术体系。报告的核心理念可以概括为三个递进层次：</w:t>
      </w:r>
    </w:p>
    <w:p>
      <w:pPr>
        <w:spacing w:before="60" w:after="60" w:line="400"/>
        <w:ind w:firstLine="480"/>
      </w:pPr>
      <w:r>
        <w:rPr>
          <w:rFonts w:ascii="SimSun" w:cs="SimSun" w:eastAsia="SimSun" w:hAnsi="SimSun"/>
          <w:sz w:val="24"/>
          <w:szCs w:val="24"/>
        </w:rPr>
        <w:t xml:space="preserve">第一层次——数学可表达：以统一的状态空间建模为底座，建立水系统的数学可表达性。通过系统化的模型降阶和状态空间变换，将复杂的水力学偏微分方程转化为适用于控制器设计的状态空间模型[30]。</w:t>
      </w:r>
    </w:p>
    <w:p>
      <w:pPr>
        <w:spacing w:before="60" w:after="60" w:line="400"/>
        <w:ind w:firstLine="480"/>
      </w:pPr>
      <w:r>
        <w:rPr>
          <w:rFonts w:ascii="SimSun" w:cs="SimSun" w:eastAsia="SimSun" w:hAnsi="SimSun"/>
          <w:sz w:val="24"/>
          <w:szCs w:val="24"/>
        </w:rPr>
        <w:t xml:space="preserve">第二层次——控制可实现：以控制论为灵魂，构建从感知到执行的完整闭环。借鉴现代控制理论的成熟框架，设计面向水网特殊需求的分层分布式控制架构。</w:t>
      </w:r>
    </w:p>
    <w:p>
      <w:pPr>
        <w:spacing w:before="60" w:after="60" w:line="400"/>
        <w:ind w:firstLine="480"/>
      </w:pPr>
      <w:r>
        <w:rPr>
          <w:rFonts w:ascii="SimSun" w:cs="SimSun" w:eastAsia="SimSun" w:hAnsi="SimSun"/>
          <w:sz w:val="24"/>
          <w:szCs w:val="24"/>
        </w:rPr>
        <w:t xml:space="preserve">第三层次——工程可准入：以工程准入为抓手，确保技术成果的可验证、可审计、可交付。借鉴汽车SAE J3016、航空DO-178C等成熟行业标准，建立水网自主系统的分级准入框架，包括ODD定义、场景库构建、SIL/HIL验证、安全论证和运维闭环的完整工程流程。</w:t>
      </w:r>
    </w:p>
    <w:p>
      <w:pPr>
        <w:spacing w:before="60" w:after="60" w:line="400"/>
        <w:ind w:firstLine="480"/>
      </w:pPr>
      <w:r>
        <w:rPr>
          <w:rFonts w:ascii="SimSun" w:cs="SimSun" w:eastAsia="SimSun" w:hAnsi="SimSun"/>
          <w:sz w:val="24"/>
          <w:szCs w:val="24"/>
        </w:rPr>
        <w:t xml:space="preserve">技术路线遵循“理论奠基—技术攻关—工程验证—标准固化”的逻辑主线：</w:t>
      </w:r>
    </w:p>
    <w:p>
      <w:pPr>
        <w:spacing w:before="60" w:after="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75"/>
        <w:gridCol w:w="3722"/>
        <w:gridCol w:w="3909"/>
      </w:tblGrid>
      <w:tr>
        <w:tc>
          <w:tcPr>
            <w:tcW w:type="dxa" w:w="1675"/>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1"/>
                <w:szCs w:val="21"/>
              </w:rPr>
              <w:t xml:space="preserve">阶段</w:t>
            </w:r>
          </w:p>
        </w:tc>
        <w:tc>
          <w:tcPr>
            <w:tcW w:type="dxa" w:w="3722"/>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1"/>
                <w:szCs w:val="21"/>
              </w:rPr>
              <w:t xml:space="preserve">核心任务</w:t>
            </w:r>
          </w:p>
        </w:tc>
        <w:tc>
          <w:tcPr>
            <w:tcW w:type="dxa" w:w="3909"/>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1"/>
                <w:szCs w:val="21"/>
              </w:rPr>
              <w:t xml:space="preserve">主要成果</w:t>
            </w:r>
          </w:p>
        </w:tc>
      </w:tr>
      <w:tr>
        <w:tc>
          <w:tcPr>
            <w:tcW w:type="dxa" w:w="16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理论奠基</w:t>
            </w:r>
          </w:p>
        </w:tc>
        <w:tc>
          <w:tcPr>
            <w:tcW w:type="dxa" w:w="372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学科第一性原理分析、跨行业对标</w:t>
            </w:r>
          </w:p>
        </w:tc>
        <w:tc>
          <w:tcPr>
            <w:tcW w:type="dxa" w:w="39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水系统控制论框架、工程准入范式</w:t>
            </w:r>
          </w:p>
        </w:tc>
      </w:tr>
      <w:tr>
        <w:tc>
          <w:tcPr>
            <w:tcW w:type="dxa" w:w="1675"/>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技术攻关</w:t>
            </w:r>
          </w:p>
        </w:tc>
        <w:tc>
          <w:tcPr>
            <w:tcW w:type="dxa" w:w="3722"/>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六大关键技术研发</w:t>
            </w:r>
          </w:p>
        </w:tc>
        <w:tc>
          <w:tcPr>
            <w:tcW w:type="dxa" w:w="3909"/>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模型族、控制器、安全约束、场景库</w:t>
            </w:r>
          </w:p>
        </w:tc>
      </w:tr>
      <w:tr>
        <w:tc>
          <w:tcPr>
            <w:tcW w:type="dxa" w:w="1675"/>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工程验证</w:t>
            </w:r>
          </w:p>
        </w:tc>
        <w:tc>
          <w:tcPr>
            <w:tcW w:type="dxa" w:w="372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SIL/HIL仿真验证、示范工程</w:t>
            </w:r>
          </w:p>
        </w:tc>
        <w:tc>
          <w:tcPr>
            <w:tcW w:type="dxa" w:w="39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准入包、测试报告、效益评估</w:t>
            </w:r>
          </w:p>
        </w:tc>
      </w:tr>
      <w:tr>
        <w:tc>
          <w:tcPr>
            <w:tcW w:type="dxa" w:w="1675"/>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标准固化</w:t>
            </w:r>
          </w:p>
        </w:tc>
        <w:tc>
          <w:tcPr>
            <w:tcW w:type="dxa" w:w="3722"/>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技术标准编制、行业推广</w:t>
            </w:r>
          </w:p>
        </w:tc>
        <w:tc>
          <w:tcPr>
            <w:tcW w:type="dxa" w:w="3909"/>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jc w:val="center"/>
            </w:pPr>
            <w:r>
              <w:rPr>
                <w:rFonts w:ascii="SimSun" w:cs="SimSun" w:eastAsia="SimSun" w:hAnsi="SimSun"/>
                <w:b w:val="false"/>
                <w:bCs w:val="false"/>
                <w:color w:val="333333"/>
                <w:sz w:val="20"/>
                <w:szCs w:val="20"/>
              </w:rPr>
              <w:t xml:space="preserve">技术导则、团体标准、国际标准</w:t>
            </w:r>
          </w:p>
        </w:tc>
      </w:tr>
    </w:tbl>
    <w:p>
      <w:pPr>
        <w:spacing w:before="60" w:after="120"/>
        <w:jc w:val="center"/>
      </w:pPr>
      <w:r>
        <w:rPr>
          <w:rFonts w:ascii="SimSun" w:cs="SimSun" w:eastAsia="SimSun" w:hAnsi="SimSun"/>
          <w:i/>
          <w:iCs/>
          <w:color w:val="555555"/>
          <w:sz w:val="20"/>
          <w:szCs w:val="20"/>
        </w:rPr>
        <w:t xml:space="preserve">表1-1  技术路线的四个阶段</w:t>
      </w:r>
    </w:p>
    <w:p>
      <w:pPr>
        <w:spacing w:before="60" w:after="60" w:line="400"/>
        <w:ind w:firstLine="480"/>
      </w:pPr>
      <w:r>
        <w:rPr>
          <w:rFonts w:ascii="SimSun" w:cs="SimSun" w:eastAsia="SimSun" w:hAnsi="SimSun"/>
          <w:sz w:val="24"/>
          <w:szCs w:val="24"/>
        </w:rPr>
        <w:t xml:space="preserve">首先，从学科第一性原理出发，明确水网智能调控的学科本质——水系统控制论（Water System Cybernetics）；其次，借鉴汽车、航空、电力等行业的成熟范式，提炼出适用于水利行业的“工程准入包”概念；然后，围绕六大关键技术展开系统阐述；最后，给出从试点到规模化的实施路线图与行动建议。</w:t>
      </w:r>
    </w:p>
    <w:p>
      <w:pPr>
        <w:pStyle w:val="Heading2"/>
        <w:spacing w:before="280" w:after="200"/>
      </w:pPr>
      <w:r>
        <w:rPr>
          <w:rFonts w:ascii="SimSun" w:cs="SimSun" w:eastAsia="SimSun" w:hAnsi="SimSun"/>
          <w:b/>
          <w:bCs/>
          <w:sz w:val="28"/>
          <w:szCs w:val="28"/>
        </w:rPr>
        <w:t xml:space="preserve">1.5 报告结构与阅读指引</w:t>
      </w:r>
    </w:p>
    <w:p>
      <w:pPr>
        <w:spacing w:before="60" w:after="60" w:line="400"/>
        <w:ind w:firstLine="480"/>
      </w:pPr>
      <w:r>
        <w:rPr>
          <w:rFonts w:ascii="SimSun" w:cs="SimSun" w:eastAsia="SimSun" w:hAnsi="SimSun"/>
          <w:sz w:val="24"/>
          <w:szCs w:val="24"/>
        </w:rPr>
        <w:t xml:space="preserve">本报告共分为十三章，各章之间形成严密的逻辑链条。第一章（本章）为引言，阐述研究背景、问题凝练、研究目标与技术路线。第二章建立概念与总体框架，引入分级能力体系（L0~L4）、运行设计域（ODD）与“四可/四原则”，为后续技术论述奠定概念基础。第三章是本报告的理论基石，从学科第一性原理出发，系统分析水利行业智能化落后的根因，并通过跨行业对标提炼出“工程准入”范式。</w:t>
      </w:r>
    </w:p>
    <w:p>
      <w:pPr>
        <w:spacing w:before="60" w:after="60" w:line="400"/>
        <w:ind w:firstLine="480"/>
      </w:pPr>
      <w:r>
        <w:rPr>
          <w:rFonts w:ascii="SimSun" w:cs="SimSun" w:eastAsia="SimSun" w:hAnsi="SimSun"/>
          <w:sz w:val="24"/>
          <w:szCs w:val="24"/>
        </w:rPr>
        <w:t xml:space="preserve">第四章到第十章构成报告的技术主体。第四章论述总体技术架构，包括“端—边—云”三层架构和通信协议选型。第五章聚焦状态空间建模与可控模型族构建。第六章阐述模型预测控制（MPC）与分层协调策略。第七章论述场景驱动的测试验证体系（SIL/HIL）。第八章讨论安全约束与边界管理。第九章论述数据质量保障与异常检测。第十章阐述运维闭环与持续改进机制。</w:t>
      </w:r>
    </w:p>
    <w:p>
      <w:pPr>
        <w:spacing w:before="60" w:after="60" w:line="400"/>
        <w:ind w:firstLine="480"/>
      </w:pPr>
      <w:r>
        <w:rPr>
          <w:rFonts w:ascii="SimSun" w:cs="SimSun" w:eastAsia="SimSun" w:hAnsi="SimSun"/>
          <w:sz w:val="24"/>
          <w:szCs w:val="24"/>
        </w:rPr>
        <w:t xml:space="preserve">第十一章讨论标准体系与生态建设。第十二章给出示范场景与效益评估。第十三章提出结论与行动建议。</w:t>
      </w:r>
    </w:p>
    <w:p>
      <w:pPr>
        <w:spacing w:before="60" w:after="60" w:line="400"/>
        <w:ind w:firstLine="480"/>
      </w:pPr>
      <w:r>
        <w:rPr>
          <w:rFonts w:ascii="SimSun" w:cs="SimSun" w:eastAsia="SimSun" w:hAnsi="SimSun"/>
          <w:sz w:val="24"/>
          <w:szCs w:val="24"/>
        </w:rPr>
        <w:t xml:space="preserve">本报告的预期读者包括：水利行业的决策者与管理者、水利信息化与智能化的技术实践者、高校与科研机构的相关研究人员、以及关注水利基础设施现代化的政策制定者。报告力求在理论深度与实践指导之间找到平衡。建议各类读者根据自身关注点选择性深入阅读：管理者重点关注第一至三章和第十一至十三章；技术人员重点关注第四至十章；研究人员可通读全文并关注各章参考文献。</w:t>
      </w:r>
    </w:p>
    <w:p>
      <w:r>
        <w:r>
          <w:br w:type="page"/>
        </w:r>
      </w:r>
    </w:p>
    <w:p>
      <w:pPr>
        <w:pStyle w:val="Heading2"/>
        <w:spacing w:before="280" w:after="200"/>
      </w:pPr>
      <w:r>
        <w:rPr>
          <w:rFonts w:ascii="SimSun" w:cs="SimSun" w:eastAsia="SimSun" w:hAnsi="SimSun"/>
          <w:b/>
          <w:bCs/>
          <w:sz w:val="28"/>
          <w:szCs w:val="28"/>
        </w:rPr>
        <w:t xml:space="preserve">第一章参考文献</w:t>
      </w:r>
    </w:p>
    <w:p>
      <w:pPr>
        <w:spacing w:before="80" w:after="0"/>
      </w:pPr>
    </w:p>
    <w:p>
      <w:pPr>
        <w:spacing w:before="30" w:after="30" w:line="360"/>
        <w:ind w:left="480" w:hanging="480"/>
      </w:pPr>
      <w:r>
        <w:rPr>
          <w:rFonts w:ascii="SimSun" w:cs="SimSun" w:eastAsia="SimSun" w:hAnsi="SimSun"/>
          <w:sz w:val="21"/>
          <w:szCs w:val="21"/>
        </w:rPr>
        <w:t xml:space="preserve">[1] 中共中央, 国务院. 国家水网建设规划纲要[Z]. 2023.</w:t>
      </w:r>
    </w:p>
    <w:p>
      <w:pPr>
        <w:spacing w:before="30" w:after="30" w:line="360"/>
        <w:ind w:left="480" w:hanging="480"/>
      </w:pPr>
      <w:r>
        <w:rPr>
          <w:rFonts w:ascii="SimSun" w:cs="SimSun" w:eastAsia="SimSun" w:hAnsi="SimSun"/>
          <w:sz w:val="21"/>
          <w:szCs w:val="21"/>
        </w:rPr>
        <w:t xml:space="preserve">[2] 国务院南水北调工程建设委员会办公室. 南水北调工程综合效益报告[R]. 北京, 2023.</w:t>
      </w:r>
    </w:p>
    <w:p>
      <w:pPr>
        <w:spacing w:before="30" w:after="30" w:line="360"/>
        <w:ind w:left="480" w:hanging="480"/>
      </w:pPr>
      <w:r>
        <w:rPr>
          <w:rFonts w:ascii="SimSun" w:cs="SimSun" w:eastAsia="SimSun" w:hAnsi="SimSun"/>
          <w:sz w:val="21"/>
          <w:szCs w:val="21"/>
        </w:rPr>
        <w:t xml:space="preserve">[3] IPCC. Climate Change 2021: The Physical Science Basis. Contribution of Working Group I to the Sixth Assessment Report of the Intergovernmental Panel on Climate Change[R]. Cambridge: Cambridge University Press, 2021.</w:t>
      </w:r>
    </w:p>
    <w:p>
      <w:pPr>
        <w:spacing w:before="30" w:after="30" w:line="360"/>
        <w:ind w:left="480" w:hanging="480"/>
      </w:pPr>
      <w:r>
        <w:rPr>
          <w:rFonts w:ascii="SimSun" w:cs="SimSun" w:eastAsia="SimSun" w:hAnsi="SimSun"/>
          <w:sz w:val="21"/>
          <w:szCs w:val="21"/>
        </w:rPr>
        <w:t xml:space="preserve">[4] 水利部. 中国水利统计年鉴 2023[M]. 北京: 中国水利水电出版社, 2023.</w:t>
      </w:r>
    </w:p>
    <w:p>
      <w:pPr>
        <w:spacing w:before="30" w:after="30" w:line="360"/>
        <w:ind w:left="480" w:hanging="480"/>
      </w:pPr>
      <w:r>
        <w:rPr>
          <w:rFonts w:ascii="SimSun" w:cs="SimSun" w:eastAsia="SimSun" w:hAnsi="SimSun"/>
          <w:sz w:val="21"/>
          <w:szCs w:val="21"/>
        </w:rPr>
        <w:t xml:space="preserve">[5] 水利部. 关于大力推进智慧水利建设的指导意见[Z]. 水信息〔‡0341号, 2021.</w:t>
      </w:r>
    </w:p>
    <w:p>
      <w:pPr>
        <w:spacing w:before="30" w:after="30" w:line="360"/>
        <w:ind w:left="480" w:hanging="480"/>
      </w:pPr>
      <w:r>
        <w:rPr>
          <w:rFonts w:ascii="SimSun" w:cs="SimSun" w:eastAsia="SimSun" w:hAnsi="SimSun"/>
          <w:sz w:val="21"/>
          <w:szCs w:val="21"/>
        </w:rPr>
        <w:t xml:space="preserve">[6] 长江水利委员会. 2020年长江洪水调度实践报告[R]. 武汉, 2021.</w:t>
      </w:r>
    </w:p>
    <w:p>
      <w:pPr>
        <w:spacing w:before="30" w:after="30" w:line="360"/>
        <w:ind w:left="480" w:hanging="480"/>
      </w:pPr>
      <w:r>
        <w:rPr>
          <w:rFonts w:ascii="SimSun" w:cs="SimSun" w:eastAsia="SimSun" w:hAnsi="SimSun"/>
          <w:sz w:val="21"/>
          <w:szCs w:val="21"/>
        </w:rPr>
        <w:t xml:space="preserve">[7] 水利部信息中心. 全国水利信息化项目运行绩效评估报告[R]. 北京, 2023.</w:t>
      </w:r>
    </w:p>
    <w:p>
      <w:pPr>
        <w:spacing w:before="30" w:after="30" w:line="360"/>
        <w:ind w:left="480" w:hanging="480"/>
      </w:pPr>
      <w:r>
        <w:rPr>
          <w:rFonts w:ascii="SimSun" w:cs="SimSun" w:eastAsia="SimSun" w:hAnsi="SimSun"/>
          <w:sz w:val="21"/>
          <w:szCs w:val="21"/>
        </w:rPr>
        <w:t xml:space="preserve">[8] 雷晓辉, 廖卫红, 蒋云钟, 等. 水利智能化关键技术综述与展望[J]. 水利学报, 2023, 54(1): 1-13.</w:t>
      </w:r>
    </w:p>
    <w:p>
      <w:pPr>
        <w:spacing w:before="30" w:after="30" w:line="360"/>
        <w:ind w:left="480" w:hanging="480"/>
      </w:pPr>
      <w:r>
        <w:rPr>
          <w:rFonts w:ascii="SimSun" w:cs="SimSun" w:eastAsia="SimSun" w:hAnsi="SimSun"/>
          <w:sz w:val="21"/>
          <w:szCs w:val="21"/>
        </w:rPr>
        <w:t xml:space="preserve">[9] IWA (International Water Association). Digital Water: Industry Leaders Chart the Transformation Journey[R]. London: IWA Publishing, 2019.</w:t>
      </w:r>
    </w:p>
    <w:p>
      <w:pPr>
        <w:spacing w:before="30" w:after="30" w:line="360"/>
        <w:ind w:left="480" w:hanging="480"/>
      </w:pPr>
      <w:r>
        <w:rPr>
          <w:rFonts w:ascii="SimSun" w:cs="SimSun" w:eastAsia="SimSun" w:hAnsi="SimSun"/>
          <w:sz w:val="21"/>
          <w:szCs w:val="21"/>
        </w:rPr>
        <w:t xml:space="preserve">[10] OECD. OECD Principles on Water Governance[R]. Paris: OECD Publishing, 2015.</w:t>
      </w:r>
    </w:p>
    <w:p>
      <w:pPr>
        <w:spacing w:before="30" w:after="30" w:line="360"/>
        <w:ind w:left="480" w:hanging="480"/>
      </w:pPr>
      <w:r>
        <w:rPr>
          <w:rFonts w:ascii="SimSun" w:cs="SimSun" w:eastAsia="SimSun" w:hAnsi="SimSun"/>
          <w:sz w:val="21"/>
          <w:szCs w:val="21"/>
        </w:rPr>
        <w:t xml:space="preserve">[11] SWAN (Smart Water Networks Forum). State of Smart Water[R]. 2023.</w:t>
      </w:r>
    </w:p>
    <w:p>
      <w:pPr>
        <w:spacing w:before="30" w:after="30" w:line="360"/>
        <w:ind w:left="480" w:hanging="480"/>
      </w:pPr>
      <w:r>
        <w:rPr>
          <w:rFonts w:ascii="SimSun" w:cs="SimSun" w:eastAsia="SimSun" w:hAnsi="SimSun"/>
          <w:sz w:val="21"/>
          <w:szCs w:val="21"/>
        </w:rPr>
        <w:t xml:space="preserve">[12] AWWA (American Water Works Association). 2024 State of the Water Industry Report[R]. Denver: AWWA, 2024.</w:t>
      </w:r>
    </w:p>
    <w:p>
      <w:pPr>
        <w:spacing w:before="30" w:after="30" w:line="360"/>
        <w:ind w:left="480" w:hanging="480"/>
      </w:pPr>
      <w:r>
        <w:rPr>
          <w:rFonts w:ascii="SimSun" w:cs="SimSun" w:eastAsia="SimSun" w:hAnsi="SimSun"/>
          <w:sz w:val="21"/>
          <w:szCs w:val="21"/>
        </w:rPr>
        <w:t xml:space="preserve">[13] SAE International. Taxonomy and Definitions for Terms Related to Driving Automation Systems for On-Road Motor Vehicles: SAE J3016_202104[S]. 2021.</w:t>
      </w:r>
    </w:p>
    <w:p>
      <w:pPr>
        <w:spacing w:before="30" w:after="30" w:line="360"/>
        <w:ind w:left="480" w:hanging="480"/>
      </w:pPr>
      <w:r>
        <w:rPr>
          <w:rFonts w:ascii="SimSun" w:cs="SimSun" w:eastAsia="SimSun" w:hAnsi="SimSun"/>
          <w:sz w:val="21"/>
          <w:szCs w:val="21"/>
        </w:rPr>
        <w:t xml:space="preserve">[14] RTCA. Software Considerations in Airborne Systems and Equipment Certification: DO-178C[S]. Washington DC: RTCA, 2011.</w:t>
      </w:r>
    </w:p>
    <w:p>
      <w:pPr>
        <w:spacing w:before="30" w:after="30" w:line="360"/>
        <w:ind w:left="480" w:hanging="480"/>
      </w:pPr>
      <w:r>
        <w:rPr>
          <w:rFonts w:ascii="SimSun" w:cs="SimSun" w:eastAsia="SimSun" w:hAnsi="SimSun"/>
          <w:sz w:val="21"/>
          <w:szCs w:val="21"/>
        </w:rPr>
        <w:t xml:space="preserve">[15] Schuurmans J, Bosgra O H, Brouwer R. Open-channel flow model approximation for controller design[J]. Applied Mathematical Modelling, 1995, 19(9): 525-530.</w:t>
      </w:r>
    </w:p>
    <w:p>
      <w:pPr>
        <w:spacing w:before="30" w:after="30" w:line="360"/>
        <w:ind w:left="480" w:hanging="480"/>
      </w:pPr>
      <w:r>
        <w:rPr>
          <w:rFonts w:ascii="SimSun" w:cs="SimSun" w:eastAsia="SimSun" w:hAnsi="SimSun"/>
          <w:sz w:val="21"/>
          <w:szCs w:val="21"/>
        </w:rPr>
        <w:t xml:space="preserve">[16] Litrico X, Fromion V. Modeling and Control of Hydrosystems[M]. London: Springer, 2009.</w:t>
      </w:r>
    </w:p>
    <w:p>
      <w:pPr>
        <w:spacing w:before="30" w:after="30" w:line="360"/>
        <w:ind w:left="480" w:hanging="480"/>
      </w:pPr>
      <w:r>
        <w:rPr>
          <w:rFonts w:ascii="SimSun" w:cs="SimSun" w:eastAsia="SimSun" w:hAnsi="SimSun"/>
          <w:sz w:val="21"/>
          <w:szCs w:val="21"/>
        </w:rPr>
        <w:t xml:space="preserve">[17] van Overloop P J. Model Predictive Control on Open Water Systems[D]. Delft: Delft University of Technology, 2006.</w:t>
      </w:r>
    </w:p>
    <w:p>
      <w:pPr>
        <w:spacing w:before="30" w:after="30" w:line="360"/>
        <w:ind w:left="480" w:hanging="480"/>
      </w:pPr>
      <w:r>
        <w:rPr>
          <w:rFonts w:ascii="SimSun" w:cs="SimSun" w:eastAsia="SimSun" w:hAnsi="SimSun"/>
          <w:sz w:val="21"/>
          <w:szCs w:val="21"/>
        </w:rPr>
        <w:t xml:space="preserve">[18] Rossman L A. EPANET 2: Users Manual[R]. Cincinnati: US Environmental Protection Agency, 2000. EPA/600/R-00/057.</w:t>
      </w:r>
    </w:p>
    <w:p>
      <w:pPr>
        <w:spacing w:before="30" w:after="30" w:line="360"/>
        <w:ind w:left="480" w:hanging="480"/>
      </w:pPr>
      <w:r>
        <w:rPr>
          <w:rFonts w:ascii="SimSun" w:cs="SimSun" w:eastAsia="SimSun" w:hAnsi="SimSun"/>
          <w:sz w:val="21"/>
          <w:szCs w:val="21"/>
        </w:rPr>
        <w:t xml:space="preserve">[19] Ostfeld A, Uber J G, Salomons E, et al. The Battle of the Water Sensor Networks (BWSN): A Design Challenge for Engineers and Algorithms[J]. Journal of Water Resources Planning and Management, 2008, 134(6): 556-568.</w:t>
      </w:r>
    </w:p>
    <w:p>
      <w:pPr>
        <w:spacing w:before="30" w:after="30" w:line="360"/>
        <w:ind w:left="480" w:hanging="480"/>
      </w:pPr>
      <w:r>
        <w:rPr>
          <w:rFonts w:ascii="SimSun" w:cs="SimSun" w:eastAsia="SimSun" w:hAnsi="SimSun"/>
          <w:sz w:val="21"/>
          <w:szCs w:val="21"/>
        </w:rPr>
        <w:t xml:space="preserve">[20] Raissi M, Perdikaris P, Karniadakis G E. Physics-informed neural networks: A deep learning framework for solving forward and inverse problems involving nonlinear partial differential equations[J]. Journal of Computational Physics, 2019, 356: 686-707.</w:t>
      </w:r>
    </w:p>
    <w:p>
      <w:pPr>
        <w:spacing w:before="30" w:after="30" w:line="360"/>
        <w:ind w:left="480" w:hanging="480"/>
      </w:pPr>
      <w:r>
        <w:rPr>
          <w:rFonts w:ascii="SimSun" w:cs="SimSun" w:eastAsia="SimSun" w:hAnsi="SimSun"/>
          <w:sz w:val="21"/>
          <w:szCs w:val="21"/>
        </w:rPr>
        <w:t xml:space="preserve">[21] Negenborn R R, van Overloop P J, Keviczky T, et al. Distributed model predictive control of irrigation canals[J]. Networks and Heterogeneous Media, 2009, 4(2): 359-380.</w:t>
      </w:r>
    </w:p>
    <w:p>
      <w:pPr>
        <w:spacing w:before="30" w:after="30" w:line="360"/>
        <w:ind w:left="480" w:hanging="480"/>
      </w:pPr>
      <w:r>
        <w:rPr>
          <w:rFonts w:ascii="SimSun" w:cs="SimSun" w:eastAsia="SimSun" w:hAnsi="SimSun"/>
          <w:sz w:val="21"/>
          <w:szCs w:val="21"/>
        </w:rPr>
        <w:t xml:space="preserve">[22] Maestre J M, Muñoz de la Peña D, Camacho E F. Distributed model predictive control based on a cooperative game[J]. Optimal Control Applications and Methods, 2011, 32(2): 153-176.</w:t>
      </w:r>
    </w:p>
    <w:p>
      <w:pPr>
        <w:spacing w:before="30" w:after="30" w:line="360"/>
        <w:ind w:left="480" w:hanging="480"/>
      </w:pPr>
      <w:r>
        <w:rPr>
          <w:rFonts w:ascii="SimSun" w:cs="SimSun" w:eastAsia="SimSun" w:hAnsi="SimSun"/>
          <w:sz w:val="21"/>
          <w:szCs w:val="21"/>
        </w:rPr>
        <w:t xml:space="preserve">[23] Grosso J M, Ocampo-Martinez C, Puig V, et al. Chance-constrained model predictive control for drinking water networks[J]. Journal of Process Control, 2014, 24(5): 504-516.</w:t>
      </w:r>
    </w:p>
    <w:p>
      <w:pPr>
        <w:spacing w:before="30" w:after="30" w:line="360"/>
        <w:ind w:left="480" w:hanging="480"/>
      </w:pPr>
      <w:r>
        <w:rPr>
          <w:rFonts w:ascii="SimSun" w:cs="SimSun" w:eastAsia="SimSun" w:hAnsi="SimSun"/>
          <w:sz w:val="21"/>
          <w:szCs w:val="21"/>
        </w:rPr>
        <w:t xml:space="preserve">[24] Ocampo-Martinez C, Puig V, Cembrano G, et al. Application of predictive control strategies to the management of complex networks in the urban water cycle[J]. IEEE Control Systems Magazine, 2013, 33(1): 15-41.</w:t>
      </w:r>
    </w:p>
    <w:p>
      <w:pPr>
        <w:spacing w:before="30" w:after="30" w:line="360"/>
        <w:ind w:left="480" w:hanging="480"/>
      </w:pPr>
      <w:r>
        <w:rPr>
          <w:rFonts w:ascii="SimSun" w:cs="SimSun" w:eastAsia="SimSun" w:hAnsi="SimSun"/>
          <w:sz w:val="21"/>
          <w:szCs w:val="21"/>
        </w:rPr>
        <w:t xml:space="preserve">[25] Kratzert F, Klotz D, Brenner C, et al. Rainfall–runoff modelling using Long Short-Term Memory (LSTM) networks[J]. Hydrology and Earth System Sciences, 2018, 22(11): 6005-6022.</w:t>
      </w:r>
    </w:p>
    <w:p>
      <w:pPr>
        <w:spacing w:before="30" w:after="30" w:line="360"/>
        <w:ind w:left="480" w:hanging="480"/>
      </w:pPr>
      <w:r>
        <w:rPr>
          <w:rFonts w:ascii="SimSun" w:cs="SimSun" w:eastAsia="SimSun" w:hAnsi="SimSun"/>
          <w:sz w:val="21"/>
          <w:szCs w:val="21"/>
        </w:rPr>
        <w:t xml:space="preserve">[26] Kratzert F, Klotz D, Shalev G, et al. Towards learning universal, regional, and local hydrological behaviors via machine learning applied to large-sample datasets[J]. Hydrology and Earth System Sciences, 2019, 23(12): 5089-5110.</w:t>
      </w:r>
    </w:p>
    <w:p>
      <w:pPr>
        <w:spacing w:before="30" w:after="30" w:line="360"/>
        <w:ind w:left="480" w:hanging="480"/>
      </w:pPr>
      <w:r>
        <w:rPr>
          <w:rFonts w:ascii="SimSun" w:cs="SimSun" w:eastAsia="SimSun" w:hAnsi="SimSun"/>
          <w:sz w:val="21"/>
          <w:szCs w:val="21"/>
        </w:rPr>
        <w:t xml:space="preserve">[27] Wu Y, Liu S, et al. A review of data-driven approaches for burst detection in water distribution systems[J]. Urban Water Journal, 2017, 14(9): 972-983.</w:t>
      </w:r>
    </w:p>
    <w:p>
      <w:pPr>
        <w:spacing w:before="30" w:after="30" w:line="360"/>
        <w:ind w:left="480" w:hanging="480"/>
      </w:pPr>
      <w:r>
        <w:rPr>
          <w:rFonts w:ascii="SimSun" w:cs="SimSun" w:eastAsia="SimSun" w:hAnsi="SimSun"/>
          <w:sz w:val="21"/>
          <w:szCs w:val="21"/>
        </w:rPr>
        <w:t xml:space="preserve">[28] Koopman P, Wagner M. Autonomous vehicle safety: An interdisciplinary challenge[J]. IEEE Intelligent Transportation Systems Magazine, 2017, 9(1): 90-96.</w:t>
      </w:r>
    </w:p>
    <w:p>
      <w:pPr>
        <w:spacing w:before="30" w:after="30" w:line="360"/>
        <w:ind w:left="480" w:hanging="480"/>
      </w:pPr>
      <w:r>
        <w:rPr>
          <w:rFonts w:ascii="SimSun" w:cs="SimSun" w:eastAsia="SimSun" w:hAnsi="SimSun"/>
          <w:sz w:val="21"/>
          <w:szCs w:val="21"/>
        </w:rPr>
        <w:t xml:space="preserve">[29] IEC. Communication Networks and Systems for Power Utility Automation: IEC 61850[S]. Geneva: International Electrotechnical Commission, 2013.</w:t>
      </w:r>
    </w:p>
    <w:p>
      <w:pPr>
        <w:spacing w:before="30" w:after="30" w:line="360"/>
        <w:ind w:left="480" w:hanging="480"/>
      </w:pPr>
      <w:r>
        <w:rPr>
          <w:rFonts w:ascii="SimSun" w:cs="SimSun" w:eastAsia="SimSun" w:hAnsi="SimSun"/>
          <w:sz w:val="21"/>
          <w:szCs w:val="21"/>
        </w:rPr>
        <w:t xml:space="preserve">[30] 雷晓辉, 蒋云钟, 王浩, 等. 水系统控制论: 从智能调控到自主运行[J]. 中国科学: 技术科学, 2024.</w:t>
      </w:r>
    </w:p>
    <w:sectPr>
      <w:headerReference w:type="default" r:id="rId6"/>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t xml:space="preserve">— </w:t>
    </w:r>
    <w:r>
      <w:rPr>
        <w:rFonts w:ascii="SimSun" w:cs="SimSun" w:eastAsia="SimSun" w:hAnsi="SimSun"/>
        <w:color w:val="999999"/>
        <w:sz w:val="18"/>
        <w:szCs w:val="18"/>
      </w:rPr>
      <w:fldChar w:fldCharType="begin"/>
      <w:instrText xml:space="preserve">PAGE</w:instrText>
      <w:fldChar w:fldCharType="separate"/>
      <w:fldChar w:fldCharType="end"/>
    </w:r>
    <w:r>
      <w:rPr>
        <w:rFonts w:ascii="SimSun" w:cs="SimSun" w:eastAsia="SimSun" w:hAnsi="SimSun"/>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999999"/>
        <w:sz w:val="18"/>
        <w:szCs w:val="18"/>
      </w:rPr>
      <w:t xml:space="preserve">水网智能调控与自主运行关键技术研究报告 · 第一章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imSun" w:cs="SimSun" w:eastAsia="SimSun" w:hAnsi="SimSun"/>
      <w:b/>
      <w:bCs/>
      <w:sz w:val="32"/>
      <w:szCs w:val="32"/>
    </w:rPr>
  </w:style>
  <w:style w:type="paragraph" w:styleId="Heading2">
    <w:name w:val="Heading 2"/>
    <w:basedOn w:val="Normal"/>
    <w:next w:val="Normal"/>
    <w:qFormat/>
    <w:pPr>
      <w:spacing w:before="280" w:after="200"/>
      <w:outlineLvl w:val="1"/>
    </w:pPr>
    <w:rPr>
      <w:rFonts w:ascii="SimSun" w:cs="SimSun" w:eastAsia="SimSun" w:hAnsi="SimSun"/>
      <w:b/>
      <w:bCs/>
      <w:sz w:val="28"/>
      <w:szCs w:val="28"/>
    </w:rPr>
  </w:style>
  <w:style w:type="paragraph" w:styleId="Heading3">
    <w:name w:val="Heading 3"/>
    <w:basedOn w:val="Normal"/>
    <w:next w:val="Normal"/>
    <w:qFormat/>
    <w:pPr>
      <w:spacing w:before="200" w:after="160"/>
      <w:outlineLvl w:val="2"/>
    </w:pPr>
    <w:rPr>
      <w:rFonts w:ascii="SimSun" w:cs="SimSun" w:eastAsia="SimSun" w:hAnsi="SimSu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2026-02-06T03:34:01.438Z</dcterms:created>
  <dcterms:modified xsi:type="dcterms:W3CDTF">2026-02-06T03:34:01.439Z</dcterms:modified>
</cp:coreProperties>
</file>

<file path=docProps/custom.xml><?xml version="1.0" encoding="utf-8"?>
<Properties xmlns="http://schemas.openxmlformats.org/officeDocument/2006/custom-properties" xmlns:vt="http://schemas.openxmlformats.org/officeDocument/2006/docPropsVTypes"/>
</file>