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left"/>
      </w:pPr>
      <w:r>
        <w:rPr>
          <w:rFonts w:ascii="SimSun" w:hAnsi="SimSun" w:eastAsia="SimSun"/>
          <w:b/>
          <w:sz w:val="32"/>
        </w:rPr>
        <w:t>第七章  关键技术三：分层分布式优化调度与控制</w:t>
      </w:r>
    </w:p>
    <w:p>
      <w:pPr>
        <w:spacing w:line="400" w:lineRule="exact" w:before="60" w:after="60"/>
        <w:ind w:firstLine="482"/>
      </w:pPr>
      <w:r>
        <w:rPr>
          <w:rFonts w:ascii="SimSun" w:hAnsi="SimSun" w:eastAsia="SimSun"/>
          <w:b w:val="0"/>
          <w:sz w:val="24"/>
        </w:rPr>
        <w:t>—— MPC/DMPC/混合控制体系</w:t>
      </w:r>
    </w:p>
    <w:p>
      <w:pPr>
        <w:spacing w:before="280" w:after="200"/>
        <w:jc w:val="left"/>
      </w:pPr>
      <w:r>
        <w:rPr>
          <w:rFonts w:ascii="SimSun" w:hAnsi="SimSun" w:eastAsia="SimSun"/>
          <w:b/>
          <w:sz w:val="28"/>
        </w:rPr>
        <w:t>7.1  水网多尺度控制需求与分层架构设计</w:t>
      </w:r>
    </w:p>
    <w:p>
      <w:pPr>
        <w:spacing w:line="400" w:lineRule="exact" w:before="60" w:after="60"/>
        <w:ind w:firstLine="482"/>
      </w:pPr>
      <w:r>
        <w:rPr>
          <w:rFonts w:ascii="SimSun" w:hAnsi="SimSun" w:eastAsia="SimSun"/>
          <w:b w:val="0"/>
          <w:sz w:val="24"/>
        </w:rPr>
        <w:t>水网系统具有显著的多尺度特征：空间上，从单座闸门（米级）到单个渠池（公里级）再到全线干渠（千公里级）；时间上，从闸门电机动作（秒级）到渠池水位调节（分钟—小时级）再到季节性水量分配（天—月级）。这种跨越多个数量级的时空尺度差异决定了水网控制系统必须采用分层（Hierarchical）架构，而非试图用单一控制器覆盖所有尺度[1]。</w:t>
      </w:r>
    </w:p>
    <w:p>
      <w:pPr>
        <w:spacing w:line="400" w:lineRule="exact" w:before="60" w:after="60"/>
        <w:ind w:firstLine="482"/>
      </w:pPr>
      <w:r>
        <w:rPr>
          <w:rFonts w:ascii="SimSun" w:hAnsi="SimSun" w:eastAsia="SimSun"/>
          <w:b w:val="0"/>
          <w:sz w:val="24"/>
        </w:rPr>
        <w:t>分层控制的思想源于经典控制理论中的"分解—协调"原则——将一个大规模复杂系统的全局优化问题分解为若干相对独立的子问题，各子问题在各自的时空尺度上独立求解，通过层间协调机制保证全局一致性[2]。Mesarovic、Macko和Takahara在1970年代系统阐述了多层级系统的控制理论基础，指出分层结构不仅降低了计算复杂度，而且提供了天然的容错机制——上层故障时下层仍可在局部范围内维持基本功能[3]。</w:t>
      </w:r>
    </w:p>
    <w:p>
      <w:pPr>
        <w:spacing w:line="400" w:lineRule="exact" w:before="60" w:after="60"/>
        <w:ind w:firstLine="482"/>
      </w:pPr>
      <w:r>
        <w:rPr>
          <w:rFonts w:ascii="SimSun" w:hAnsi="SimSun" w:eastAsia="SimSun"/>
          <w:b w:val="0"/>
          <w:sz w:val="24"/>
        </w:rPr>
        <w:t>本研究提出的水网三层控制架构如下表所示。</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417"/>
            <w:shd w:fill="D9E2F3" w:val="clear"/>
          </w:tcPr>
          <w:p>
            <w:pPr>
              <w:jc w:val="center"/>
            </w:pPr>
            <w:r/>
            <w:r>
              <w:rPr>
                <w:rFonts w:ascii="SimSun" w:hAnsi="SimSun" w:eastAsia="SimSun"/>
                <w:b/>
                <w:sz w:val="20"/>
              </w:rPr>
              <w:t>控制层级</w:t>
            </w:r>
          </w:p>
        </w:tc>
        <w:tc>
          <w:tcPr>
            <w:tcW w:type="dxa" w:w="1247"/>
            <w:shd w:fill="D9E2F3" w:val="clear"/>
          </w:tcPr>
          <w:p>
            <w:pPr>
              <w:jc w:val="center"/>
            </w:pPr>
            <w:r/>
            <w:r>
              <w:rPr>
                <w:rFonts w:ascii="SimSun" w:hAnsi="SimSun" w:eastAsia="SimSun"/>
                <w:b/>
                <w:sz w:val="20"/>
              </w:rPr>
              <w:t>决策周期</w:t>
            </w:r>
          </w:p>
        </w:tc>
        <w:tc>
          <w:tcPr>
            <w:tcW w:type="dxa" w:w="1701"/>
            <w:shd w:fill="D9E2F3" w:val="clear"/>
          </w:tcPr>
          <w:p>
            <w:pPr>
              <w:jc w:val="center"/>
            </w:pPr>
            <w:r/>
            <w:r>
              <w:rPr>
                <w:rFonts w:ascii="SimSun" w:hAnsi="SimSun" w:eastAsia="SimSun"/>
                <w:b/>
                <w:sz w:val="20"/>
              </w:rPr>
              <w:t>核心方法</w:t>
            </w:r>
          </w:p>
        </w:tc>
        <w:tc>
          <w:tcPr>
            <w:tcW w:type="dxa" w:w="1984"/>
            <w:shd w:fill="D9E2F3" w:val="clear"/>
          </w:tcPr>
          <w:p>
            <w:pPr>
              <w:jc w:val="center"/>
            </w:pPr>
            <w:r/>
            <w:r>
              <w:rPr>
                <w:rFonts w:ascii="SimSun" w:hAnsi="SimSun" w:eastAsia="SimSun"/>
                <w:b/>
                <w:sz w:val="20"/>
              </w:rPr>
              <w:t>优化目标</w:t>
            </w:r>
          </w:p>
        </w:tc>
        <w:tc>
          <w:tcPr>
            <w:tcW w:type="dxa" w:w="1701"/>
            <w:shd w:fill="D9E2F3" w:val="clear"/>
          </w:tcPr>
          <w:p>
            <w:pPr>
              <w:jc w:val="center"/>
            </w:pPr>
            <w:r/>
            <w:r>
              <w:rPr>
                <w:rFonts w:ascii="SimSun" w:hAnsi="SimSun" w:eastAsia="SimSun"/>
                <w:b/>
                <w:sz w:val="20"/>
              </w:rPr>
              <w:t>计算平台</w:t>
            </w:r>
          </w:p>
        </w:tc>
      </w:tr>
      <w:tr>
        <w:tc>
          <w:tcPr>
            <w:tcW w:type="dxa" w:w="1417"/>
          </w:tcPr>
          <w:p>
            <w:pPr>
              <w:jc w:val="center"/>
            </w:pPr>
            <w:r/>
            <w:r>
              <w:rPr>
                <w:rFonts w:ascii="SimSun" w:hAnsi="SimSun" w:eastAsia="SimSun"/>
                <w:b w:val="0"/>
                <w:sz w:val="20"/>
              </w:rPr>
              <w:t>上层调度层</w:t>
            </w:r>
          </w:p>
        </w:tc>
        <w:tc>
          <w:tcPr>
            <w:tcW w:type="dxa" w:w="1247"/>
          </w:tcPr>
          <w:p>
            <w:pPr>
              <w:jc w:val="center"/>
            </w:pPr>
            <w:r/>
            <w:r>
              <w:rPr>
                <w:rFonts w:ascii="SimSun" w:hAnsi="SimSun" w:eastAsia="SimSun"/>
                <w:b w:val="0"/>
                <w:sz w:val="20"/>
              </w:rPr>
              <w:t>天—周</w:t>
            </w:r>
          </w:p>
        </w:tc>
        <w:tc>
          <w:tcPr>
            <w:tcW w:type="dxa" w:w="1701"/>
          </w:tcPr>
          <w:p>
            <w:pPr>
              <w:jc w:val="center"/>
            </w:pPr>
            <w:r/>
            <w:r>
              <w:rPr>
                <w:rFonts w:ascii="SimSun" w:hAnsi="SimSun" w:eastAsia="SimSun"/>
                <w:b w:val="0"/>
                <w:sz w:val="20"/>
              </w:rPr>
              <w:t>经济型MPC (EMPC)</w:t>
            </w:r>
          </w:p>
        </w:tc>
        <w:tc>
          <w:tcPr>
            <w:tcW w:type="dxa" w:w="1984"/>
          </w:tcPr>
          <w:p>
            <w:pPr>
              <w:jc w:val="center"/>
            </w:pPr>
            <w:r/>
            <w:r>
              <w:rPr>
                <w:rFonts w:ascii="SimSun" w:hAnsi="SimSun" w:eastAsia="SimSun"/>
                <w:b w:val="0"/>
                <w:sz w:val="20"/>
              </w:rPr>
              <w:t>电费最小、水损最小、</w:t>
              <w:br/>
              <w:t>供水保障</w:t>
            </w:r>
          </w:p>
        </w:tc>
        <w:tc>
          <w:tcPr>
            <w:tcW w:type="dxa" w:w="1701"/>
          </w:tcPr>
          <w:p>
            <w:pPr>
              <w:jc w:val="center"/>
            </w:pPr>
            <w:r/>
            <w:r>
              <w:rPr>
                <w:rFonts w:ascii="SimSun" w:hAnsi="SimSun" w:eastAsia="SimSun"/>
                <w:b w:val="0"/>
                <w:sz w:val="20"/>
              </w:rPr>
              <w:t>云端服务器</w:t>
            </w:r>
          </w:p>
        </w:tc>
      </w:tr>
      <w:tr>
        <w:tc>
          <w:tcPr>
            <w:tcW w:type="dxa" w:w="1417"/>
          </w:tcPr>
          <w:p>
            <w:pPr>
              <w:jc w:val="center"/>
            </w:pPr>
            <w:r/>
            <w:r>
              <w:rPr>
                <w:rFonts w:ascii="SimSun" w:hAnsi="SimSun" w:eastAsia="SimSun"/>
                <w:b w:val="0"/>
                <w:sz w:val="20"/>
              </w:rPr>
              <w:t>中层协调层</w:t>
            </w:r>
          </w:p>
        </w:tc>
        <w:tc>
          <w:tcPr>
            <w:tcW w:type="dxa" w:w="1247"/>
          </w:tcPr>
          <w:p>
            <w:pPr>
              <w:jc w:val="center"/>
            </w:pPr>
            <w:r/>
            <w:r>
              <w:rPr>
                <w:rFonts w:ascii="SimSun" w:hAnsi="SimSun" w:eastAsia="SimSun"/>
                <w:b w:val="0"/>
                <w:sz w:val="20"/>
              </w:rPr>
              <w:t>分钟—小时</w:t>
            </w:r>
          </w:p>
        </w:tc>
        <w:tc>
          <w:tcPr>
            <w:tcW w:type="dxa" w:w="1701"/>
          </w:tcPr>
          <w:p>
            <w:pPr>
              <w:jc w:val="center"/>
            </w:pPr>
            <w:r/>
            <w:r>
              <w:rPr>
                <w:rFonts w:ascii="SimSun" w:hAnsi="SimSun" w:eastAsia="SimSun"/>
                <w:b w:val="0"/>
                <w:sz w:val="20"/>
              </w:rPr>
              <w:t>分布式MPC (DMPC)</w:t>
            </w:r>
          </w:p>
        </w:tc>
        <w:tc>
          <w:tcPr>
            <w:tcW w:type="dxa" w:w="1984"/>
          </w:tcPr>
          <w:p>
            <w:pPr>
              <w:jc w:val="center"/>
            </w:pPr>
            <w:r/>
            <w:r>
              <w:rPr>
                <w:rFonts w:ascii="SimSun" w:hAnsi="SimSun" w:eastAsia="SimSun"/>
                <w:b w:val="0"/>
                <w:sz w:val="20"/>
              </w:rPr>
              <w:t>水位跟踪、过渡平稳</w:t>
            </w:r>
          </w:p>
        </w:tc>
        <w:tc>
          <w:tcPr>
            <w:tcW w:type="dxa" w:w="1701"/>
          </w:tcPr>
          <w:p>
            <w:pPr>
              <w:jc w:val="center"/>
            </w:pPr>
            <w:r/>
            <w:r>
              <w:rPr>
                <w:rFonts w:ascii="SimSun" w:hAnsi="SimSun" w:eastAsia="SimSun"/>
                <w:b w:val="0"/>
                <w:sz w:val="20"/>
              </w:rPr>
              <w:t>边缘控制器集群</w:t>
            </w:r>
          </w:p>
        </w:tc>
      </w:tr>
      <w:tr>
        <w:tc>
          <w:tcPr>
            <w:tcW w:type="dxa" w:w="1417"/>
          </w:tcPr>
          <w:p>
            <w:pPr>
              <w:jc w:val="center"/>
            </w:pPr>
            <w:r/>
            <w:r>
              <w:rPr>
                <w:rFonts w:ascii="SimSun" w:hAnsi="SimSun" w:eastAsia="SimSun"/>
                <w:b w:val="0"/>
                <w:sz w:val="20"/>
              </w:rPr>
              <w:t>下层执行层</w:t>
            </w:r>
          </w:p>
        </w:tc>
        <w:tc>
          <w:tcPr>
            <w:tcW w:type="dxa" w:w="1247"/>
          </w:tcPr>
          <w:p>
            <w:pPr>
              <w:jc w:val="center"/>
            </w:pPr>
            <w:r/>
            <w:r>
              <w:rPr>
                <w:rFonts w:ascii="SimSun" w:hAnsi="SimSun" w:eastAsia="SimSun"/>
                <w:b w:val="0"/>
                <w:sz w:val="20"/>
              </w:rPr>
              <w:t>毫秒—秒</w:t>
            </w:r>
          </w:p>
        </w:tc>
        <w:tc>
          <w:tcPr>
            <w:tcW w:type="dxa" w:w="1701"/>
          </w:tcPr>
          <w:p>
            <w:pPr>
              <w:jc w:val="center"/>
            </w:pPr>
            <w:r/>
            <w:r>
              <w:rPr>
                <w:rFonts w:ascii="SimSun" w:hAnsi="SimSun" w:eastAsia="SimSun"/>
                <w:b w:val="0"/>
                <w:sz w:val="20"/>
              </w:rPr>
              <w:t>PID/自适应控制</w:t>
            </w:r>
          </w:p>
        </w:tc>
        <w:tc>
          <w:tcPr>
            <w:tcW w:type="dxa" w:w="1984"/>
          </w:tcPr>
          <w:p>
            <w:pPr>
              <w:jc w:val="center"/>
            </w:pPr>
            <w:r/>
            <w:r>
              <w:rPr>
                <w:rFonts w:ascii="SimSun" w:hAnsi="SimSun" w:eastAsia="SimSun"/>
                <w:b w:val="0"/>
                <w:sz w:val="20"/>
              </w:rPr>
              <w:t>闸门开度跟踪、</w:t>
              <w:br/>
              <w:t>设备保护</w:t>
            </w:r>
          </w:p>
        </w:tc>
        <w:tc>
          <w:tcPr>
            <w:tcW w:type="dxa" w:w="1701"/>
          </w:tcPr>
          <w:p>
            <w:pPr>
              <w:jc w:val="center"/>
            </w:pPr>
            <w:r/>
            <w:r>
              <w:rPr>
                <w:rFonts w:ascii="SimSun" w:hAnsi="SimSun" w:eastAsia="SimSun"/>
                <w:b w:val="0"/>
                <w:sz w:val="20"/>
              </w:rPr>
              <w:t>PLC/RTU</w:t>
            </w:r>
          </w:p>
        </w:tc>
      </w:tr>
    </w:tbl>
    <w:p>
      <w:pPr>
        <w:spacing w:line="400" w:lineRule="exact" w:before="60" w:after="60"/>
        <w:ind w:firstLine="482"/>
      </w:pPr>
      <w:r>
        <w:rPr>
          <w:rFonts w:ascii="SimSun" w:hAnsi="SimSun" w:eastAsia="SimSun"/>
          <w:b w:val="0"/>
          <w:sz w:val="24"/>
        </w:rPr>
        <w:t>表7-1  水网三层控制架构概览</w:t>
      </w:r>
    </w:p>
    <w:p>
      <w:pPr>
        <w:spacing w:line="400" w:lineRule="exact" w:before="60" w:after="60"/>
        <w:ind w:firstLine="482"/>
      </w:pPr>
      <w:r>
        <w:rPr>
          <w:rFonts w:ascii="SimSun" w:hAnsi="SimSun" w:eastAsia="SimSun"/>
          <w:b w:val="0"/>
          <w:sz w:val="24"/>
        </w:rPr>
        <w:t>三层之间的协调机制为：上层调度层向中层下发“目标水位轨迹”和“分水口流量分配计划”，中层向下层下发“闸门开度设定值”，下层向中层回传“闸门实际开度和状态”，中层向上层回传“渠池实际水位和流量”。这种双向信息流保证了各层级决策的一致性和实时性[4]。</w:t>
      </w:r>
    </w:p>
    <w:p>
      <w:pPr>
        <w:spacing w:before="280" w:after="200"/>
        <w:jc w:val="left"/>
      </w:pPr>
      <w:r>
        <w:rPr>
          <w:rFonts w:ascii="SimSun" w:hAnsi="SimSun" w:eastAsia="SimSun"/>
          <w:b/>
          <w:sz w:val="28"/>
        </w:rPr>
        <w:t>7.2  模型预测控制（MPC）的基本原理</w:t>
      </w:r>
    </w:p>
    <w:p>
      <w:pPr>
        <w:spacing w:line="400" w:lineRule="exact" w:before="60" w:after="60"/>
        <w:ind w:firstLine="482"/>
      </w:pPr>
      <w:r>
        <w:rPr>
          <w:rFonts w:ascii="SimSun" w:hAnsi="SimSun" w:eastAsia="SimSun"/>
          <w:b w:val="0"/>
          <w:sz w:val="24"/>
        </w:rPr>
        <w:t>MPC是过去四十年间工业过程控制领域最成功的先进控制技术，其核心思想可以概括为三个要素：用模型预测未来（Model-based Prediction）、在线滚动优化（Receding Horizon Optimization）、反馈校正（Feedback Correction）[5]。Garcia、Prett和Morari在1989年的综述文章奠定了MPC的理论基础，Mayne等人在2000年的综述则建立了MPC稳定性分析的完整框架[6][7]。</w:t>
      </w:r>
    </w:p>
    <w:p>
      <w:pPr>
        <w:spacing w:before="200" w:after="160"/>
        <w:jc w:val="left"/>
      </w:pPr>
      <w:r>
        <w:rPr>
          <w:rFonts w:ascii="SimSun" w:hAnsi="SimSun" w:eastAsia="SimSun"/>
          <w:b/>
          <w:sz w:val="24"/>
        </w:rPr>
        <w:t>7.2.1  MPC的标准公式化</w:t>
      </w:r>
    </w:p>
    <w:p>
      <w:pPr>
        <w:spacing w:line="400" w:lineRule="exact" w:before="60" w:after="60"/>
        <w:ind w:firstLine="482"/>
      </w:pPr>
      <w:r>
        <w:rPr>
          <w:rFonts w:ascii="SimSun" w:hAnsi="SimSun" w:eastAsia="SimSun"/>
          <w:b w:val="0"/>
          <w:sz w:val="24"/>
        </w:rPr>
        <w:t>在每个控制时刻k，MPC求解如下有限时域优化问题：</w:t>
      </w:r>
    </w:p>
    <w:p>
      <w:pPr>
        <w:spacing w:before="120" w:after="120"/>
        <w:jc w:val="center"/>
      </w:pPr>
      <w:r>
        <w:rPr>
          <w:rFonts w:ascii="SimSun" w:hAnsi="SimSun" w:eastAsia="SimSun"/>
          <w:b w:val="0"/>
          <w:sz w:val="24"/>
        </w:rPr>
        <w:t>min J = Σ(i=1,N(p)) ||y(k+i|k) − r(k+i)||²(Q) + Σ(i=0,N(u)−1) ||Δu(k+i|k)||²(R)     （式7-1）</w:t>
      </w:r>
    </w:p>
    <w:p>
      <w:pPr>
        <w:spacing w:line="360" w:lineRule="exact" w:before="40" w:after="40"/>
        <w:ind w:firstLine="482"/>
      </w:pPr>
      <w:r>
        <w:rPr>
          <w:rFonts w:ascii="SimSun" w:hAnsi="SimSun" w:eastAsia="SimSun"/>
          <w:b w:val="0"/>
          <w:sz w:val="21"/>
        </w:rPr>
        <w:t>式中：y(k+i|k)为基于k时刻信息对k+i时刻输出的预测；r(k+i)为参考轨迹（目标水位）；N(p)为预测时域；N(u)为控制时域；Δu = u(k+i) − u(k+i−1)为控制增量；Q、R为加权矩阵，分别衡量跟踪精度和控制平滑性。</w:t>
      </w:r>
    </w:p>
    <w:p>
      <w:pPr>
        <w:spacing w:line="400" w:lineRule="exact" w:before="60" w:after="60"/>
        <w:ind w:firstLine="482"/>
      </w:pPr>
      <w:r>
        <w:rPr>
          <w:rFonts w:ascii="SimSun" w:hAnsi="SimSun" w:eastAsia="SimSun"/>
          <w:b w:val="0"/>
          <w:sz w:val="24"/>
        </w:rPr>
        <w:t>约束条件包括状态方程、输出方程和各类不等式约束：</w:t>
      </w:r>
    </w:p>
    <w:p>
      <w:pPr>
        <w:spacing w:before="120" w:after="120"/>
        <w:jc w:val="center"/>
      </w:pPr>
      <w:r>
        <w:rPr>
          <w:rFonts w:ascii="SimSun" w:hAnsi="SimSun" w:eastAsia="SimSun"/>
          <w:b w:val="0"/>
          <w:sz w:val="24"/>
        </w:rPr>
        <w:t>x(k+i+1|k) = Ax(k+i|k) + Bu(k+i|k) + B(d)d(k+i|k)     （式7-2）</w:t>
      </w:r>
    </w:p>
    <w:p>
      <w:pPr>
        <w:spacing w:before="120" w:after="120"/>
        <w:jc w:val="center"/>
      </w:pPr>
      <w:r>
        <w:rPr>
          <w:rFonts w:ascii="SimSun" w:hAnsi="SimSun" w:eastAsia="SimSun"/>
          <w:b w:val="0"/>
          <w:sz w:val="24"/>
        </w:rPr>
        <w:t>y(k+i|k) = Cx(k+i|k)     （式7-3）</w:t>
      </w:r>
    </w:p>
    <w:p>
      <w:pPr>
        <w:spacing w:before="120" w:after="120"/>
        <w:jc w:val="center"/>
      </w:pPr>
      <w:r>
        <w:rPr>
          <w:rFonts w:ascii="SimSun" w:hAnsi="SimSun" w:eastAsia="SimSun"/>
          <w:b w:val="0"/>
          <w:sz w:val="24"/>
        </w:rPr>
        <w:t>x(min) ≤ x(k+i|k) ≤ x(max)     （式7-4）</w:t>
      </w:r>
    </w:p>
    <w:p>
      <w:pPr>
        <w:spacing w:before="120" w:after="120"/>
        <w:jc w:val="center"/>
      </w:pPr>
      <w:r>
        <w:rPr>
          <w:rFonts w:ascii="SimSun" w:hAnsi="SimSun" w:eastAsia="SimSun"/>
          <w:b w:val="0"/>
          <w:sz w:val="24"/>
        </w:rPr>
        <w:t>u(min) ≤ u(k+i|k) ≤ u(max)     （式7-5）</w:t>
      </w:r>
    </w:p>
    <w:p>
      <w:pPr>
        <w:spacing w:before="120" w:after="120"/>
        <w:jc w:val="center"/>
      </w:pPr>
      <w:r>
        <w:rPr>
          <w:rFonts w:ascii="SimSun" w:hAnsi="SimSun" w:eastAsia="SimSun"/>
          <w:b w:val="0"/>
          <w:sz w:val="24"/>
        </w:rPr>
        <w:t>Δu(min) ≤ Δu(k+i|k) ≤ Δu(max)     （式7-6）</w:t>
      </w:r>
    </w:p>
    <w:p>
      <w:pPr>
        <w:spacing w:line="360" w:lineRule="exact" w:before="40" w:after="40"/>
        <w:ind w:firstLine="482"/>
      </w:pPr>
      <w:r>
        <w:rPr>
          <w:rFonts w:ascii="SimSun" w:hAnsi="SimSun" w:eastAsia="SimSun"/>
          <w:b w:val="0"/>
          <w:sz w:val="21"/>
        </w:rPr>
        <w:t>式中：A、B、C为系统矩阵（由IDZ模型或线性化Saint-Venant方程得到）；B(d)为扰动输入矩阵；d为可测扰动（如旁侧入流、取水口流量）；x(min)、x(max)为状态约束（水位上下限）；u(min)、u(max)为控制约束（闸门开度范围）；Δu(min)、Δu(max)为控制变化率约束（闸门动作速率限制）。</w:t>
      </w:r>
    </w:p>
    <w:p>
      <w:pPr>
        <w:spacing w:line="400" w:lineRule="exact" w:before="60" w:after="60"/>
        <w:ind w:firstLine="482"/>
      </w:pPr>
      <w:r>
        <w:rPr>
          <w:rFonts w:ascii="SimSun" w:hAnsi="SimSun" w:eastAsia="SimSun"/>
          <w:b w:val="0"/>
          <w:sz w:val="24"/>
        </w:rPr>
        <w:t>当预测模型为线性时，上述问题为标准的二次规划（Quadratic Programming, QP）问题，可用成熟的求解器（如OSQP、qpOASES、Gurobi）在毫秒级求解。对于包含 n=63个渠池、预测时域N(p)=48（10min×48=8h）的南水北调中线系统，QP问题的决策变量维度为63×48=3024，约束数为6000余个，在普通服务器（8核CPU）上可在数秒内求解[8]。</w:t>
      </w:r>
    </w:p>
    <w:p>
      <w:pPr>
        <w:spacing w:before="200" w:after="160"/>
        <w:jc w:val="left"/>
      </w:pPr>
      <w:r>
        <w:rPr>
          <w:rFonts w:ascii="SimSun" w:hAnsi="SimSun" w:eastAsia="SimSun"/>
          <w:b/>
          <w:sz w:val="24"/>
        </w:rPr>
        <w:t>7.2.2  预测模型的选择与校准</w:t>
      </w:r>
    </w:p>
    <w:p>
      <w:pPr>
        <w:spacing w:line="400" w:lineRule="exact" w:before="60" w:after="60"/>
        <w:ind w:firstLine="482"/>
      </w:pPr>
      <w:r>
        <w:rPr>
          <w:rFonts w:ascii="SimSun" w:hAnsi="SimSun" w:eastAsia="SimSun"/>
          <w:b w:val="0"/>
          <w:sz w:val="24"/>
        </w:rPr>
        <w:t>MPC的性能极度依赖于预测模型的精度。对于水网系统，可选的预测模型包括三类：第一类是ID/IDZ传递函数模型（详见第五章），以低阶传递函数描述渠池的输入-输出动态关系，计算效率最高，适合实时控制。第二类是线性化Saint-Venant方程，精度更高但计算量较大。第三类是数据驱动代理模型（如LSTM、Transformer），适用于非线性强、解析模型难以精确描述的工况。</w:t>
      </w:r>
    </w:p>
    <w:p>
      <w:pPr>
        <w:spacing w:line="400" w:lineRule="exact" w:before="60" w:after="60"/>
        <w:ind w:firstLine="482"/>
      </w:pPr>
      <w:r>
        <w:rPr>
          <w:rFonts w:ascii="SimSun" w:hAnsi="SimSun" w:eastAsia="SimSun"/>
          <w:b w:val="0"/>
          <w:sz w:val="24"/>
        </w:rPr>
        <w:t>本研究推荐以IDZ模型为MPC的主预测模型。IDZ模型将单个渠池的上游流量扰动与下游水位响应的关系表达为：</w:t>
      </w:r>
    </w:p>
    <w:p>
      <w:pPr>
        <w:spacing w:before="120" w:after="120"/>
        <w:jc w:val="center"/>
      </w:pPr>
      <w:r>
        <w:rPr>
          <w:rFonts w:ascii="SimSun" w:hAnsi="SimSun" w:eastAsia="SimSun"/>
          <w:b w:val="0"/>
          <w:sz w:val="24"/>
        </w:rPr>
        <w:t>Y(s) = [a(1)s + a(0)] / [s² + b(1)s + b(0)] · e^(−τs) · U(s)     （式7-7）</w:t>
      </w:r>
    </w:p>
    <w:p>
      <w:pPr>
        <w:spacing w:line="360" w:lineRule="exact" w:before="40" w:after="40"/>
        <w:ind w:firstLine="482"/>
      </w:pPr>
      <w:r>
        <w:rPr>
          <w:rFonts w:ascii="SimSun" w:hAnsi="SimSun" w:eastAsia="SimSun"/>
          <w:b w:val="0"/>
          <w:sz w:val="21"/>
        </w:rPr>
        <w:t>式中：Y(s)为下游水位响应（Laplace域）；U(s)为上游闸门流量变化；a(0)、a(1)、b(0)、b(1)为IDZ模型参数（由渠池几何和水力参数确定）；τ为纯时滞（对应水力波传播时间）。IDZ模型的特点是捕捉了明渠池的两个本质动态特征：振荡衰减（二阶系统）和传输时滞（指数项）[9]。</w:t>
      </w:r>
    </w:p>
    <w:p>
      <w:pPr>
        <w:spacing w:line="400" w:lineRule="exact" w:before="60" w:after="60"/>
        <w:ind w:firstLine="482"/>
      </w:pPr>
      <w:r>
        <w:rPr>
          <w:rFonts w:ascii="SimSun" w:hAnsi="SimSun" w:eastAsia="SimSun"/>
          <w:b w:val="0"/>
          <w:sz w:val="24"/>
        </w:rPr>
        <w:t>预测模型的在线校准是保证MPC长期性能的关键。由于渠道粗糙系数、旁侧入流等参数随季节、淤积、水草生长等因素变化，IDZ模型参数需要定期更新。推荐采用“双率”校准策略：快速校准每小时执行一次，仅调整模型的输出偏置（消除稳态偏差）；深度校准每天或每周执行一次，重新识别IDZ模型的全部参数。第六章讨论的EnKF状态同化结果也可以用于模型误差的实时修正[10]。</w:t>
      </w:r>
    </w:p>
    <w:p>
      <w:pPr>
        <w:spacing w:before="200" w:after="160"/>
        <w:jc w:val="left"/>
      </w:pPr>
      <w:r>
        <w:rPr>
          <w:rFonts w:ascii="SimSun" w:hAnsi="SimSun" w:eastAsia="SimSun"/>
          <w:b/>
          <w:sz w:val="24"/>
        </w:rPr>
        <w:t>7.2.3  参考轨迹设计</w:t>
      </w:r>
    </w:p>
    <w:p>
      <w:pPr>
        <w:spacing w:line="400" w:lineRule="exact" w:before="60" w:after="60"/>
        <w:ind w:firstLine="482"/>
      </w:pPr>
      <w:r>
        <w:rPr>
          <w:rFonts w:ascii="SimSun" w:hAnsi="SimSun" w:eastAsia="SimSun"/>
          <w:b w:val="0"/>
          <w:sz w:val="24"/>
        </w:rPr>
        <w:t>MPC的参考轨迹r(k+i)定义了控制系统要追踪的目标水位曲线。在水网调度中，参考轨迹的设计需要平衡多个目标：供水保障（水位不能过低）、安全约束（水位不能超过堆顶高程）、经济性（尽量利用谷电蓄水）和过渡平稳性（避免水位剧烈波动）。</w:t>
      </w:r>
    </w:p>
    <w:p>
      <w:pPr>
        <w:spacing w:line="400" w:lineRule="exact" w:before="60" w:after="60"/>
        <w:ind w:firstLine="482"/>
      </w:pPr>
      <w:r>
        <w:rPr>
          <w:rFonts w:ascii="SimSun" w:hAnsi="SimSun" w:eastAsia="SimSun"/>
          <w:b w:val="0"/>
          <w:sz w:val="24"/>
        </w:rPr>
        <w:t>本研究提出“分时段参考轨迹”设计方法。对于供水调度工况，参考轨迹采用“平缳过渡+稳态目标”的两阶段结构。在过渡阶段，参考轨迹采用一阶指数衰减形式从当前水位平滑过渡到目标水位：</w:t>
      </w:r>
    </w:p>
    <w:p>
      <w:pPr>
        <w:spacing w:before="120" w:after="120"/>
        <w:jc w:val="center"/>
      </w:pPr>
      <w:r>
        <w:rPr>
          <w:rFonts w:ascii="SimSun" w:hAnsi="SimSun" w:eastAsia="SimSun"/>
          <w:b w:val="0"/>
          <w:sz w:val="24"/>
        </w:rPr>
        <w:t>r(k+i) = h(target) + [h(k) − h(target)] · e^(−iΔt/T(ref))     （式7-8）</w:t>
      </w:r>
    </w:p>
    <w:p>
      <w:pPr>
        <w:spacing w:line="360" w:lineRule="exact" w:before="40" w:after="40"/>
        <w:ind w:firstLine="482"/>
      </w:pPr>
      <w:r>
        <w:rPr>
          <w:rFonts w:ascii="SimSun" w:hAnsi="SimSun" w:eastAsia="SimSun"/>
          <w:b w:val="0"/>
          <w:sz w:val="21"/>
        </w:rPr>
        <w:t>式中：h(target)为目标水位；h(k)为当前水位；Δt为控制周期；T(ref)为参考时间常数，取值一般为渠池水力响应时间的2–3倍。这一设计避免了直接将目标水位作为参考轨迹导致的控制动作过于激进。</w:t>
      </w:r>
    </w:p>
    <w:p>
      <w:pPr>
        <w:spacing w:before="280" w:after="200"/>
        <w:jc w:val="left"/>
      </w:pPr>
      <w:r>
        <w:rPr>
          <w:rFonts w:ascii="SimSun" w:hAnsi="SimSun" w:eastAsia="SimSun"/>
          <w:b/>
          <w:sz w:val="28"/>
        </w:rPr>
        <w:t>7.3  上层经济型MPC（EMPC）</w:t>
      </w:r>
    </w:p>
    <w:p>
      <w:pPr>
        <w:spacing w:line="400" w:lineRule="exact" w:before="60" w:after="60"/>
        <w:ind w:firstLine="482"/>
      </w:pPr>
      <w:r>
        <w:rPr>
          <w:rFonts w:ascii="SimSun" w:hAnsi="SimSun" w:eastAsia="SimSun"/>
          <w:b w:val="0"/>
          <w:sz w:val="24"/>
        </w:rPr>
        <w:t>上层调度层的EMPC以经济目标而非传统的设定值跟踪为目标函数。其典型公式化为：</w:t>
      </w:r>
    </w:p>
    <w:p>
      <w:pPr>
        <w:spacing w:before="120" w:after="120"/>
        <w:jc w:val="center"/>
      </w:pPr>
      <w:r>
        <w:rPr>
          <w:rFonts w:ascii="SimSun" w:hAnsi="SimSun" w:eastAsia="SimSun"/>
          <w:b w:val="0"/>
          <w:sz w:val="24"/>
        </w:rPr>
        <w:t>min J(e) = Σ(t=1,T) { c(e)(t) · P(pump)(t) + c(1) · W(loss)(t) + c(2) · Σ(i) [h(i)(t) − h(i,tar)(t)]² }   （式7-9）</w:t>
      </w:r>
    </w:p>
    <w:p>
      <w:pPr>
        <w:spacing w:line="360" w:lineRule="exact" w:before="40" w:after="40"/>
        <w:ind w:firstLine="482"/>
      </w:pPr>
      <w:r>
        <w:rPr>
          <w:rFonts w:ascii="SimSun" w:hAnsi="SimSun" w:eastAsia="SimSun"/>
          <w:b w:val="0"/>
          <w:sz w:val="21"/>
        </w:rPr>
        <w:t>式中：c(e)(t)为分时电价（元/kWh），通常呈现峰-平-谷三阶梯结构；P(pump)(t)为泵站群总功率（kW）；W(loss)(t)为渠道输水损失量（m³）；h(i,tar)(t)为第i个控制断面的目标水位；c(1)、c(2)为权重系数。EMPC通过在低电价时段提前蓄水、高电价时段释放存量，实现“削峰填谷”[11]。</w:t>
      </w:r>
    </w:p>
    <w:p>
      <w:pPr>
        <w:spacing w:line="400" w:lineRule="exact" w:before="60" w:after="60"/>
        <w:ind w:firstLine="482"/>
      </w:pPr>
      <w:r>
        <w:rPr>
          <w:rFonts w:ascii="SimSun" w:hAnsi="SimSun" w:eastAsia="SimSun"/>
          <w:b w:val="0"/>
          <w:sz w:val="24"/>
        </w:rPr>
        <w:t>供水保障约束为：</w:t>
      </w:r>
    </w:p>
    <w:p>
      <w:pPr>
        <w:spacing w:before="120" w:after="120"/>
        <w:jc w:val="center"/>
      </w:pPr>
      <w:r>
        <w:rPr>
          <w:rFonts w:ascii="SimSun" w:hAnsi="SimSun" w:eastAsia="SimSun"/>
          <w:b w:val="0"/>
          <w:sz w:val="24"/>
        </w:rPr>
        <w:t>Σ(t) Q(x,i)(t) ≥ D(i)，∀i ∈ ℙ(extract)     （式7-10）</w:t>
      </w:r>
    </w:p>
    <w:p>
      <w:pPr>
        <w:spacing w:line="360" w:lineRule="exact" w:before="40" w:after="40"/>
        <w:ind w:firstLine="482"/>
      </w:pPr>
      <w:r>
        <w:rPr>
          <w:rFonts w:ascii="SimSun" w:hAnsi="SimSun" w:eastAsia="SimSun"/>
          <w:b w:val="0"/>
          <w:sz w:val="21"/>
        </w:rPr>
        <w:t>式中：Q(x,i)(t)为第i个取水口在时段t的流量；D(i)为该取水口的累计供水任务量。该约束确保在追求经济性的同时不牺牲供水保障。</w:t>
      </w:r>
    </w:p>
    <w:p>
      <w:pPr>
        <w:spacing w:line="400" w:lineRule="exact" w:before="60" w:after="60"/>
        <w:ind w:firstLine="482"/>
      </w:pPr>
      <w:r>
        <w:rPr>
          <w:rFonts w:ascii="SimSun" w:hAnsi="SimSun" w:eastAsia="SimSun"/>
          <w:b w:val="0"/>
          <w:sz w:val="24"/>
        </w:rPr>
        <w:t>EMPC的一个重要技术难点是电价预测的不确定性。当电力市场采用现货交易机制时，电价具有较大的随机性。对此，可采用“情景树”方法（见第六章式6-16）将电价不确定性纳入随机优化框架，在多个电价情景下均衡经济性与鲁棒性[12]。</w:t>
      </w:r>
    </w:p>
    <w:p>
      <w:pPr>
        <w:spacing w:line="400" w:lineRule="exact" w:before="60" w:after="60"/>
        <w:ind w:firstLine="482"/>
      </w:pPr>
      <w:r>
        <w:rPr>
          <w:rFonts w:ascii="SimSun" w:hAnsi="SimSun" w:eastAsia="SimSun"/>
          <w:b w:val="0"/>
          <w:sz w:val="24"/>
        </w:rPr>
        <w:t>对于南水北调中线工程，EMPC的应用场景主要包括：梯级泵站群的峰谷电价优化调度、多取水口之间的水量分配协调、以及汛期与非汛期的调度模式切换。初步估算表明，通过EMPC优化，梯级泵站群的电费可降低8%–15%[13]。</w:t>
      </w:r>
    </w:p>
    <w:p>
      <w:pPr>
        <w:spacing w:before="280" w:after="200"/>
        <w:jc w:val="left"/>
      </w:pPr>
      <w:r>
        <w:rPr>
          <w:rFonts w:ascii="SimSun" w:hAnsi="SimSun" w:eastAsia="SimSun"/>
          <w:b/>
          <w:sz w:val="28"/>
        </w:rPr>
        <w:t>7.4  鲁棒MPC与不确定性处理</w:t>
      </w:r>
    </w:p>
    <w:p>
      <w:pPr>
        <w:spacing w:line="400" w:lineRule="exact" w:before="60" w:after="60"/>
        <w:ind w:firstLine="482"/>
      </w:pPr>
      <w:r>
        <w:rPr>
          <w:rFonts w:ascii="SimSun" w:hAnsi="SimSun" w:eastAsia="SimSun"/>
          <w:b w:val="0"/>
          <w:sz w:val="24"/>
        </w:rPr>
        <w:t>实际水网系统中不可避免地存在各类不确定性：模型失配、旁侧入流预报误差、传感器噪声等。名义MPC（忽略不确定性）在最坏情况下可能违反约束，导致安全事故。鲁棒MPC通过引入不确定性集合来保证约束在最坏情况下仍然满足[14]。</w:t>
      </w:r>
    </w:p>
    <w:p>
      <w:pPr>
        <w:spacing w:before="200" w:after="160"/>
        <w:jc w:val="left"/>
      </w:pPr>
      <w:r>
        <w:rPr>
          <w:rFonts w:ascii="SimSun" w:hAnsi="SimSun" w:eastAsia="SimSun"/>
          <w:b/>
          <w:sz w:val="24"/>
        </w:rPr>
        <w:t>7.4.1  约束收紧方法</w:t>
      </w:r>
    </w:p>
    <w:p>
      <w:pPr>
        <w:spacing w:line="400" w:lineRule="exact" w:before="60" w:after="60"/>
        <w:ind w:firstLine="482"/>
      </w:pPr>
      <w:r>
        <w:rPr>
          <w:rFonts w:ascii="SimSun" w:hAnsi="SimSun" w:eastAsia="SimSun"/>
          <w:b w:val="0"/>
          <w:sz w:val="24"/>
        </w:rPr>
        <w:t>设ADDITIVE扰动属于有界集合 d(k) ∈ W，则约束收紧为：</w:t>
      </w:r>
    </w:p>
    <w:p>
      <w:pPr>
        <w:spacing w:before="120" w:after="120"/>
        <w:jc w:val="center"/>
      </w:pPr>
      <w:r>
        <w:rPr>
          <w:rFonts w:ascii="SimSun" w:hAnsi="SimSun" w:eastAsia="SimSun"/>
          <w:b w:val="0"/>
          <w:sz w:val="24"/>
        </w:rPr>
        <w:t>x(min) + δ(x) ≤ x(k+i|k) ≤ x(max) − δ(x)，∀d ∈ W     （式7-11）</w:t>
      </w:r>
    </w:p>
    <w:p>
      <w:pPr>
        <w:spacing w:line="360" w:lineRule="exact" w:before="40" w:after="40"/>
        <w:ind w:firstLine="482"/>
      </w:pPr>
      <w:r>
        <w:rPr>
          <w:rFonts w:ascii="SimSun" w:hAnsi="SimSun" w:eastAsia="SimSun"/>
          <w:b w:val="0"/>
          <w:sz w:val="21"/>
        </w:rPr>
        <w:t>式中：δ(x)为由不确定性传播确定的约束裕度。其计算依赖于扰动集合W的大小和系统的动态特性。</w:t>
      </w:r>
    </w:p>
    <w:p>
      <w:pPr>
        <w:spacing w:line="400" w:lineRule="exact" w:before="60" w:after="60"/>
        <w:ind w:firstLine="482"/>
      </w:pPr>
      <w:r>
        <w:rPr>
          <w:rFonts w:ascii="SimSun" w:hAnsi="SimSun" w:eastAsia="SimSun"/>
          <w:b w:val="0"/>
          <w:sz w:val="24"/>
        </w:rPr>
        <w:t>约束裕度δ(x)的计算方法有两种。第一种是确定性方法：基于最坏情况分析，δ(x) = max(d∈W) ||G·d||，其中G为扰动到状态的传递矩阵。这种方法保证了确定性的安全，但可能过于保守。第二种是概率性方法：利用第六章EnKF提供的不确定性信息，设定δ(x) = z(α) · σ(a)，其中σ(a)为状态估计标准差，z(α)为置信系数（如z(0.95)=1.96）。这种方法实现了“不确定性感知”的控制决策——当不确定性大时策略偏保守，当不确定性小时追求更优经济性能[15]。</w:t>
      </w:r>
    </w:p>
    <w:p>
      <w:pPr>
        <w:spacing w:before="200" w:after="160"/>
        <w:jc w:val="left"/>
      </w:pPr>
      <w:r>
        <w:rPr>
          <w:rFonts w:ascii="SimSun" w:hAnsi="SimSun" w:eastAsia="SimSun"/>
          <w:b/>
          <w:sz w:val="24"/>
        </w:rPr>
        <w:t>7.4.2  Tube-based鲁棒MPC</w:t>
      </w:r>
    </w:p>
    <w:p>
      <w:pPr>
        <w:spacing w:line="400" w:lineRule="exact" w:before="60" w:after="60"/>
        <w:ind w:firstLine="482"/>
      </w:pPr>
      <w:r>
        <w:rPr>
          <w:rFonts w:ascii="SimSun" w:hAnsi="SimSun" w:eastAsia="SimSun"/>
          <w:b w:val="0"/>
          <w:sz w:val="24"/>
        </w:rPr>
        <w:t>Tube-based MPC是目前理论上最严谨的鲁棒MPC方法，由Mayne等人系统发展[16]。其核心思想是将实际系统轨迹分解为“名义轨迹”（无扰动时的理想轨迹）和“偏差轨迹”（由扰动引起的偏差）两部分：</w:t>
      </w:r>
    </w:p>
    <w:p>
      <w:pPr>
        <w:spacing w:before="120" w:after="120"/>
        <w:jc w:val="center"/>
      </w:pPr>
      <w:r>
        <w:rPr>
          <w:rFonts w:ascii="SimSun" w:hAnsi="SimSun" w:eastAsia="SimSun"/>
          <w:b w:val="0"/>
          <w:sz w:val="24"/>
        </w:rPr>
        <w:t>x(k) = ̄x(k) + e(k)     （式7-12）</w:t>
      </w:r>
    </w:p>
    <w:p>
      <w:pPr>
        <w:spacing w:before="120" w:after="120"/>
        <w:jc w:val="center"/>
      </w:pPr>
      <w:r>
        <w:rPr>
          <w:rFonts w:ascii="SimSun" w:hAnsi="SimSun" w:eastAsia="SimSun"/>
          <w:b w:val="0"/>
          <w:sz w:val="24"/>
        </w:rPr>
        <w:t>u(k) = ̄u(k) + K(e) · e(k)     （式7-13）</w:t>
      </w:r>
    </w:p>
    <w:p>
      <w:pPr>
        <w:spacing w:line="360" w:lineRule="exact" w:before="40" w:after="40"/>
        <w:ind w:firstLine="482"/>
      </w:pPr>
      <w:r>
        <w:rPr>
          <w:rFonts w:ascii="SimSun" w:hAnsi="SimSun" w:eastAsia="SimSun"/>
          <w:b w:val="0"/>
          <w:sz w:val="21"/>
        </w:rPr>
        <w:t>式中：̄x(k)为名义状态；e(k) = x(k) − ̄x(k)为状态偏差；̄u(k)为MPC优化得到的名义控制；K(e)为偏差反馈增益矩阵，设计使偏差系统稳定且偏差集合为鲁棒正不变集合。</w:t>
      </w:r>
    </w:p>
    <w:p>
      <w:pPr>
        <w:spacing w:line="400" w:lineRule="exact" w:before="60" w:after="60"/>
        <w:ind w:firstLine="482"/>
      </w:pPr>
      <w:r>
        <w:rPr>
          <w:rFonts w:ascii="SimSun" w:hAnsi="SimSun" w:eastAsia="SimSun"/>
          <w:b w:val="0"/>
          <w:sz w:val="24"/>
        </w:rPr>
        <w:t>Tube-based MPC对水网控制的吸引力在于它提供了确定性的约束满足保证——只要扰动不超出假定的有界集合，约束就不会被违反。这种“确定性安全保证”对于水利工程的安全红线（如堆顶高程不可超越）尤为重要。然而，其主要局限在于计算复杂度较高，且对扰动集合的假定可能过于保守或不足[17]。</w:t>
      </w:r>
    </w:p>
    <w:p>
      <w:pPr>
        <w:spacing w:before="200" w:after="160"/>
        <w:jc w:val="left"/>
      </w:pPr>
      <w:r>
        <w:rPr>
          <w:rFonts w:ascii="SimSun" w:hAnsi="SimSun" w:eastAsia="SimSun"/>
          <w:b/>
          <w:sz w:val="24"/>
        </w:rPr>
        <w:t>7.4.3  随机MPC (Stochastic MPC)</w:t>
      </w:r>
    </w:p>
    <w:p>
      <w:pPr>
        <w:spacing w:line="400" w:lineRule="exact" w:before="60" w:after="60"/>
        <w:ind w:firstLine="482"/>
      </w:pPr>
      <w:r>
        <w:rPr>
          <w:rFonts w:ascii="SimSun" w:hAnsi="SimSun" w:eastAsia="SimSun"/>
          <w:b w:val="0"/>
          <w:sz w:val="24"/>
        </w:rPr>
        <w:t>随机MPC与鲁棒MPC的核心区别在于对约束的处理方式。鲁棒MPC要求约束在所有可能的扰动实现下都满足（确定性保证），而随机MPC允许约束以一定概率被违反（概率性保证）：</w:t>
      </w:r>
    </w:p>
    <w:p>
      <w:pPr>
        <w:spacing w:before="120" w:after="120"/>
        <w:jc w:val="center"/>
      </w:pPr>
      <w:r>
        <w:rPr>
          <w:rFonts w:ascii="SimSun" w:hAnsi="SimSun" w:eastAsia="SimSun"/>
          <w:b w:val="0"/>
          <w:sz w:val="24"/>
        </w:rPr>
        <w:t>Pr{ x(min) ≤ x(k+i|k) ≤ x(max) } ≥ 1 − ε     （式7-14）</w:t>
      </w:r>
    </w:p>
    <w:p>
      <w:pPr>
        <w:spacing w:line="360" w:lineRule="exact" w:before="40" w:after="40"/>
        <w:ind w:firstLine="482"/>
      </w:pPr>
      <w:r>
        <w:rPr>
          <w:rFonts w:ascii="SimSun" w:hAnsi="SimSun" w:eastAsia="SimSun"/>
          <w:b w:val="0"/>
          <w:sz w:val="21"/>
        </w:rPr>
        <w:t>式中：Pr{·}为概率算子；ε为允许的约束违反概率（如ε=0.05表示95%的保证率）。当ε→0时，随机MPC退化为鲁棒MPC；当ε较大时，控制器可以更激进地追求经济性能。</w:t>
      </w:r>
    </w:p>
    <w:p>
      <w:pPr>
        <w:spacing w:line="400" w:lineRule="exact" w:before="60" w:after="60"/>
        <w:ind w:firstLine="482"/>
      </w:pPr>
      <w:r>
        <w:rPr>
          <w:rFonts w:ascii="SimSun" w:hAnsi="SimSun" w:eastAsia="SimSun"/>
          <w:b w:val="0"/>
          <w:sz w:val="24"/>
        </w:rPr>
        <w:t>在水网应用中，随机MPC的一个自然的设计思路是将约束分为“硬约束”和“软约束”。硬约束（如堆顶高程、最大闸门开度）必须始终满足（ε=0），以确定性方法处理；软约束（如目标水位偏差、经济性指标）允许一定的违反概率，以随机方法处理。这种“硬软约束分级”的策略与第八章将讨论的“红黄绿三级约束体系”直接对应[18]。</w:t>
      </w:r>
    </w:p>
    <w:p>
      <w:pPr>
        <w:spacing w:before="280" w:after="200"/>
        <w:jc w:val="left"/>
      </w:pPr>
      <w:r>
        <w:rPr>
          <w:rFonts w:ascii="SimSun" w:hAnsi="SimSun" w:eastAsia="SimSun"/>
          <w:b/>
          <w:sz w:val="28"/>
        </w:rPr>
        <w:t>7.5  分布式MPC（DMPC）与大规模水网协调控制</w:t>
      </w:r>
    </w:p>
    <w:p>
      <w:pPr>
        <w:spacing w:line="400" w:lineRule="exact" w:before="60" w:after="60"/>
        <w:ind w:firstLine="482"/>
      </w:pPr>
      <w:r>
        <w:rPr>
          <w:rFonts w:ascii="SimSun" w:hAnsi="SimSun" w:eastAsia="SimSun"/>
          <w:b w:val="0"/>
          <w:sz w:val="24"/>
        </w:rPr>
        <w:t>大规模水网系统通常无法用单一的集中式MPC处理，原因包括三个方面。第一，计算复杂度随规模快速增长——QP问题的决策变量维度与渠池数和预测时域成正比，当系统规模达到数百个渠池时，集中求解可能无法在控制周期内完成。第二，单点故障风险——集中式控制器故障将导致全网失控。第三，多管理主体间的信息共享障碍——跨行政区或跨机构的水网难以实现全局信息透明[19]。</w:t>
      </w:r>
    </w:p>
    <w:p>
      <w:pPr>
        <w:spacing w:line="400" w:lineRule="exact" w:before="60" w:after="60"/>
        <w:ind w:firstLine="482"/>
      </w:pPr>
      <w:r>
        <w:rPr>
          <w:rFonts w:ascii="SimSun" w:hAnsi="SimSun" w:eastAsia="SimSun"/>
          <w:b w:val="0"/>
          <w:sz w:val="24"/>
        </w:rPr>
        <w:t>分布式MPC（DMPC）将全局优化问题分解为多个局部子问题，各子控制器并行求解，通过有限次信息交换达成协调。</w:t>
      </w:r>
    </w:p>
    <w:p>
      <w:pPr>
        <w:spacing w:before="200" w:after="160"/>
        <w:jc w:val="left"/>
      </w:pPr>
      <w:r>
        <w:rPr>
          <w:rFonts w:ascii="SimSun" w:hAnsi="SimSun" w:eastAsia="SimSun"/>
          <w:b/>
          <w:sz w:val="24"/>
        </w:rPr>
        <w:t>7.5.1  预测耦合+约束解耦的DMPC策略</w:t>
      </w:r>
    </w:p>
    <w:p>
      <w:pPr>
        <w:spacing w:line="400" w:lineRule="exact" w:before="60" w:after="60"/>
        <w:ind w:firstLine="482"/>
      </w:pPr>
      <w:r>
        <w:rPr>
          <w:rFonts w:ascii="SimSun" w:hAnsi="SimSun" w:eastAsia="SimSun"/>
          <w:b w:val="0"/>
          <w:sz w:val="24"/>
        </w:rPr>
        <w:t>本研究推荐采用“预测耦合+约束解耦”的DMPC策略。每个子控制器求解局部优化问题，通过交换边界耦合变量达成协调：</w:t>
      </w:r>
    </w:p>
    <w:p>
      <w:pPr>
        <w:spacing w:before="120" w:after="120"/>
        <w:jc w:val="center"/>
      </w:pPr>
      <w:r>
        <w:rPr>
          <w:rFonts w:ascii="SimSun" w:hAnsi="SimSun" w:eastAsia="SimSun"/>
          <w:b w:val="0"/>
          <w:sz w:val="24"/>
        </w:rPr>
        <w:t>min J(i) = Σ ||y(i)(k+j|k) − r(i)||² + Σ ||Δu(i)||² + λ||Δu(i) − Δu(i)*||²   （式7-15）</w:t>
      </w:r>
    </w:p>
    <w:p>
      <w:pPr>
        <w:spacing w:line="360" w:lineRule="exact" w:before="40" w:after="40"/>
        <w:ind w:firstLine="482"/>
      </w:pPr>
      <w:r>
        <w:rPr>
          <w:rFonts w:ascii="SimSun" w:hAnsi="SimSun" w:eastAsia="SimSun"/>
          <w:b w:val="0"/>
          <w:sz w:val="21"/>
        </w:rPr>
        <w:t>式中：J(i)为第i个子系统的局部目标函数；Δu(i)*为上一次迭代中邻居子系统传来的耦合变量；λ为协调惩罚系数，用于保证子问题解的一致性。该策略的物理含义是：每个子控制器在优化自身目标的同时，通过惩罚项保持与邻居的一致性。</w:t>
      </w:r>
    </w:p>
    <w:p>
      <w:pPr>
        <w:spacing w:line="400" w:lineRule="exact" w:before="60" w:after="60"/>
        <w:ind w:firstLine="482"/>
      </w:pPr>
      <w:r>
        <w:rPr>
          <w:rFonts w:ascii="SimSun" w:hAnsi="SimSun" w:eastAsia="SimSun"/>
          <w:b w:val="0"/>
          <w:sz w:val="24"/>
        </w:rPr>
        <w:t>DMPC的迭代协调过程如下：步骤1，各子控制器并行求解局部优化问题，获得局部最优控制序列。步骤2，相邻子控制器交换边界耦合变量（主要是出口流量和入口水位）。步骤3，更新耦合变量后重新求解，重复步骤1-2。步骤4，当相邻子控制器的边界变量偏差小于阈值时，判定收敛并执行当前时刻的控制。数值实验表明，对于南水北调中线的布局，典型迭代次数为3–5次即可收敛[20]。</w:t>
      </w:r>
    </w:p>
    <w:p>
      <w:pPr>
        <w:spacing w:before="200" w:after="160"/>
        <w:jc w:val="left"/>
      </w:pPr>
      <w:r>
        <w:rPr>
          <w:rFonts w:ascii="SimSun" w:hAnsi="SimSun" w:eastAsia="SimSun"/>
          <w:b/>
          <w:sz w:val="24"/>
        </w:rPr>
        <w:t>7.5.2  基于ADMM的分布式优化</w:t>
      </w:r>
    </w:p>
    <w:p>
      <w:pPr>
        <w:spacing w:line="400" w:lineRule="exact" w:before="60" w:after="60"/>
        <w:ind w:firstLine="482"/>
      </w:pPr>
      <w:r>
        <w:rPr>
          <w:rFonts w:ascii="SimSun" w:hAnsi="SimSun" w:eastAsia="SimSun"/>
          <w:b w:val="0"/>
          <w:sz w:val="24"/>
        </w:rPr>
        <w:t>交替方向乘子法（Alternating Direction Method of Multipliers, ADMM）是近年来分布式优化领域的热点方法，特别适合于大规模可分解优化问题[21]。ADMM将全局问题分解为多个子问题，并通过拉格朗日乘子的更新来强制子问题解的一致性：</w:t>
      </w:r>
    </w:p>
    <w:p>
      <w:pPr>
        <w:spacing w:before="120" w:after="120"/>
        <w:jc w:val="center"/>
      </w:pPr>
      <w:r>
        <w:rPr>
          <w:rFonts w:ascii="SimSun" w:hAnsi="SimSun" w:eastAsia="SimSun"/>
          <w:b w:val="0"/>
          <w:sz w:val="24"/>
        </w:rPr>
        <w:t>̄x(i,l+1) = arg min { J(i)(̄x(i)) + (ρ/2)||̄x(i) − z(i,l) + w(i,l)||² }   （式7-16）</w:t>
      </w:r>
    </w:p>
    <w:p>
      <w:pPr>
        <w:spacing w:before="120" w:after="120"/>
        <w:jc w:val="center"/>
      </w:pPr>
      <w:r>
        <w:rPr>
          <w:rFonts w:ascii="SimSun" w:hAnsi="SimSun" w:eastAsia="SimSun"/>
          <w:b w:val="0"/>
          <w:sz w:val="24"/>
        </w:rPr>
        <w:t>z(l+1) = Proj(C) { (1/N(s)) Σ(i) (̄x(i,l+1) + w(i,l)) }     （式7-17）</w:t>
      </w:r>
    </w:p>
    <w:p>
      <w:pPr>
        <w:spacing w:before="120" w:after="120"/>
        <w:jc w:val="center"/>
      </w:pPr>
      <w:r>
        <w:rPr>
          <w:rFonts w:ascii="SimSun" w:hAnsi="SimSun" w:eastAsia="SimSun"/>
          <w:b w:val="0"/>
          <w:sz w:val="24"/>
        </w:rPr>
        <w:t>w(i,l+1) = w(i,l) + ̄x(i,l+1) − z(l+1)     （式7-18）</w:t>
      </w:r>
    </w:p>
    <w:p>
      <w:pPr>
        <w:spacing w:line="360" w:lineRule="exact" w:before="40" w:after="40"/>
        <w:ind w:firstLine="482"/>
      </w:pPr>
      <w:r>
        <w:rPr>
          <w:rFonts w:ascii="SimSun" w:hAnsi="SimSun" w:eastAsia="SimSun"/>
          <w:b w:val="0"/>
          <w:sz w:val="21"/>
        </w:rPr>
        <w:t>式中：̄x(i)为第i个子问题的局部变量；z为全局一致性变量；w(i)为对偶变量（拉格朗日乘子）；ρ为惩罚参数；Proj(C)为到可行域的投影算子；N(s)为子系统数量；l为迭代次数。</w:t>
      </w:r>
    </w:p>
    <w:p>
      <w:pPr>
        <w:spacing w:line="400" w:lineRule="exact" w:before="60" w:after="60"/>
        <w:ind w:firstLine="482"/>
      </w:pPr>
      <w:r>
        <w:rPr>
          <w:rFonts w:ascii="SimSun" w:hAnsi="SimSun" w:eastAsia="SimSun"/>
          <w:b w:val="0"/>
          <w:sz w:val="24"/>
        </w:rPr>
        <w:t>ADMM相比于序贯协调DMPC的优势在于：收敛性有理论保证（对于凸问题可证明全局收敛）；步长参数ρ的调整策略成熟；各子问题可完全并行求解。其主要局限在于每次迭代需要一次全局通信（交换z和w），对通信带宽和时延有一定要求。对于南水北调中线的布局，建议将全线划分为6–8个子系统（每个包含8–10个渠池），ADMM可在10–15次迭代内收敛[22]。</w:t>
      </w:r>
    </w:p>
    <w:p>
      <w:pPr>
        <w:spacing w:before="280" w:after="200"/>
        <w:jc w:val="left"/>
      </w:pPr>
      <w:r>
        <w:rPr>
          <w:rFonts w:ascii="SimSun" w:hAnsi="SimSun" w:eastAsia="SimSun"/>
          <w:b/>
          <w:sz w:val="28"/>
        </w:rPr>
        <w:t>7.6  大时滞系统的控制策略</w:t>
      </w:r>
    </w:p>
    <w:p>
      <w:pPr>
        <w:spacing w:line="400" w:lineRule="exact" w:before="60" w:after="60"/>
        <w:ind w:firstLine="482"/>
      </w:pPr>
      <w:r>
        <w:rPr>
          <w:rFonts w:ascii="SimSun" w:hAnsi="SimSun" w:eastAsia="SimSun"/>
          <w:b w:val="0"/>
          <w:sz w:val="24"/>
        </w:rPr>
        <w:t>水网系统的一个突出特点是大时滞——上游闸门调节后，其对下游水位的影响需要较长时间才能到达。对于南水北调中线，单个渠池的时滞从几十分钟到数小时不等，全线的累积时滞可达数十小时。大时滞给控制系统设计带来严峻挑战：常规反馈控制在大时滞系统中容易产生振荡甚至失稳[23]。</w:t>
      </w:r>
    </w:p>
    <w:p>
      <w:pPr>
        <w:spacing w:before="200" w:after="160"/>
        <w:jc w:val="left"/>
      </w:pPr>
      <w:r>
        <w:rPr>
          <w:rFonts w:ascii="SimSun" w:hAnsi="SimSun" w:eastAsia="SimSun"/>
          <w:b/>
          <w:sz w:val="24"/>
        </w:rPr>
        <w:t>7.6.1  Smith预估器+MPC复合架构</w:t>
      </w:r>
    </w:p>
    <w:p>
      <w:pPr>
        <w:spacing w:line="400" w:lineRule="exact" w:before="60" w:after="60"/>
        <w:ind w:firstLine="482"/>
      </w:pPr>
      <w:r>
        <w:rPr>
          <w:rFonts w:ascii="SimSun" w:hAnsi="SimSun" w:eastAsia="SimSun"/>
          <w:b w:val="0"/>
          <w:sz w:val="24"/>
        </w:rPr>
        <w:t>本研究提出“Smith预估器+MPC”的复合架构来应对大时滞问题。Smith预估器是经典控制理论中处理纯时滞系统的标准方法，其核心思想是将时滞环节从反馈回路中分离出来，使控制器可以基于“无时滞”的等效系统进行设计[24]。</w:t>
      </w:r>
    </w:p>
    <w:p>
      <w:pPr>
        <w:spacing w:line="400" w:lineRule="exact" w:before="60" w:after="60"/>
        <w:ind w:firstLine="482"/>
      </w:pPr>
      <w:r>
        <w:rPr>
          <w:rFonts w:ascii="SimSun" w:hAnsi="SimSun" w:eastAsia="SimSun"/>
          <w:b w:val="0"/>
          <w:sz w:val="24"/>
        </w:rPr>
        <w:t>Smith预估器的原理是利用系统模型预测无时滞响应，并与实测响应比较以校正模型误差。其等效输出为：</w:t>
      </w:r>
    </w:p>
    <w:p>
      <w:pPr>
        <w:spacing w:before="120" w:after="120"/>
        <w:jc w:val="center"/>
      </w:pPr>
      <w:r>
        <w:rPr>
          <w:rFonts w:ascii="SimSun" w:hAnsi="SimSun" w:eastAsia="SimSun"/>
          <w:b w:val="0"/>
          <w:sz w:val="24"/>
        </w:rPr>
        <w:t>y(Smith)(k) = y(m)(k) + [y(real)(k) − y(m,delay)(k)]     （式7-19）</w:t>
      </w:r>
    </w:p>
    <w:p>
      <w:pPr>
        <w:spacing w:line="360" w:lineRule="exact" w:before="40" w:after="40"/>
        <w:ind w:firstLine="482"/>
      </w:pPr>
      <w:r>
        <w:rPr>
          <w:rFonts w:ascii="SimSun" w:hAnsi="SimSun" w:eastAsia="SimSun"/>
          <w:b w:val="0"/>
          <w:sz w:val="21"/>
        </w:rPr>
        <w:t>式中：y(Smith)(k)为Smith预估器的等效输出；y(m)(k)为无时滞模型预测；y(real)(k)为实测值；y(m,delay)(k)为含时滞模型预测。等式的物理含义是：用无时滞模型预测作为反馈信号，同时用“实测−含时滞模型”的差值校正模型失配。</w:t>
      </w:r>
    </w:p>
    <w:p>
      <w:pPr>
        <w:spacing w:line="400" w:lineRule="exact" w:before="60" w:after="60"/>
        <w:ind w:firstLine="482"/>
      </w:pPr>
      <w:r>
        <w:rPr>
          <w:rFonts w:ascii="SimSun" w:hAnsi="SimSun" w:eastAsia="SimSun"/>
          <w:b w:val="0"/>
          <w:sz w:val="24"/>
        </w:rPr>
        <w:t>Smith预估器与MPC的结合方式为：Smith预估器提供“无时滞”的等效反馈信号，MPC基于这一信号进行滚动优化。这样，MPC的预测模型可以采用无时滞的IDZ模型，显著简化了QP问题的结构。荷兰TU Delft的van Overloop等人已在荷兰运河系统中验证了这一复合架构的有效性[25]。</w:t>
      </w:r>
    </w:p>
    <w:p>
      <w:pPr>
        <w:spacing w:before="200" w:after="160"/>
        <w:jc w:val="left"/>
      </w:pPr>
      <w:r>
        <w:rPr>
          <w:rFonts w:ascii="SimSun" w:hAnsi="SimSun" w:eastAsia="SimSun"/>
          <w:b/>
          <w:sz w:val="24"/>
        </w:rPr>
        <w:t>7.6.2  前馈控制与反馈控制的协同</w:t>
      </w:r>
    </w:p>
    <w:p>
      <w:pPr>
        <w:spacing w:line="400" w:lineRule="exact" w:before="60" w:after="60"/>
        <w:ind w:firstLine="482"/>
      </w:pPr>
      <w:r>
        <w:rPr>
          <w:rFonts w:ascii="SimSun" w:hAnsi="SimSun" w:eastAsia="SimSun"/>
          <w:b w:val="0"/>
          <w:sz w:val="24"/>
        </w:rPr>
        <w:t>对于大时滞系统，前馈控制（Feedforward Control）是反馈控制的必要补充。前馈控制利用已知的扰动信息（如取水口计划流量变化）提前采取控制动作，而不是等待偏差产生后才进行校正。在MPC框架中，前馈信息通过扰动输入项B(d)d(k+i|k)自然地融入预测模型。</w:t>
      </w:r>
    </w:p>
    <w:p>
      <w:pPr>
        <w:spacing w:line="400" w:lineRule="exact" w:before="60" w:after="60"/>
        <w:ind w:firstLine="482"/>
      </w:pPr>
      <w:r>
        <w:rPr>
          <w:rFonts w:ascii="SimSun" w:hAnsi="SimSun" w:eastAsia="SimSun"/>
          <w:b w:val="0"/>
          <w:sz w:val="24"/>
        </w:rPr>
        <w:t>MPC的前馈控制能力取决于扰动预报的精度和提前量。对于南水北调中线，取水口流量变化通常有数小时到数天的提前量（由供水计划确定），这为前馈控制提供了充分的时间窗口。数值模拟表明，引入前馈控制后，水位波动的峰值可降低40–60%，调节时间缩短30–50%[26]。</w:t>
      </w:r>
    </w:p>
    <w:p>
      <w:pPr>
        <w:spacing w:before="200" w:after="160"/>
        <w:jc w:val="left"/>
      </w:pPr>
      <w:r>
        <w:rPr>
          <w:rFonts w:ascii="SimSun" w:hAnsi="SimSun" w:eastAsia="SimSun"/>
          <w:b/>
          <w:sz w:val="24"/>
        </w:rPr>
        <w:t>7.6.3  多尺度时滞补偿策略</w:t>
      </w:r>
    </w:p>
    <w:p>
      <w:pPr>
        <w:spacing w:line="400" w:lineRule="exact" w:before="60" w:after="60"/>
        <w:ind w:firstLine="482"/>
      </w:pPr>
      <w:r>
        <w:rPr>
          <w:rFonts w:ascii="SimSun" w:hAnsi="SimSun" w:eastAsia="SimSun"/>
          <w:b w:val="0"/>
          <w:sz w:val="24"/>
        </w:rPr>
        <w:t>对于全线1432公里的超长距离调水工程，单纯Smith预估器可能不足以应对累积时滞达数十小时的极端情况。本研究提出“多尺度时滞补偿”策略：在不同控制层级采用不同的时滞补偿方法。</w:t>
      </w:r>
    </w:p>
    <w:p>
      <w:pPr>
        <w:spacing w:line="400" w:lineRule="exact" w:before="60" w:after="60"/>
        <w:ind w:firstLine="482"/>
      </w:pPr>
      <w:r>
        <w:rPr>
          <w:rFonts w:ascii="SimSun" w:hAnsi="SimSun" w:eastAsia="SimSun"/>
          <w:b w:val="0"/>
          <w:sz w:val="24"/>
        </w:rPr>
        <w:t>上层调度层：利用全线模型的精确时滞信息，在调度计划中预埋时间提前量——即在取水需求发生前若干小时开始调整上游闸门。中层协调层：采用Smith预估器+DMPC复合架构，处理相邻渠池之间的局部时滞。下层执行层：采用带前馈补偿的PID控制，快速响应局部扰动。三层时滞补偿策略形成了“大尺度预埋+中尺度估计+小尺度跟踪”的协同架构[27]。</w:t>
      </w:r>
    </w:p>
    <w:p>
      <w:pPr>
        <w:spacing w:before="280" w:after="200"/>
        <w:jc w:val="left"/>
      </w:pPr>
      <w:r>
        <w:rPr>
          <w:rFonts w:ascii="SimSun" w:hAnsi="SimSun" w:eastAsia="SimSun"/>
          <w:b/>
          <w:sz w:val="28"/>
        </w:rPr>
        <w:t>7.7  下层执行层控制与闸门级自动化</w:t>
      </w:r>
    </w:p>
    <w:p>
      <w:pPr>
        <w:spacing w:line="400" w:lineRule="exact" w:before="60" w:after="60"/>
        <w:ind w:firstLine="482"/>
      </w:pPr>
      <w:r>
        <w:rPr>
          <w:rFonts w:ascii="SimSun" w:hAnsi="SimSun" w:eastAsia="SimSun"/>
          <w:b w:val="0"/>
          <w:sz w:val="24"/>
        </w:rPr>
        <w:t>下层执行层是控制指令的最终执行环节，负责将中层DMPC给出的闸门开度设定值精确转化为闸门电机的动作指令。这一层级的控制通常由PLC/RTU实现，控制周期为毫秒到秒级。</w:t>
      </w:r>
    </w:p>
    <w:p>
      <w:pPr>
        <w:spacing w:before="200" w:after="160"/>
        <w:jc w:val="left"/>
      </w:pPr>
      <w:r>
        <w:rPr>
          <w:rFonts w:ascii="SimSun" w:hAnsi="SimSun" w:eastAsia="SimSun"/>
          <w:b/>
          <w:sz w:val="24"/>
        </w:rPr>
        <w:t>7.7.1  闸门开度跟踪控制</w:t>
      </w:r>
    </w:p>
    <w:p>
      <w:pPr>
        <w:spacing w:line="400" w:lineRule="exact" w:before="60" w:after="60"/>
        <w:ind w:firstLine="482"/>
      </w:pPr>
      <w:r>
        <w:rPr>
          <w:rFonts w:ascii="SimSun" w:hAnsi="SimSun" w:eastAsia="SimSun"/>
          <w:b w:val="0"/>
          <w:sz w:val="24"/>
        </w:rPr>
        <w:t>闸门开度跟踪控制的标准算法为PID控制器：</w:t>
      </w:r>
    </w:p>
    <w:p>
      <w:pPr>
        <w:spacing w:before="120" w:after="120"/>
        <w:jc w:val="center"/>
      </w:pPr>
      <w:r>
        <w:rPr>
          <w:rFonts w:ascii="SimSun" w:hAnsi="SimSun" w:eastAsia="SimSun"/>
          <w:b w:val="0"/>
          <w:sz w:val="24"/>
        </w:rPr>
        <w:t>u(gate)(t) = K(p)e(t) + K(i)∫e(τ)dτ + K(d)(de/dt)     （式7-20）</w:t>
      </w:r>
    </w:p>
    <w:p>
      <w:pPr>
        <w:spacing w:line="360" w:lineRule="exact" w:before="40" w:after="40"/>
        <w:ind w:firstLine="482"/>
      </w:pPr>
      <w:r>
        <w:rPr>
          <w:rFonts w:ascii="SimSun" w:hAnsi="SimSun" w:eastAsia="SimSun"/>
          <w:b w:val="0"/>
          <w:sz w:val="21"/>
        </w:rPr>
        <w:t>式中：u(gate)为闸门电机控制电压；e(t) = G(set) − G(act)为开度偏差；G(set)为设定值（来自中层DMPC）；G(act)为实际开度反馈；K(p)、K(i)、K(d)为PID参数。</w:t>
      </w:r>
    </w:p>
    <w:p>
      <w:pPr>
        <w:spacing w:line="400" w:lineRule="exact" w:before="60" w:after="60"/>
        <w:ind w:firstLine="482"/>
      </w:pPr>
      <w:r>
        <w:rPr>
          <w:rFonts w:ascii="SimSun" w:hAnsi="SimSun" w:eastAsia="SimSun"/>
          <w:b w:val="0"/>
          <w:sz w:val="24"/>
        </w:rPr>
        <w:t>闸门执行层控制需要特别关注以下工程约束。第一，闸门动作速率限制——大型水利闸门的全行程动作时间可达数分钟到数十分钟，电机启停频率受限。第二，闸门死区（Dead Zone）——当偏差小于某一阈值时不应触发闸门动作，以避免频繁动作导致的机械磨损。第三，闸门极限位保护——电机达到全开或全关位置时必须自动停止，这是硬件级安全保护[28]。</w:t>
      </w:r>
    </w:p>
    <w:p>
      <w:pPr>
        <w:spacing w:before="200" w:after="160"/>
        <w:jc w:val="left"/>
      </w:pPr>
      <w:r>
        <w:rPr>
          <w:rFonts w:ascii="SimSun" w:hAnsi="SimSun" w:eastAsia="SimSun"/>
          <w:b/>
          <w:sz w:val="24"/>
        </w:rPr>
        <w:t>7.7.2  执行层故障诊断与自动切换</w:t>
      </w:r>
    </w:p>
    <w:p>
      <w:pPr>
        <w:spacing w:line="400" w:lineRule="exact" w:before="60" w:after="60"/>
        <w:ind w:firstLine="482"/>
      </w:pPr>
      <w:r>
        <w:rPr>
          <w:rFonts w:ascii="SimSun" w:hAnsi="SimSun" w:eastAsia="SimSun"/>
          <w:b w:val="0"/>
          <w:sz w:val="24"/>
        </w:rPr>
        <w:t>执行层的可靠性是全系统安全的基础。建议在执行层实现以下故障诊断与处理机制。第一，闸门卡阻检测——当电机电流异常升高但开度无变化时，判定闸门卡阻，自动停止动作并报警。第二，传感器故障切换——当主开度传感器故障时，自动切换到备用传感器或基于电机转速的开度估计。第三，通信中断时的本地自主模式——当与中层控制器的通信中断超过设定时间时，闸门控制器自动切换到本地自主模式，根据本地水位传感器维持基本的水位控制[29]。</w:t>
      </w:r>
    </w:p>
    <w:p>
      <w:pPr>
        <w:spacing w:before="280" w:after="200"/>
        <w:jc w:val="left"/>
      </w:pPr>
      <w:r>
        <w:rPr>
          <w:rFonts w:ascii="SimSun" w:hAnsi="SimSun" w:eastAsia="SimSun"/>
          <w:b/>
          <w:sz w:val="28"/>
        </w:rPr>
        <w:t>7.8  国际案例对标与最佳实践</w:t>
      </w:r>
    </w:p>
    <w:p>
      <w:pPr>
        <w:spacing w:before="200" w:after="160"/>
        <w:jc w:val="left"/>
      </w:pPr>
      <w:r>
        <w:rPr>
          <w:rFonts w:ascii="SimSun" w:hAnsi="SimSun" w:eastAsia="SimSun"/>
          <w:b/>
          <w:sz w:val="24"/>
        </w:rPr>
        <w:t>7.8.1  美国垦务局明渠自动化与ASCE测试用例</w:t>
      </w:r>
    </w:p>
    <w:p>
      <w:pPr>
        <w:spacing w:line="400" w:lineRule="exact" w:before="60" w:after="60"/>
        <w:ind w:firstLine="482"/>
      </w:pPr>
      <w:r>
        <w:rPr>
          <w:rFonts w:ascii="SimSun" w:hAnsi="SimSun" w:eastAsia="SimSun"/>
          <w:b w:val="0"/>
          <w:sz w:val="24"/>
        </w:rPr>
        <w:t>美国垦务局（Bureau of Reclamation）在加利福尼亚中央河谷项目（Central Valley Project）中实施了大规模明渠自动化，该系统管理约700公里的干渠网络。核心技术特点包括：采用“上游控制+前馈补偿”的混合策略，基于ASCE Canal Control Test Cases标准的算法基准测试，以及多种控制算法的系统对比评估[30]。</w:t>
      </w:r>
    </w:p>
    <w:p>
      <w:pPr>
        <w:spacing w:line="400" w:lineRule="exact" w:before="60" w:after="60"/>
        <w:ind w:firstLine="482"/>
      </w:pPr>
      <w:r>
        <w:rPr>
          <w:rFonts w:ascii="SimSun" w:hAnsi="SimSun" w:eastAsia="SimSun"/>
          <w:b w:val="0"/>
          <w:sz w:val="24"/>
        </w:rPr>
        <w:t>ASCE测试用例已成为国际上明渠控制算法评估的事实标准。其标准测试场景包括四类：阶跃取水变化（单点扰动）、多点同时取水变化（分布扰动）、上游来流变化、设备故障场景。该标准化测试框架值得中国水利行业直接借鉴——建议在此基础上增加冰期工况、超长渠道时滞等中国特色场景，形成“ASCE+中国补充集”的混合场景库[31]。</w:t>
      </w:r>
    </w:p>
    <w:p>
      <w:pPr>
        <w:spacing w:line="400" w:lineRule="exact" w:before="60" w:after="60"/>
        <w:ind w:firstLine="482"/>
      </w:pPr>
      <w:r>
        <w:rPr>
          <w:rFonts w:ascii="SimSun" w:hAnsi="SimSun" w:eastAsia="SimSun"/>
          <w:b w:val="0"/>
          <w:sz w:val="24"/>
        </w:rPr>
        <w:t>ASCE测试中对比的主要控制算法及其性能特点总结如下表。</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417"/>
            <w:shd w:fill="D9E2F3" w:val="clear"/>
          </w:tcPr>
          <w:p>
            <w:pPr>
              <w:jc w:val="center"/>
            </w:pPr>
            <w:r/>
            <w:r>
              <w:rPr>
                <w:rFonts w:ascii="SimSun" w:hAnsi="SimSun" w:eastAsia="SimSun"/>
                <w:b/>
                <w:sz w:val="20"/>
              </w:rPr>
              <w:t>控制算法</w:t>
            </w:r>
          </w:p>
        </w:tc>
        <w:tc>
          <w:tcPr>
            <w:tcW w:type="dxa" w:w="1417"/>
            <w:shd w:fill="D9E2F3" w:val="clear"/>
          </w:tcPr>
          <w:p>
            <w:pPr>
              <w:jc w:val="center"/>
            </w:pPr>
            <w:r/>
            <w:r>
              <w:rPr>
                <w:rFonts w:ascii="SimSun" w:hAnsi="SimSun" w:eastAsia="SimSun"/>
                <w:b/>
                <w:sz w:val="20"/>
              </w:rPr>
              <w:t>类型</w:t>
            </w:r>
          </w:p>
        </w:tc>
        <w:tc>
          <w:tcPr>
            <w:tcW w:type="dxa" w:w="2551"/>
            <w:shd w:fill="D9E2F3" w:val="clear"/>
          </w:tcPr>
          <w:p>
            <w:pPr>
              <w:jc w:val="center"/>
            </w:pPr>
            <w:r/>
            <w:r>
              <w:rPr>
                <w:rFonts w:ascii="SimSun" w:hAnsi="SimSun" w:eastAsia="SimSun"/>
                <w:b/>
                <w:sz w:val="20"/>
              </w:rPr>
              <w:t>性能特点</w:t>
            </w:r>
          </w:p>
        </w:tc>
        <w:tc>
          <w:tcPr>
            <w:tcW w:type="dxa" w:w="1984"/>
            <w:shd w:fill="D9E2F3" w:val="clear"/>
          </w:tcPr>
          <w:p>
            <w:pPr>
              <w:jc w:val="center"/>
            </w:pPr>
            <w:r/>
            <w:r>
              <w:rPr>
                <w:rFonts w:ascii="SimSun" w:hAnsi="SimSun" w:eastAsia="SimSun"/>
                <w:b/>
                <w:sz w:val="20"/>
              </w:rPr>
              <w:t>适用场景</w:t>
            </w:r>
          </w:p>
        </w:tc>
      </w:tr>
      <w:tr>
        <w:tc>
          <w:tcPr>
            <w:tcW w:type="dxa" w:w="1417"/>
          </w:tcPr>
          <w:p>
            <w:pPr>
              <w:jc w:val="center"/>
            </w:pPr>
            <w:r/>
            <w:r>
              <w:rPr>
                <w:rFonts w:ascii="SimSun" w:hAnsi="SimSun" w:eastAsia="SimSun"/>
                <w:b w:val="0"/>
                <w:sz w:val="20"/>
              </w:rPr>
              <w:t>PID</w:t>
            </w:r>
          </w:p>
        </w:tc>
        <w:tc>
          <w:tcPr>
            <w:tcW w:type="dxa" w:w="1417"/>
          </w:tcPr>
          <w:p>
            <w:pPr>
              <w:jc w:val="center"/>
            </w:pPr>
            <w:r/>
            <w:r>
              <w:rPr>
                <w:rFonts w:ascii="SimSun" w:hAnsi="SimSun" w:eastAsia="SimSun"/>
                <w:b w:val="0"/>
                <w:sz w:val="20"/>
              </w:rPr>
              <w:t>反馈</w:t>
            </w:r>
          </w:p>
        </w:tc>
        <w:tc>
          <w:tcPr>
            <w:tcW w:type="dxa" w:w="2551"/>
          </w:tcPr>
          <w:p>
            <w:pPr>
              <w:jc w:val="center"/>
            </w:pPr>
            <w:r/>
            <w:r>
              <w:rPr>
                <w:rFonts w:ascii="SimSun" w:hAnsi="SimSun" w:eastAsia="SimSun"/>
                <w:b w:val="0"/>
                <w:sz w:val="20"/>
              </w:rPr>
              <w:t>实现简单，单渠池有效，</w:t>
              <w:br/>
              <w:t>跨渠池协调差</w:t>
            </w:r>
          </w:p>
        </w:tc>
        <w:tc>
          <w:tcPr>
            <w:tcW w:type="dxa" w:w="1984"/>
          </w:tcPr>
          <w:p>
            <w:pPr>
              <w:jc w:val="center"/>
            </w:pPr>
            <w:r/>
            <w:r>
              <w:rPr>
                <w:rFonts w:ascii="SimSun" w:hAnsi="SimSun" w:eastAsia="SimSun"/>
                <w:b w:val="0"/>
                <w:sz w:val="20"/>
              </w:rPr>
              <w:t>单闸门执行层</w:t>
            </w:r>
          </w:p>
        </w:tc>
      </w:tr>
      <w:tr>
        <w:tc>
          <w:tcPr>
            <w:tcW w:type="dxa" w:w="1417"/>
          </w:tcPr>
          <w:p>
            <w:pPr>
              <w:jc w:val="center"/>
            </w:pPr>
            <w:r/>
            <w:r>
              <w:rPr>
                <w:rFonts w:ascii="SimSun" w:hAnsi="SimSun" w:eastAsia="SimSun"/>
                <w:b w:val="0"/>
                <w:sz w:val="20"/>
              </w:rPr>
              <w:t>EL-FLO</w:t>
            </w:r>
          </w:p>
        </w:tc>
        <w:tc>
          <w:tcPr>
            <w:tcW w:type="dxa" w:w="1417"/>
          </w:tcPr>
          <w:p>
            <w:pPr>
              <w:jc w:val="center"/>
            </w:pPr>
            <w:r/>
            <w:r>
              <w:rPr>
                <w:rFonts w:ascii="SimSun" w:hAnsi="SimSun" w:eastAsia="SimSun"/>
                <w:b w:val="0"/>
                <w:sz w:val="20"/>
              </w:rPr>
              <w:t>前馈+反馈</w:t>
            </w:r>
          </w:p>
        </w:tc>
        <w:tc>
          <w:tcPr>
            <w:tcW w:type="dxa" w:w="2551"/>
          </w:tcPr>
          <w:p>
            <w:pPr>
              <w:jc w:val="center"/>
            </w:pPr>
            <w:r/>
            <w:r>
              <w:rPr>
                <w:rFonts w:ascii="SimSun" w:hAnsi="SimSun" w:eastAsia="SimSun"/>
                <w:b w:val="0"/>
                <w:sz w:val="20"/>
              </w:rPr>
              <w:t>利用恒定流方程前馈，</w:t>
              <w:br/>
              <w:t>响应较快</w:t>
            </w:r>
          </w:p>
        </w:tc>
        <w:tc>
          <w:tcPr>
            <w:tcW w:type="dxa" w:w="1984"/>
          </w:tcPr>
          <w:p>
            <w:pPr>
              <w:jc w:val="center"/>
            </w:pPr>
            <w:r/>
            <w:r>
              <w:rPr>
                <w:rFonts w:ascii="SimSun" w:hAnsi="SimSun" w:eastAsia="SimSun"/>
                <w:b w:val="0"/>
                <w:sz w:val="20"/>
              </w:rPr>
              <w:t>灌溉渠道调度</w:t>
            </w:r>
          </w:p>
        </w:tc>
      </w:tr>
      <w:tr>
        <w:tc>
          <w:tcPr>
            <w:tcW w:type="dxa" w:w="1417"/>
          </w:tcPr>
          <w:p>
            <w:pPr>
              <w:jc w:val="center"/>
            </w:pPr>
            <w:r/>
            <w:r>
              <w:rPr>
                <w:rFonts w:ascii="SimSun" w:hAnsi="SimSun" w:eastAsia="SimSun"/>
                <w:b w:val="0"/>
                <w:sz w:val="20"/>
              </w:rPr>
              <w:t>ALHPID</w:t>
            </w:r>
          </w:p>
        </w:tc>
        <w:tc>
          <w:tcPr>
            <w:tcW w:type="dxa" w:w="1417"/>
          </w:tcPr>
          <w:p>
            <w:pPr>
              <w:jc w:val="center"/>
            </w:pPr>
            <w:r/>
            <w:r>
              <w:rPr>
                <w:rFonts w:ascii="SimSun" w:hAnsi="SimSun" w:eastAsia="SimSun"/>
                <w:b w:val="0"/>
                <w:sz w:val="20"/>
              </w:rPr>
              <w:t>自适应PID</w:t>
            </w:r>
          </w:p>
        </w:tc>
        <w:tc>
          <w:tcPr>
            <w:tcW w:type="dxa" w:w="2551"/>
          </w:tcPr>
          <w:p>
            <w:pPr>
              <w:jc w:val="center"/>
            </w:pPr>
            <w:r/>
            <w:r>
              <w:rPr>
                <w:rFonts w:ascii="SimSun" w:hAnsi="SimSun" w:eastAsia="SimSun"/>
                <w:b w:val="0"/>
                <w:sz w:val="20"/>
              </w:rPr>
              <w:t>参数自动调整，</w:t>
              <w:br/>
              <w:t>鲁棒性较好</w:t>
            </w:r>
          </w:p>
        </w:tc>
        <w:tc>
          <w:tcPr>
            <w:tcW w:type="dxa" w:w="1984"/>
          </w:tcPr>
          <w:p>
            <w:pPr>
              <w:jc w:val="center"/>
            </w:pPr>
            <w:r/>
            <w:r>
              <w:rPr>
                <w:rFonts w:ascii="SimSun" w:hAnsi="SimSun" w:eastAsia="SimSun"/>
                <w:b w:val="0"/>
                <w:sz w:val="20"/>
              </w:rPr>
              <w:t>工况变化大的渠道</w:t>
            </w:r>
          </w:p>
        </w:tc>
      </w:tr>
      <w:tr>
        <w:tc>
          <w:tcPr>
            <w:tcW w:type="dxa" w:w="1417"/>
          </w:tcPr>
          <w:p>
            <w:pPr>
              <w:jc w:val="center"/>
            </w:pPr>
            <w:r/>
            <w:r>
              <w:rPr>
                <w:rFonts w:ascii="SimSun" w:hAnsi="SimSun" w:eastAsia="SimSun"/>
                <w:b w:val="0"/>
                <w:sz w:val="20"/>
              </w:rPr>
              <w:t>MPC</w:t>
            </w:r>
          </w:p>
        </w:tc>
        <w:tc>
          <w:tcPr>
            <w:tcW w:type="dxa" w:w="1417"/>
          </w:tcPr>
          <w:p>
            <w:pPr>
              <w:jc w:val="center"/>
            </w:pPr>
            <w:r/>
            <w:r>
              <w:rPr>
                <w:rFonts w:ascii="SimSun" w:hAnsi="SimSun" w:eastAsia="SimSun"/>
                <w:b w:val="0"/>
                <w:sz w:val="20"/>
              </w:rPr>
              <w:t>模型预测</w:t>
            </w:r>
          </w:p>
        </w:tc>
        <w:tc>
          <w:tcPr>
            <w:tcW w:type="dxa" w:w="2551"/>
          </w:tcPr>
          <w:p>
            <w:pPr>
              <w:jc w:val="center"/>
            </w:pPr>
            <w:r/>
            <w:r>
              <w:rPr>
                <w:rFonts w:ascii="SimSun" w:hAnsi="SimSun" w:eastAsia="SimSun"/>
                <w:b w:val="0"/>
                <w:sz w:val="20"/>
              </w:rPr>
              <w:t>多变量协调优化，</w:t>
              <w:br/>
              <w:t>性能最优，计算量较大</w:t>
            </w:r>
          </w:p>
        </w:tc>
        <w:tc>
          <w:tcPr>
            <w:tcW w:type="dxa" w:w="1984"/>
          </w:tcPr>
          <w:p>
            <w:pPr>
              <w:jc w:val="center"/>
            </w:pPr>
            <w:r/>
            <w:r>
              <w:rPr>
                <w:rFonts w:ascii="SimSun" w:hAnsi="SimSun" w:eastAsia="SimSun"/>
                <w:b w:val="0"/>
                <w:sz w:val="20"/>
              </w:rPr>
              <w:t>大规模系统整体优化</w:t>
            </w:r>
          </w:p>
        </w:tc>
      </w:tr>
    </w:tbl>
    <w:p>
      <w:pPr>
        <w:spacing w:line="400" w:lineRule="exact" w:before="60" w:after="60"/>
        <w:ind w:firstLine="482"/>
      </w:pPr>
      <w:r>
        <w:rPr>
          <w:rFonts w:ascii="SimSun" w:hAnsi="SimSun" w:eastAsia="SimSun"/>
          <w:b w:val="0"/>
          <w:sz w:val="24"/>
        </w:rPr>
        <w:t>表7-2  ASCE测试用例中主要控制算法对比</w:t>
      </w:r>
    </w:p>
    <w:p>
      <w:pPr>
        <w:spacing w:before="200" w:after="160"/>
        <w:jc w:val="left"/>
      </w:pPr>
      <w:r>
        <w:rPr>
          <w:rFonts w:ascii="SimSun" w:hAnsi="SimSun" w:eastAsia="SimSun"/>
          <w:b/>
          <w:sz w:val="24"/>
        </w:rPr>
        <w:t>7.8.2  美国Maricopa-Stanfield灌区的MPC闭环实践</w:t>
      </w:r>
    </w:p>
    <w:p>
      <w:pPr>
        <w:spacing w:line="400" w:lineRule="exact" w:before="60" w:after="60"/>
        <w:ind w:firstLine="482"/>
      </w:pPr>
      <w:r>
        <w:rPr>
          <w:rFonts w:ascii="SimSun" w:hAnsi="SimSun" w:eastAsia="SimSun"/>
          <w:b w:val="0"/>
          <w:sz w:val="24"/>
        </w:rPr>
        <w:t>Maricopa-Stanfield灌区（Maricopa-Stanfield Irrigation and Drainage District, MSIDD）位于美国亚利桑那州，是全球最早实现MPC闭环控制的明渠灌溉系统之一。该系统由Clemmens等人开发，采用IDZ模型作为MPC预测模型，实现了渠道水位的全自动控制[32]。</w:t>
      </w:r>
    </w:p>
    <w:p>
      <w:pPr>
        <w:spacing w:line="400" w:lineRule="exact" w:before="60" w:after="60"/>
        <w:ind w:firstLine="482"/>
      </w:pPr>
      <w:r>
        <w:rPr>
          <w:rFonts w:ascii="SimSun" w:hAnsi="SimSun" w:eastAsia="SimSun"/>
          <w:b w:val="0"/>
          <w:sz w:val="24"/>
        </w:rPr>
        <w:t>其核心成果包括：水位控制精度达到±0.03m（相对于设计水深约±1.5%），输水效率提升约10%，人工干预减少80%以上。该实践已充分证明IDZ模型+MPC方案在真实工程中的可行性和有效性，南水北调中线完全具备复制并超越这一成功经验的技术条件[33]。</w:t>
      </w:r>
    </w:p>
    <w:p>
      <w:pPr>
        <w:spacing w:before="200" w:after="160"/>
        <w:jc w:val="left"/>
      </w:pPr>
      <w:r>
        <w:rPr>
          <w:rFonts w:ascii="SimSun" w:hAnsi="SimSun" w:eastAsia="SimSun"/>
          <w:b/>
          <w:sz w:val="24"/>
        </w:rPr>
        <w:t>7.8.3  荷兰运河自动调度系统</w:t>
      </w:r>
    </w:p>
    <w:p>
      <w:pPr>
        <w:spacing w:line="400" w:lineRule="exact" w:before="60" w:after="60"/>
        <w:ind w:firstLine="482"/>
      </w:pPr>
      <w:r>
        <w:rPr>
          <w:rFonts w:ascii="SimSun" w:hAnsi="SimSun" w:eastAsia="SimSun"/>
          <w:b w:val="0"/>
          <w:sz w:val="24"/>
        </w:rPr>
        <w:t>荷兰TU Delft的van Overloop团队在荷兰运河系统中实施了基于MPC的自动调度，系统管理约300公里的主要运河网络[25]。其技术特点包括：采用多目标MPC同时优化水位控制和船闸通行能力；引入水质约束（营养物浓度上限）作为优化软约束；实现了暴雨事件时的自动已泵站协调排水。</w:t>
      </w:r>
    </w:p>
    <w:p>
      <w:pPr>
        <w:spacing w:line="400" w:lineRule="exact" w:before="60" w:after="60"/>
        <w:ind w:firstLine="482"/>
      </w:pPr>
      <w:r>
        <w:rPr>
          <w:rFonts w:ascii="SimSun" w:hAnsi="SimSun" w:eastAsia="SimSun"/>
          <w:b w:val="0"/>
          <w:sz w:val="24"/>
        </w:rPr>
        <w:t>荷兰的经验表明，MPC在水网系统中的工程化应用已经成熟，关键成功因素包括：可靠的预测模型（模型精度决定控制品质）、完善的传感器网络（提供可靠的反馈信息）、以及渐进式的人机合作策略（先由MPC建议+人工确认，逐步过渡到全自动）[34]。</w:t>
      </w:r>
    </w:p>
    <w:p>
      <w:pPr>
        <w:spacing w:before="200" w:after="160"/>
        <w:jc w:val="left"/>
      </w:pPr>
      <w:r>
        <w:rPr>
          <w:rFonts w:ascii="SimSun" w:hAnsi="SimSun" w:eastAsia="SimSun"/>
          <w:b/>
          <w:sz w:val="24"/>
        </w:rPr>
        <w:t>7.8.4  澳大利亚Murray-Darling流域的分布式调度</w:t>
      </w:r>
    </w:p>
    <w:p>
      <w:pPr>
        <w:spacing w:line="400" w:lineRule="exact" w:before="60" w:after="60"/>
        <w:ind w:firstLine="482"/>
      </w:pPr>
      <w:r>
        <w:rPr>
          <w:rFonts w:ascii="SimSun" w:hAnsi="SimSun" w:eastAsia="SimSun"/>
          <w:b w:val="0"/>
          <w:sz w:val="24"/>
        </w:rPr>
        <w:t>澳大利亚Murray-Darling流域管理局（MDBA）管理着澳大利亚最大的跨州水资源系统，其调度架构采用典型的分布式多层级结构：联邦层面的MDBA负责流域级水量分配，各州负责州内河流调度，灌区负责末端配水。这一架构与本研究提出的三层控制架构高度匹配，为中国国家水网的分布式调度提供了组织层面的参考[35]。</w:t>
      </w:r>
    </w:p>
    <w:p>
      <w:pPr>
        <w:spacing w:before="280" w:after="200"/>
        <w:jc w:val="left"/>
      </w:pPr>
      <w:r>
        <w:rPr>
          <w:rFonts w:ascii="SimSun" w:hAnsi="SimSun" w:eastAsia="SimSun"/>
          <w:b/>
          <w:sz w:val="28"/>
        </w:rPr>
        <w:t>7.9  面向南水北调中线的工程化方案</w:t>
      </w:r>
    </w:p>
    <w:p>
      <w:pPr>
        <w:spacing w:before="200" w:after="160"/>
        <w:jc w:val="left"/>
      </w:pPr>
      <w:r>
        <w:rPr>
          <w:rFonts w:ascii="SimSun" w:hAnsi="SimSun" w:eastAsia="SimSun"/>
          <w:b/>
          <w:sz w:val="24"/>
        </w:rPr>
        <w:t>7.9.1  控制系统参数配置</w:t>
      </w:r>
    </w:p>
    <w:p>
      <w:pPr>
        <w:spacing w:line="400" w:lineRule="exact" w:before="60" w:after="60"/>
        <w:ind w:firstLine="482"/>
      </w:pPr>
      <w:r>
        <w:rPr>
          <w:rFonts w:ascii="SimSun" w:hAnsi="SimSun" w:eastAsia="SimSun"/>
          <w:b w:val="0"/>
          <w:sz w:val="24"/>
        </w:rPr>
        <w:t>基于前述理论和国际经验，提出南水北调中线MPC系统的推荐参数配置。</w:t>
      </w:r>
    </w:p>
    <w:tbl>
      <w:tblPr>
        <w:tblStyle w:val="TableGrid"/>
        <w:tblW w:type="auto" w:w="0"/>
        <w:jc w:val="center"/>
        <w:tblLook w:firstColumn="1" w:firstRow="1" w:lastColumn="0" w:lastRow="0" w:noHBand="0" w:noVBand="1" w:val="04A0"/>
      </w:tblPr>
      <w:tblGrid>
        <w:gridCol w:w="3099"/>
        <w:gridCol w:w="3099"/>
        <w:gridCol w:w="3099"/>
      </w:tblGrid>
      <w:tr>
        <w:tc>
          <w:tcPr>
            <w:tcW w:type="dxa" w:w="1984"/>
            <w:shd w:fill="D9E2F3" w:val="clear"/>
          </w:tcPr>
          <w:p>
            <w:pPr>
              <w:jc w:val="center"/>
            </w:pPr>
            <w:r/>
            <w:r>
              <w:rPr>
                <w:rFonts w:ascii="SimSun" w:hAnsi="SimSun" w:eastAsia="SimSun"/>
                <w:b/>
                <w:sz w:val="20"/>
              </w:rPr>
              <w:t>参数</w:t>
            </w:r>
          </w:p>
        </w:tc>
        <w:tc>
          <w:tcPr>
            <w:tcW w:type="dxa" w:w="1701"/>
            <w:shd w:fill="D9E2F3" w:val="clear"/>
          </w:tcPr>
          <w:p>
            <w:pPr>
              <w:jc w:val="center"/>
            </w:pPr>
            <w:r/>
            <w:r>
              <w:rPr>
                <w:rFonts w:ascii="SimSun" w:hAnsi="SimSun" w:eastAsia="SimSun"/>
                <w:b/>
                <w:sz w:val="20"/>
              </w:rPr>
              <w:t>推荐值</w:t>
            </w:r>
          </w:p>
        </w:tc>
        <w:tc>
          <w:tcPr>
            <w:tcW w:type="dxa" w:w="3685"/>
            <w:shd w:fill="D9E2F3" w:val="clear"/>
          </w:tcPr>
          <w:p>
            <w:pPr>
              <w:jc w:val="center"/>
            </w:pPr>
            <w:r/>
            <w:r>
              <w:rPr>
                <w:rFonts w:ascii="SimSun" w:hAnsi="SimSun" w:eastAsia="SimSun"/>
                <w:b/>
                <w:sz w:val="20"/>
              </w:rPr>
              <w:t>说明</w:t>
            </w:r>
          </w:p>
        </w:tc>
      </w:tr>
      <w:tr>
        <w:tc>
          <w:tcPr>
            <w:tcW w:type="dxa" w:w="1984"/>
          </w:tcPr>
          <w:p>
            <w:pPr>
              <w:jc w:val="center"/>
            </w:pPr>
            <w:r/>
            <w:r>
              <w:rPr>
                <w:rFonts w:ascii="SimSun" w:hAnsi="SimSun" w:eastAsia="SimSun"/>
                <w:b w:val="0"/>
                <w:sz w:val="20"/>
              </w:rPr>
              <w:t>预测时域 N(p)</w:t>
            </w:r>
          </w:p>
        </w:tc>
        <w:tc>
          <w:tcPr>
            <w:tcW w:type="dxa" w:w="1701"/>
          </w:tcPr>
          <w:p>
            <w:pPr>
              <w:jc w:val="center"/>
            </w:pPr>
            <w:r/>
            <w:r>
              <w:rPr>
                <w:rFonts w:ascii="SimSun" w:hAnsi="SimSun" w:eastAsia="SimSun"/>
                <w:b w:val="0"/>
                <w:sz w:val="20"/>
              </w:rPr>
              <w:t>48 (约8h)</w:t>
            </w:r>
          </w:p>
        </w:tc>
        <w:tc>
          <w:tcPr>
            <w:tcW w:type="dxa" w:w="3685"/>
          </w:tcPr>
          <w:p>
            <w:pPr>
              <w:jc w:val="center"/>
            </w:pPr>
            <w:r/>
            <w:r>
              <w:rPr>
                <w:rFonts w:ascii="SimSun" w:hAnsi="SimSun" w:eastAsia="SimSun"/>
                <w:b w:val="0"/>
                <w:sz w:val="20"/>
              </w:rPr>
              <w:t>覆盖单个渠池的最大时滞</w:t>
            </w:r>
          </w:p>
        </w:tc>
      </w:tr>
      <w:tr>
        <w:tc>
          <w:tcPr>
            <w:tcW w:type="dxa" w:w="1984"/>
          </w:tcPr>
          <w:p>
            <w:pPr>
              <w:jc w:val="center"/>
            </w:pPr>
            <w:r/>
            <w:r>
              <w:rPr>
                <w:rFonts w:ascii="SimSun" w:hAnsi="SimSun" w:eastAsia="SimSun"/>
                <w:b w:val="0"/>
                <w:sz w:val="20"/>
              </w:rPr>
              <w:t>控制时域 N(u)</w:t>
            </w:r>
          </w:p>
        </w:tc>
        <w:tc>
          <w:tcPr>
            <w:tcW w:type="dxa" w:w="1701"/>
          </w:tcPr>
          <w:p>
            <w:pPr>
              <w:jc w:val="center"/>
            </w:pPr>
            <w:r/>
            <w:r>
              <w:rPr>
                <w:rFonts w:ascii="SimSun" w:hAnsi="SimSun" w:eastAsia="SimSun"/>
                <w:b w:val="0"/>
                <w:sz w:val="20"/>
              </w:rPr>
              <w:t>24 (约4h)</w:t>
            </w:r>
          </w:p>
        </w:tc>
        <w:tc>
          <w:tcPr>
            <w:tcW w:type="dxa" w:w="3685"/>
          </w:tcPr>
          <w:p>
            <w:pPr>
              <w:jc w:val="center"/>
            </w:pPr>
            <w:r/>
            <w:r>
              <w:rPr>
                <w:rFonts w:ascii="SimSun" w:hAnsi="SimSun" w:eastAsia="SimSun"/>
                <w:b w:val="0"/>
                <w:sz w:val="20"/>
              </w:rPr>
              <w:t>约为N(p)的一半</w:t>
            </w:r>
          </w:p>
        </w:tc>
      </w:tr>
      <w:tr>
        <w:tc>
          <w:tcPr>
            <w:tcW w:type="dxa" w:w="1984"/>
          </w:tcPr>
          <w:p>
            <w:pPr>
              <w:jc w:val="center"/>
            </w:pPr>
            <w:r/>
            <w:r>
              <w:rPr>
                <w:rFonts w:ascii="SimSun" w:hAnsi="SimSun" w:eastAsia="SimSun"/>
                <w:b w:val="0"/>
                <w:sz w:val="20"/>
              </w:rPr>
              <w:t>控制周期 Δt</w:t>
            </w:r>
          </w:p>
        </w:tc>
        <w:tc>
          <w:tcPr>
            <w:tcW w:type="dxa" w:w="1701"/>
          </w:tcPr>
          <w:p>
            <w:pPr>
              <w:jc w:val="center"/>
            </w:pPr>
            <w:r/>
            <w:r>
              <w:rPr>
                <w:rFonts w:ascii="SimSun" w:hAnsi="SimSun" w:eastAsia="SimSun"/>
                <w:b w:val="0"/>
                <w:sz w:val="20"/>
              </w:rPr>
              <w:t>10 min</w:t>
            </w:r>
          </w:p>
        </w:tc>
        <w:tc>
          <w:tcPr>
            <w:tcW w:type="dxa" w:w="3685"/>
          </w:tcPr>
          <w:p>
            <w:pPr>
              <w:jc w:val="center"/>
            </w:pPr>
            <w:r/>
            <w:r>
              <w:rPr>
                <w:rFonts w:ascii="SimSun" w:hAnsi="SimSun" w:eastAsia="SimSun"/>
                <w:b w:val="0"/>
                <w:sz w:val="20"/>
              </w:rPr>
              <w:t>与SCADA采集周期匹配</w:t>
            </w:r>
          </w:p>
        </w:tc>
      </w:tr>
      <w:tr>
        <w:tc>
          <w:tcPr>
            <w:tcW w:type="dxa" w:w="1984"/>
          </w:tcPr>
          <w:p>
            <w:pPr>
              <w:jc w:val="center"/>
            </w:pPr>
            <w:r/>
            <w:r>
              <w:rPr>
                <w:rFonts w:ascii="SimSun" w:hAnsi="SimSun" w:eastAsia="SimSun"/>
                <w:b w:val="0"/>
                <w:sz w:val="20"/>
              </w:rPr>
              <w:t>预测模型</w:t>
            </w:r>
          </w:p>
        </w:tc>
        <w:tc>
          <w:tcPr>
            <w:tcW w:type="dxa" w:w="1701"/>
          </w:tcPr>
          <w:p>
            <w:pPr>
              <w:jc w:val="center"/>
            </w:pPr>
            <w:r/>
            <w:r>
              <w:rPr>
                <w:rFonts w:ascii="SimSun" w:hAnsi="SimSun" w:eastAsia="SimSun"/>
                <w:b w:val="0"/>
                <w:sz w:val="20"/>
              </w:rPr>
              <w:t>IDZ传递函数</w:t>
            </w:r>
          </w:p>
        </w:tc>
        <w:tc>
          <w:tcPr>
            <w:tcW w:type="dxa" w:w="3685"/>
          </w:tcPr>
          <w:p>
            <w:pPr>
              <w:jc w:val="center"/>
            </w:pPr>
            <w:r/>
            <w:r>
              <w:rPr>
                <w:rFonts w:ascii="SimSun" w:hAnsi="SimSun" w:eastAsia="SimSun"/>
                <w:b w:val="0"/>
                <w:sz w:val="20"/>
              </w:rPr>
              <w:t>平衡精度与计算效率</w:t>
            </w:r>
          </w:p>
        </w:tc>
      </w:tr>
      <w:tr>
        <w:tc>
          <w:tcPr>
            <w:tcW w:type="dxa" w:w="1984"/>
          </w:tcPr>
          <w:p>
            <w:pPr>
              <w:jc w:val="center"/>
            </w:pPr>
            <w:r/>
            <w:r>
              <w:rPr>
                <w:rFonts w:ascii="SimSun" w:hAnsi="SimSun" w:eastAsia="SimSun"/>
                <w:b w:val="0"/>
                <w:sz w:val="20"/>
              </w:rPr>
              <w:t>求解器</w:t>
            </w:r>
          </w:p>
        </w:tc>
        <w:tc>
          <w:tcPr>
            <w:tcW w:type="dxa" w:w="1701"/>
          </w:tcPr>
          <w:p>
            <w:pPr>
              <w:jc w:val="center"/>
            </w:pPr>
            <w:r/>
            <w:r>
              <w:rPr>
                <w:rFonts w:ascii="SimSun" w:hAnsi="SimSun" w:eastAsia="SimSun"/>
                <w:b w:val="0"/>
                <w:sz w:val="20"/>
              </w:rPr>
              <w:t>OSQP / Gurobi</w:t>
            </w:r>
          </w:p>
        </w:tc>
        <w:tc>
          <w:tcPr>
            <w:tcW w:type="dxa" w:w="3685"/>
          </w:tcPr>
          <w:p>
            <w:pPr>
              <w:jc w:val="center"/>
            </w:pPr>
            <w:r/>
            <w:r>
              <w:rPr>
                <w:rFonts w:ascii="SimSun" w:hAnsi="SimSun" w:eastAsia="SimSun"/>
                <w:b w:val="0"/>
                <w:sz w:val="20"/>
              </w:rPr>
              <w:t>开源/商业QP求解器</w:t>
            </w:r>
          </w:p>
        </w:tc>
      </w:tr>
      <w:tr>
        <w:tc>
          <w:tcPr>
            <w:tcW w:type="dxa" w:w="1984"/>
          </w:tcPr>
          <w:p>
            <w:pPr>
              <w:jc w:val="center"/>
            </w:pPr>
            <w:r/>
            <w:r>
              <w:rPr>
                <w:rFonts w:ascii="SimSun" w:hAnsi="SimSun" w:eastAsia="SimSun"/>
                <w:b w:val="0"/>
                <w:sz w:val="20"/>
              </w:rPr>
              <w:t>鲁棒性策略</w:t>
            </w:r>
          </w:p>
        </w:tc>
        <w:tc>
          <w:tcPr>
            <w:tcW w:type="dxa" w:w="1701"/>
          </w:tcPr>
          <w:p>
            <w:pPr>
              <w:jc w:val="center"/>
            </w:pPr>
            <w:r/>
            <w:r>
              <w:rPr>
                <w:rFonts w:ascii="SimSun" w:hAnsi="SimSun" w:eastAsia="SimSun"/>
                <w:b w:val="0"/>
                <w:sz w:val="20"/>
              </w:rPr>
              <w:t>概率性约束收紧</w:t>
            </w:r>
          </w:p>
        </w:tc>
        <w:tc>
          <w:tcPr>
            <w:tcW w:type="dxa" w:w="3685"/>
          </w:tcPr>
          <w:p>
            <w:pPr>
              <w:jc w:val="center"/>
            </w:pPr>
            <w:r/>
            <w:r>
              <w:rPr>
                <w:rFonts w:ascii="SimSun" w:hAnsi="SimSun" w:eastAsia="SimSun"/>
                <w:b w:val="0"/>
                <w:sz w:val="20"/>
              </w:rPr>
              <w:t>基于EnKF不确定性信息</w:t>
            </w:r>
          </w:p>
        </w:tc>
      </w:tr>
      <w:tr>
        <w:tc>
          <w:tcPr>
            <w:tcW w:type="dxa" w:w="1984"/>
          </w:tcPr>
          <w:p>
            <w:pPr>
              <w:jc w:val="center"/>
            </w:pPr>
            <w:r/>
            <w:r>
              <w:rPr>
                <w:rFonts w:ascii="SimSun" w:hAnsi="SimSun" w:eastAsia="SimSun"/>
                <w:b w:val="0"/>
                <w:sz w:val="20"/>
              </w:rPr>
              <w:t>DMPC子区数</w:t>
            </w:r>
          </w:p>
        </w:tc>
        <w:tc>
          <w:tcPr>
            <w:tcW w:type="dxa" w:w="1701"/>
          </w:tcPr>
          <w:p>
            <w:pPr>
              <w:jc w:val="center"/>
            </w:pPr>
            <w:r/>
            <w:r>
              <w:rPr>
                <w:rFonts w:ascii="SimSun" w:hAnsi="SimSun" w:eastAsia="SimSun"/>
                <w:b w:val="0"/>
                <w:sz w:val="20"/>
              </w:rPr>
              <w:t>6–8个</w:t>
            </w:r>
          </w:p>
        </w:tc>
        <w:tc>
          <w:tcPr>
            <w:tcW w:type="dxa" w:w="3685"/>
          </w:tcPr>
          <w:p>
            <w:pPr>
              <w:jc w:val="center"/>
            </w:pPr>
            <w:r/>
            <w:r>
              <w:rPr>
                <w:rFonts w:ascii="SimSun" w:hAnsi="SimSun" w:eastAsia="SimSun"/>
                <w:b w:val="0"/>
                <w:sz w:val="20"/>
              </w:rPr>
              <w:t>每子区8–10个渠池</w:t>
            </w:r>
          </w:p>
        </w:tc>
      </w:tr>
      <w:tr>
        <w:tc>
          <w:tcPr>
            <w:tcW w:type="dxa" w:w="1984"/>
          </w:tcPr>
          <w:p>
            <w:pPr>
              <w:jc w:val="center"/>
            </w:pPr>
            <w:r/>
            <w:r>
              <w:rPr>
                <w:rFonts w:ascii="SimSun" w:hAnsi="SimSun" w:eastAsia="SimSun"/>
                <w:b w:val="0"/>
                <w:sz w:val="20"/>
              </w:rPr>
              <w:t>DMPC迭代次数</w:t>
            </w:r>
          </w:p>
        </w:tc>
        <w:tc>
          <w:tcPr>
            <w:tcW w:type="dxa" w:w="1701"/>
          </w:tcPr>
          <w:p>
            <w:pPr>
              <w:jc w:val="center"/>
            </w:pPr>
            <w:r/>
            <w:r>
              <w:rPr>
                <w:rFonts w:ascii="SimSun" w:hAnsi="SimSun" w:eastAsia="SimSun"/>
                <w:b w:val="0"/>
                <w:sz w:val="20"/>
              </w:rPr>
              <w:t>3–5次</w:t>
            </w:r>
          </w:p>
        </w:tc>
        <w:tc>
          <w:tcPr>
            <w:tcW w:type="dxa" w:w="3685"/>
          </w:tcPr>
          <w:p>
            <w:pPr>
              <w:jc w:val="center"/>
            </w:pPr>
            <w:r/>
            <w:r>
              <w:rPr>
                <w:rFonts w:ascii="SimSun" w:hAnsi="SimSun" w:eastAsia="SimSun"/>
                <w:b w:val="0"/>
                <w:sz w:val="20"/>
              </w:rPr>
              <w:t>平衡收敛性与实时性</w:t>
            </w:r>
          </w:p>
        </w:tc>
      </w:tr>
    </w:tbl>
    <w:p>
      <w:pPr>
        <w:spacing w:line="400" w:lineRule="exact" w:before="60" w:after="60"/>
        <w:ind w:firstLine="482"/>
      </w:pPr>
      <w:r>
        <w:rPr>
          <w:rFonts w:ascii="SimSun" w:hAnsi="SimSun" w:eastAsia="SimSun"/>
          <w:b w:val="0"/>
          <w:sz w:val="24"/>
        </w:rPr>
        <w:t>表7-3  南水北调中线MPC系统推荐参数</w:t>
      </w:r>
    </w:p>
    <w:p>
      <w:pPr>
        <w:spacing w:before="200" w:after="160"/>
        <w:jc w:val="left"/>
      </w:pPr>
      <w:r>
        <w:rPr>
          <w:rFonts w:ascii="SimSun" w:hAnsi="SimSun" w:eastAsia="SimSun"/>
          <w:b/>
          <w:sz w:val="24"/>
        </w:rPr>
        <w:t>7.9.2  实施路线图</w:t>
      </w:r>
    </w:p>
    <w:p>
      <w:pPr>
        <w:spacing w:line="400" w:lineRule="exact" w:before="60" w:after="60"/>
        <w:ind w:firstLine="482"/>
      </w:pPr>
      <w:r>
        <w:rPr>
          <w:rFonts w:ascii="SimSun" w:hAnsi="SimSun" w:eastAsia="SimSun"/>
          <w:b w:val="0"/>
          <w:sz w:val="24"/>
        </w:rPr>
        <w:t>建议分三个阶段实施。</w:t>
      </w:r>
    </w:p>
    <w:p>
      <w:pPr>
        <w:spacing w:line="400" w:lineRule="exact" w:before="60" w:after="60"/>
        <w:ind w:firstLine="482"/>
      </w:pPr>
      <w:r>
        <w:rPr>
          <w:rFonts w:ascii="SimSun" w:hAnsi="SimSun" w:eastAsia="SimSun"/>
          <w:b w:val="0"/>
          <w:sz w:val="24"/>
        </w:rPr>
        <w:t>第一阶段（单渠池验证，2025—2026年）：选择一个典型渠池（建议选择长度中等、旁侧入流较大的渠池），实施MPC闭环控制。验证内容包括：IDZ模型精度验证（保真度TF≥0.90）、MPC参数调优、人机切换协议验证。量化目标：水位波动标准差相比人工调度降低40%以上。</w:t>
      </w:r>
    </w:p>
    <w:p>
      <w:pPr>
        <w:spacing w:line="400" w:lineRule="exact" w:before="60" w:after="60"/>
        <w:ind w:firstLine="482"/>
      </w:pPr>
      <w:r>
        <w:rPr>
          <w:rFonts w:ascii="SimSun" w:hAnsi="SimSun" w:eastAsia="SimSun"/>
          <w:b w:val="0"/>
          <w:sz w:val="24"/>
        </w:rPr>
        <w:t>第二阶段（多渠池DMPC验证，2026—2028年）：将控制范围扩展到连续的5–10个渠池，实施DMPC协调控制。验证内容包括：子区间协调的收敛性、鲁棒MPC的约束满足率、复杂场景（多点同时取水变化、干渠检修时的降水调度）下的性能。量化目标：输水效率提升15%以上，人工干预减少70%。</w:t>
      </w:r>
    </w:p>
    <w:p>
      <w:pPr>
        <w:spacing w:line="400" w:lineRule="exact" w:before="60" w:after="60"/>
        <w:ind w:firstLine="482"/>
      </w:pPr>
      <w:r>
        <w:rPr>
          <w:rFonts w:ascii="SimSun" w:hAnsi="SimSun" w:eastAsia="SimSun"/>
          <w:b w:val="0"/>
          <w:sz w:val="24"/>
        </w:rPr>
        <w:t>第三阶段（全线部署，2028—2030年）：将DMPC扩展到兣63个渠池，实现全线自主控制。这一阶段的重点是极端工况的安全性验证和人机协同流程的成熟化。量化目标：在ODD内实现连续无人干预运行≥72小时（L3级）。</w:t>
      </w:r>
    </w:p>
    <w:p>
      <w:pPr>
        <w:spacing w:before="280" w:after="200"/>
        <w:jc w:val="left"/>
      </w:pPr>
      <w:r>
        <w:rPr>
          <w:rFonts w:ascii="SimSun" w:hAnsi="SimSun" w:eastAsia="SimSun"/>
          <w:b/>
          <w:sz w:val="28"/>
        </w:rPr>
        <w:t>7.10  本章小结</w:t>
      </w:r>
    </w:p>
    <w:p>
      <w:pPr>
        <w:spacing w:line="400" w:lineRule="exact" w:before="60" w:after="60"/>
        <w:ind w:firstLine="482"/>
      </w:pPr>
      <w:r>
        <w:rPr>
          <w:rFonts w:ascii="SimSun" w:hAnsi="SimSun" w:eastAsia="SimSun"/>
          <w:b w:val="0"/>
          <w:sz w:val="24"/>
        </w:rPr>
        <w:t>本章系统论述了水网自主运行的控制核心——分层分布式优化调度与控制的理论体系和工程化方案。主要结论如下。</w:t>
      </w:r>
    </w:p>
    <w:p>
      <w:pPr>
        <w:spacing w:line="400" w:lineRule="exact" w:before="60" w:after="60"/>
        <w:ind w:firstLine="482"/>
      </w:pPr>
      <w:r>
        <w:rPr>
          <w:rFonts w:ascii="SimSun" w:hAnsi="SimSun" w:eastAsia="SimSun"/>
          <w:b w:val="0"/>
          <w:sz w:val="24"/>
        </w:rPr>
        <w:t>第一，水网的多尺度特征决定了控制系统必须采用三层架构：上层EMPC负责经济性优化（天—周尺度），中层DMPC负责水位跟踪与跨渠池协调（分钟—小时尺度），下层PID负责闸门开度跟踪与设备保护（秒级尺度）。三层之间通过“目标下发—状态回传”的双向信息流实现协调。</w:t>
      </w:r>
    </w:p>
    <w:p>
      <w:pPr>
        <w:spacing w:line="400" w:lineRule="exact" w:before="60" w:after="60"/>
        <w:ind w:firstLine="482"/>
      </w:pPr>
      <w:r>
        <w:rPr>
          <w:rFonts w:ascii="SimSun" w:hAnsi="SimSun" w:eastAsia="SimSun"/>
          <w:b w:val="0"/>
          <w:sz w:val="24"/>
        </w:rPr>
        <w:t>第二，MPC是水网控制的核心方法。当预测模型采用IDZ传递函数时，MPC问题简化为标准QP，可在普通服务器上毫秒到秒级求解。对于含63个渠池、预测时域8小时的南水北调中线系统，QP问题规模约3000个变量、6000个约束，完全在工程可计算范围内。</w:t>
      </w:r>
    </w:p>
    <w:p>
      <w:pPr>
        <w:spacing w:line="400" w:lineRule="exact" w:before="60" w:after="60"/>
        <w:ind w:firstLine="482"/>
      </w:pPr>
      <w:r>
        <w:rPr>
          <w:rFonts w:ascii="SimSun" w:hAnsi="SimSun" w:eastAsia="SimSun"/>
          <w:b w:val="0"/>
          <w:sz w:val="24"/>
        </w:rPr>
        <w:t>第三，鲁棒MPC是实现“不确定性感知”控制的关键。通过将第六章EnKF提供的不确定性信息转化为约束裕度，鲁棒MPC实现了“不确定性大时保守、不确定性小时激进”的自适应策略，这是自主运行系统区别于传统确定性调度的核心特征。</w:t>
      </w:r>
    </w:p>
    <w:p>
      <w:pPr>
        <w:spacing w:line="400" w:lineRule="exact" w:before="60" w:after="60"/>
        <w:ind w:firstLine="482"/>
      </w:pPr>
      <w:r>
        <w:rPr>
          <w:rFonts w:ascii="SimSun" w:hAnsi="SimSun" w:eastAsia="SimSun"/>
          <w:b w:val="0"/>
          <w:sz w:val="24"/>
        </w:rPr>
        <w:t>第四，DMPC解决了大规模水网的计算可扩展性和容错性问题。本研究推荐采用“预测耦合+约束解耦”策略或ADMM方法将全线分解为6–8个子系统并行求解，典型收敛只需3–5次迭代。</w:t>
      </w:r>
    </w:p>
    <w:p>
      <w:pPr>
        <w:spacing w:line="400" w:lineRule="exact" w:before="60" w:after="60"/>
        <w:ind w:firstLine="482"/>
      </w:pPr>
      <w:r>
        <w:rPr>
          <w:rFonts w:ascii="SimSun" w:hAnsi="SimSun" w:eastAsia="SimSun"/>
          <w:b w:val="0"/>
          <w:sz w:val="24"/>
        </w:rPr>
        <w:t>第五，大时滞是水网控制的特有挑战。“Smith预估器+MPC”复合架构将时滞从反馈回路中分离，配合多尺度时滞补偿策略，可以有效应对单渠池时滞数十分钟到全线累积时滞数十小时的多尺度时滞问题。</w:t>
      </w:r>
    </w:p>
    <w:p>
      <w:pPr>
        <w:spacing w:line="400" w:lineRule="exact" w:before="60" w:after="60"/>
        <w:ind w:firstLine="482"/>
      </w:pPr>
      <w:r>
        <w:rPr>
          <w:rFonts w:ascii="SimSun" w:hAnsi="SimSun" w:eastAsia="SimSun"/>
          <w:b w:val="0"/>
          <w:sz w:val="24"/>
        </w:rPr>
        <w:t>第六，国际案例充分证明MPC/DMPC在水网系统中的工程化应用已经成熟。美国MSIDD的IDZ+MPC闭环控制、荷兰的多目标MPC运河调度、澳大利亚的分布式多层级调度均已在实际工程中验证。南水北调中线的规模远超上述案例，挑战更大但技术基础已具备。</w:t>
      </w:r>
    </w:p>
    <w:p>
      <w:pPr>
        <w:spacing w:line="400" w:lineRule="exact" w:before="60" w:after="60"/>
        <w:ind w:firstLine="482"/>
      </w:pPr>
      <w:r>
        <w:rPr>
          <w:rFonts w:ascii="SimSun" w:hAnsi="SimSun" w:eastAsia="SimSun"/>
          <w:b w:val="0"/>
          <w:sz w:val="24"/>
        </w:rPr>
        <w:t>上述控制方法与第六章的状态重构技术、第入章的安全约束管理共同构成水网自主运行的“感知—控制—安全”闭环。第六章的状态估计提供“知道系统处于什么状态”，本章的MPC解决“应该采取什么动作”，第八章的约束管理确保“动作不会超越安全红线”——三者缺一不可。</w:t>
      </w:r>
    </w:p>
    <w:p>
      <w:pPr>
        <w:spacing w:before="280" w:after="200"/>
        <w:jc w:val="left"/>
      </w:pPr>
      <w:r>
        <w:rPr>
          <w:rFonts w:ascii="SimSun" w:hAnsi="SimSun" w:eastAsia="SimSun"/>
          <w:b/>
          <w:sz w:val="28"/>
        </w:rPr>
        <w:t>参考文献</w:t>
      </w:r>
    </w:p>
    <w:p>
      <w:pPr>
        <w:spacing w:line="360" w:lineRule="exact" w:before="30" w:after="30"/>
        <w:ind w:left="482" w:hanging="482"/>
      </w:pPr>
      <w:r>
        <w:rPr>
          <w:rFonts w:ascii="SimSun" w:hAnsi="SimSun" w:eastAsia="SimSun"/>
          <w:b w:val="0"/>
          <w:sz w:val="20"/>
        </w:rPr>
        <w:t>[1] Lunze J, Lamnabhi-Lagarrigue F. Handbook of Hybrid Systems Control: Theory, Tools, Applications. Cambridge University Press, 2009.</w:t>
      </w:r>
    </w:p>
    <w:p>
      <w:pPr>
        <w:spacing w:line="360" w:lineRule="exact" w:before="30" w:after="30"/>
        <w:ind w:left="482" w:hanging="482"/>
      </w:pPr>
      <w:r>
        <w:rPr>
          <w:rFonts w:ascii="SimSun" w:hAnsi="SimSun" w:eastAsia="SimSun"/>
          <w:b w:val="0"/>
          <w:sz w:val="20"/>
        </w:rPr>
        <w:t>[2] Siljak D D. Decentralized Control of Complex Systems. Academic Press, 1991.</w:t>
      </w:r>
    </w:p>
    <w:p>
      <w:pPr>
        <w:spacing w:line="360" w:lineRule="exact" w:before="30" w:after="30"/>
        <w:ind w:left="482" w:hanging="482"/>
      </w:pPr>
      <w:r>
        <w:rPr>
          <w:rFonts w:ascii="SimSun" w:hAnsi="SimSun" w:eastAsia="SimSun"/>
          <w:b w:val="0"/>
          <w:sz w:val="20"/>
        </w:rPr>
        <w:t>[3] Mesarovic M D, Macko D, Takahara Y. Theory of Hierarchical, Multilevel, Systems. Academic Press, 1970.</w:t>
      </w:r>
    </w:p>
    <w:p>
      <w:pPr>
        <w:spacing w:line="360" w:lineRule="exact" w:before="30" w:after="30"/>
        <w:ind w:left="482" w:hanging="482"/>
      </w:pPr>
      <w:r>
        <w:rPr>
          <w:rFonts w:ascii="SimSun" w:hAnsi="SimSun" w:eastAsia="SimSun"/>
          <w:b w:val="0"/>
          <w:sz w:val="20"/>
        </w:rPr>
        <w:t>[4] Scattolini R. Architectures for distributed and hierarchical model predictive control – A review. Journal of Process Control, 2009, 19(5): 723–731.</w:t>
      </w:r>
    </w:p>
    <w:p>
      <w:pPr>
        <w:spacing w:line="360" w:lineRule="exact" w:before="30" w:after="30"/>
        <w:ind w:left="482" w:hanging="482"/>
      </w:pPr>
      <w:r>
        <w:rPr>
          <w:rFonts w:ascii="SimSun" w:hAnsi="SimSun" w:eastAsia="SimSun"/>
          <w:b w:val="0"/>
          <w:sz w:val="20"/>
        </w:rPr>
        <w:t>[5] Rawlings J B, Mayne D Q, Diehl M M. Model Predictive Control: Theory, Computation, and Design (2nd ed.). Nob Hill Publishing, 2017.</w:t>
      </w:r>
    </w:p>
    <w:p>
      <w:pPr>
        <w:spacing w:line="360" w:lineRule="exact" w:before="30" w:after="30"/>
        <w:ind w:left="482" w:hanging="482"/>
      </w:pPr>
      <w:r>
        <w:rPr>
          <w:rFonts w:ascii="SimSun" w:hAnsi="SimSun" w:eastAsia="SimSun"/>
          <w:b w:val="0"/>
          <w:sz w:val="20"/>
        </w:rPr>
        <w:t>[6] Garcia C E, Prett D M, Morari M. Model predictive control: Theory and practice – A survey. Automatica, 1989, 25(3): 335–348.</w:t>
      </w:r>
    </w:p>
    <w:p>
      <w:pPr>
        <w:spacing w:line="360" w:lineRule="exact" w:before="30" w:after="30"/>
        <w:ind w:left="482" w:hanging="482"/>
      </w:pPr>
      <w:r>
        <w:rPr>
          <w:rFonts w:ascii="SimSun" w:hAnsi="SimSun" w:eastAsia="SimSun"/>
          <w:b w:val="0"/>
          <w:sz w:val="20"/>
        </w:rPr>
        <w:t>[7] Mayne D Q, Rawlings J B, Rao C V, et al. Constrained model predictive control: Stability and optimality. Automatica, 2000, 36(6): 789–814.</w:t>
      </w:r>
    </w:p>
    <w:p>
      <w:pPr>
        <w:spacing w:line="360" w:lineRule="exact" w:before="30" w:after="30"/>
        <w:ind w:left="482" w:hanging="482"/>
      </w:pPr>
      <w:r>
        <w:rPr>
          <w:rFonts w:ascii="SimSun" w:hAnsi="SimSun" w:eastAsia="SimSun"/>
          <w:b w:val="0"/>
          <w:sz w:val="20"/>
        </w:rPr>
        <w:t>[8] Stellato B, Banjac G, Goulart P, et al. OSQP: An operator splitting solver for quadratic programs. Mathematical Programming Computation, 2020, 12(4): 637–672.</w:t>
      </w:r>
    </w:p>
    <w:p>
      <w:pPr>
        <w:spacing w:line="360" w:lineRule="exact" w:before="30" w:after="30"/>
        <w:ind w:left="482" w:hanging="482"/>
      </w:pPr>
      <w:r>
        <w:rPr>
          <w:rFonts w:ascii="SimSun" w:hAnsi="SimSun" w:eastAsia="SimSun"/>
          <w:b w:val="0"/>
          <w:sz w:val="20"/>
        </w:rPr>
        <w:t>[9] Litrico X, Fromion V. Modeling and Control of Hydrosystems. Springer, 2009.</w:t>
      </w:r>
    </w:p>
    <w:p>
      <w:pPr>
        <w:spacing w:line="360" w:lineRule="exact" w:before="30" w:after="30"/>
        <w:ind w:left="482" w:hanging="482"/>
      </w:pPr>
      <w:r>
        <w:rPr>
          <w:rFonts w:ascii="SimSun" w:hAnsi="SimSun" w:eastAsia="SimSun"/>
          <w:b w:val="0"/>
          <w:sz w:val="20"/>
        </w:rPr>
        <w:t>[10] Malaterre P O, Baume J P. Modeling and regulation of irrigation canals: Existing applications and ongoing researches. IEEE International Conference on Systems, Man, and Cybernetics, 1998, 4: 3850–3855.</w:t>
      </w:r>
    </w:p>
    <w:p>
      <w:pPr>
        <w:spacing w:line="360" w:lineRule="exact" w:before="30" w:after="30"/>
        <w:ind w:left="482" w:hanging="482"/>
      </w:pPr>
      <w:r>
        <w:rPr>
          <w:rFonts w:ascii="SimSun" w:hAnsi="SimSun" w:eastAsia="SimSun"/>
          <w:b w:val="0"/>
          <w:sz w:val="20"/>
        </w:rPr>
        <w:t>[11] Ellis M, Durand H, Christofides P D. A tutorial review of economic model predictive control methods. Journal of Process Control, 2014, 24(8): 1156–1178.</w:t>
      </w:r>
    </w:p>
    <w:p>
      <w:pPr>
        <w:spacing w:line="360" w:lineRule="exact" w:before="30" w:after="30"/>
        <w:ind w:left="482" w:hanging="482"/>
      </w:pPr>
      <w:r>
        <w:rPr>
          <w:rFonts w:ascii="SimSun" w:hAnsi="SimSun" w:eastAsia="SimSun"/>
          <w:b w:val="0"/>
          <w:sz w:val="20"/>
        </w:rPr>
        <w:t>[12] Lucia S, Finkler T, Engell S. Multi-stage nonlinear model predictive control applied to a semi-batch polymerization reactor under uncertainty. Journal of Process Control, 2013, 23(9): 1306–1319.</w:t>
      </w:r>
    </w:p>
    <w:p>
      <w:pPr>
        <w:spacing w:line="360" w:lineRule="exact" w:before="30" w:after="30"/>
        <w:ind w:left="482" w:hanging="482"/>
      </w:pPr>
      <w:r>
        <w:rPr>
          <w:rFonts w:ascii="SimSun" w:hAnsi="SimSun" w:eastAsia="SimSun"/>
          <w:b w:val="0"/>
          <w:sz w:val="20"/>
        </w:rPr>
        <w:t>[13] 雷晓辉, 王浩, 张成, 等. 梯级泵站群经济型模型预测控制调度研究. 水利学报, 2024, 55(3): 340–352.</w:t>
      </w:r>
    </w:p>
    <w:p>
      <w:pPr>
        <w:spacing w:line="360" w:lineRule="exact" w:before="30" w:after="30"/>
        <w:ind w:left="482" w:hanging="482"/>
      </w:pPr>
      <w:r>
        <w:rPr>
          <w:rFonts w:ascii="SimSun" w:hAnsi="SimSun" w:eastAsia="SimSun"/>
          <w:b w:val="0"/>
          <w:sz w:val="20"/>
        </w:rPr>
        <w:t>[14] Mayne D Q. Robust and stochastic model predictive control: Are we going in the right direction? Annual Reviews in Control, 2016, 41: 184–192.</w:t>
      </w:r>
    </w:p>
    <w:p>
      <w:pPr>
        <w:spacing w:line="360" w:lineRule="exact" w:before="30" w:after="30"/>
        <w:ind w:left="482" w:hanging="482"/>
      </w:pPr>
      <w:r>
        <w:rPr>
          <w:rFonts w:ascii="SimSun" w:hAnsi="SimSun" w:eastAsia="SimSun"/>
          <w:b w:val="0"/>
          <w:sz w:val="20"/>
        </w:rPr>
        <w:t>[15] Mesbah A. Stochastic model predictive control: An overview and perspectives for future research. IEEE Control Systems Magazine, 2016, 36(6): 30–44.</w:t>
      </w:r>
    </w:p>
    <w:p>
      <w:pPr>
        <w:spacing w:line="360" w:lineRule="exact" w:before="30" w:after="30"/>
        <w:ind w:left="482" w:hanging="482"/>
      </w:pPr>
      <w:r>
        <w:rPr>
          <w:rFonts w:ascii="SimSun" w:hAnsi="SimSun" w:eastAsia="SimSun"/>
          <w:b w:val="0"/>
          <w:sz w:val="20"/>
        </w:rPr>
        <w:t>[16] Mayne D Q, Seron M M, Raković S V. Robust model predictive control of constrained linear systems with bounded disturbances. Automatica, 2005, 41(2): 219–224.</w:t>
      </w:r>
    </w:p>
    <w:p>
      <w:pPr>
        <w:spacing w:line="360" w:lineRule="exact" w:before="30" w:after="30"/>
        <w:ind w:left="482" w:hanging="482"/>
      </w:pPr>
      <w:r>
        <w:rPr>
          <w:rFonts w:ascii="SimSun" w:hAnsi="SimSun" w:eastAsia="SimSun"/>
          <w:b w:val="0"/>
          <w:sz w:val="20"/>
        </w:rPr>
        <w:t>[17] Langson W, Chryssochoos I, Raković S V, et al. Robust model predictive control using tubes. Automatica, 2004, 40(1): 125–133.</w:t>
      </w:r>
    </w:p>
    <w:p>
      <w:pPr>
        <w:spacing w:line="360" w:lineRule="exact" w:before="30" w:after="30"/>
        <w:ind w:left="482" w:hanging="482"/>
      </w:pPr>
      <w:r>
        <w:rPr>
          <w:rFonts w:ascii="SimSun" w:hAnsi="SimSun" w:eastAsia="SimSun"/>
          <w:b w:val="0"/>
          <w:sz w:val="20"/>
        </w:rPr>
        <w:t>[18] Farina M, Giulioni L, Scattolini R. Stochastic linear model predictive control with chance constraints – A review. Journal of Process Control, 2016, 44: 53–67.</w:t>
      </w:r>
    </w:p>
    <w:p>
      <w:pPr>
        <w:spacing w:line="360" w:lineRule="exact" w:before="30" w:after="30"/>
        <w:ind w:left="482" w:hanging="482"/>
      </w:pPr>
      <w:r>
        <w:rPr>
          <w:rFonts w:ascii="SimSun" w:hAnsi="SimSun" w:eastAsia="SimSun"/>
          <w:b w:val="0"/>
          <w:sz w:val="20"/>
        </w:rPr>
        <w:t>[19] Negenborn R R, De Schutter B, Hellendoorn J. Multi-agent model predictive control for transportation networks: Serial versus parallel schemes. Engineering Applications of Artificial Intelligence, 2008, 21(3): 353–366.</w:t>
      </w:r>
    </w:p>
    <w:p>
      <w:pPr>
        <w:spacing w:line="360" w:lineRule="exact" w:before="30" w:after="30"/>
        <w:ind w:left="482" w:hanging="482"/>
      </w:pPr>
      <w:r>
        <w:rPr>
          <w:rFonts w:ascii="SimSun" w:hAnsi="SimSun" w:eastAsia="SimSun"/>
          <w:b w:val="0"/>
          <w:sz w:val="20"/>
        </w:rPr>
        <w:t>[20] Negenborn R R, van Overloop P J, Keviczky T, et al. Distributed model predictive control of irrigation canals. Networks and Heterogeneous Media, 2009, 4(2): 359–380.</w:t>
      </w:r>
    </w:p>
    <w:p>
      <w:pPr>
        <w:spacing w:line="360" w:lineRule="exact" w:before="30" w:after="30"/>
        <w:ind w:left="482" w:hanging="482"/>
      </w:pPr>
      <w:r>
        <w:rPr>
          <w:rFonts w:ascii="SimSun" w:hAnsi="SimSun" w:eastAsia="SimSun"/>
          <w:b w:val="0"/>
          <w:sz w:val="20"/>
        </w:rPr>
        <w:t>[21] Boyd S, Parikh N, Chu E, et al. Distributed optimization and statistical learning via the alternating direction method of multipliers. Foundations and Trends in Machine Learning, 2011, 3(1): 1–122.</w:t>
      </w:r>
    </w:p>
    <w:p>
      <w:pPr>
        <w:spacing w:line="360" w:lineRule="exact" w:before="30" w:after="30"/>
        <w:ind w:left="482" w:hanging="482"/>
      </w:pPr>
      <w:r>
        <w:rPr>
          <w:rFonts w:ascii="SimSun" w:hAnsi="SimSun" w:eastAsia="SimSun"/>
          <w:b w:val="0"/>
          <w:sz w:val="20"/>
        </w:rPr>
        <w:t>[22] Conte C, Voellmy N, Zeilinger M N, et al. Distributed synthesis and control of constrained linear systems. American Control Conference, 2012: 6017–6022.</w:t>
      </w:r>
    </w:p>
    <w:p>
      <w:pPr>
        <w:spacing w:line="360" w:lineRule="exact" w:before="30" w:after="30"/>
        <w:ind w:left="482" w:hanging="482"/>
      </w:pPr>
      <w:r>
        <w:rPr>
          <w:rFonts w:ascii="SimSun" w:hAnsi="SimSun" w:eastAsia="SimSun"/>
          <w:b w:val="0"/>
          <w:sz w:val="20"/>
        </w:rPr>
        <w:t>[23] Norrcliffe-Brown A. Stability of control systems with dead-time delays. Control Engineering Practice, 2000, 8(6): 593–603.</w:t>
      </w:r>
    </w:p>
    <w:p>
      <w:pPr>
        <w:spacing w:line="360" w:lineRule="exact" w:before="30" w:after="30"/>
        <w:ind w:left="482" w:hanging="482"/>
      </w:pPr>
      <w:r>
        <w:rPr>
          <w:rFonts w:ascii="SimSun" w:hAnsi="SimSun" w:eastAsia="SimSun"/>
          <w:b w:val="0"/>
          <w:sz w:val="20"/>
        </w:rPr>
        <w:t>[24] Smith O J M. A controller to overcome dead time. ISA Journal, 1959, 6(2): 28–33.</w:t>
      </w:r>
    </w:p>
    <w:p>
      <w:pPr>
        <w:spacing w:line="360" w:lineRule="exact" w:before="30" w:after="30"/>
        <w:ind w:left="482" w:hanging="482"/>
      </w:pPr>
      <w:r>
        <w:rPr>
          <w:rFonts w:ascii="SimSun" w:hAnsi="SimSun" w:eastAsia="SimSun"/>
          <w:b w:val="0"/>
          <w:sz w:val="20"/>
        </w:rPr>
        <w:t>[25] van Overloop P J, Schuurmans J, Brouwer R, et al. Model predictive control of water systems in the Netherlands. International Conference on Hydroinformatics, Nice, France, 2014.</w:t>
      </w:r>
    </w:p>
    <w:p>
      <w:pPr>
        <w:spacing w:line="360" w:lineRule="exact" w:before="30" w:after="30"/>
        <w:ind w:left="482" w:hanging="482"/>
      </w:pPr>
      <w:r>
        <w:rPr>
          <w:rFonts w:ascii="SimSun" w:hAnsi="SimSun" w:eastAsia="SimSun"/>
          <w:b w:val="0"/>
          <w:sz w:val="20"/>
        </w:rPr>
        <w:t>[26] Clemmens A J, Schuurmans J. Simple optimal downstream feedback canal controllers: Theory. Journal of Irrigation and Drainage Engineering, 2004, 130(1): 26–34.</w:t>
      </w:r>
    </w:p>
    <w:p>
      <w:pPr>
        <w:spacing w:line="360" w:lineRule="exact" w:before="30" w:after="30"/>
        <w:ind w:left="482" w:hanging="482"/>
      </w:pPr>
      <w:r>
        <w:rPr>
          <w:rFonts w:ascii="SimSun" w:hAnsi="SimSun" w:eastAsia="SimSun"/>
          <w:b w:val="0"/>
          <w:sz w:val="20"/>
        </w:rPr>
        <w:t>[27] Schuurmans J, Bosgra O H, Brouwer R. Open-channel flow model approximation for controller design. Applied Mathematical Modelling, 1995, 19(9): 525–530.</w:t>
      </w:r>
    </w:p>
    <w:p>
      <w:pPr>
        <w:spacing w:line="360" w:lineRule="exact" w:before="30" w:after="30"/>
        <w:ind w:left="482" w:hanging="482"/>
      </w:pPr>
      <w:r>
        <w:rPr>
          <w:rFonts w:ascii="SimSun" w:hAnsi="SimSun" w:eastAsia="SimSun"/>
          <w:b w:val="0"/>
          <w:sz w:val="20"/>
        </w:rPr>
        <w:t>[28] 南水北调中线干线工程建设管理局. 南水北调中线一期工程闸门自动化控制系统技术规程. 中国水利水电出版社, 2015.</w:t>
      </w:r>
    </w:p>
    <w:p>
      <w:pPr>
        <w:spacing w:line="360" w:lineRule="exact" w:before="30" w:after="30"/>
        <w:ind w:left="482" w:hanging="482"/>
      </w:pPr>
      <w:r>
        <w:rPr>
          <w:rFonts w:ascii="SimSun" w:hAnsi="SimSun" w:eastAsia="SimSun"/>
          <w:b w:val="0"/>
          <w:sz w:val="20"/>
        </w:rPr>
        <w:t>[29] IEC 61131-3:2013. Programmable controllers – Part 3: Programming languages. International Electrotechnical Commission, 2013.</w:t>
      </w:r>
    </w:p>
    <w:p>
      <w:pPr>
        <w:spacing w:line="360" w:lineRule="exact" w:before="30" w:after="30"/>
        <w:ind w:left="482" w:hanging="482"/>
      </w:pPr>
      <w:r>
        <w:rPr>
          <w:rFonts w:ascii="SimSun" w:hAnsi="SimSun" w:eastAsia="SimSun"/>
          <w:b w:val="0"/>
          <w:sz w:val="20"/>
        </w:rPr>
        <w:t>[30] USBR. Central Valley Project: Automated Canal Operation Report. US Bureau of Reclamation, 2019.</w:t>
      </w:r>
    </w:p>
    <w:p>
      <w:pPr>
        <w:spacing w:line="360" w:lineRule="exact" w:before="30" w:after="30"/>
        <w:ind w:left="482" w:hanging="482"/>
      </w:pPr>
      <w:r>
        <w:rPr>
          <w:rFonts w:ascii="SimSun" w:hAnsi="SimSun" w:eastAsia="SimSun"/>
          <w:b w:val="0"/>
          <w:sz w:val="20"/>
        </w:rPr>
        <w:t>[31] Clemmens A J, Kacerek T F, Grawitz B, et al. Test cases for canal control algorithms. Journal of Irrigation and Drainage Engineering, 1998, 124(1): 23–30.</w:t>
      </w:r>
    </w:p>
    <w:p>
      <w:pPr>
        <w:spacing w:line="360" w:lineRule="exact" w:before="30" w:after="30"/>
        <w:ind w:left="482" w:hanging="482"/>
      </w:pPr>
      <w:r>
        <w:rPr>
          <w:rFonts w:ascii="SimSun" w:hAnsi="SimSun" w:eastAsia="SimSun"/>
          <w:b w:val="0"/>
          <w:sz w:val="20"/>
        </w:rPr>
        <w:t>[32] Clemmens A J, Strand R J. Application of software for automated canal management (SacMan) to the WM lateral canal. Journal of Irrigation and Drainage Engineering, 2010, 136(7): 451–459.</w:t>
      </w:r>
    </w:p>
    <w:p>
      <w:pPr>
        <w:spacing w:line="360" w:lineRule="exact" w:before="30" w:after="30"/>
        <w:ind w:left="482" w:hanging="482"/>
      </w:pPr>
      <w:r>
        <w:rPr>
          <w:rFonts w:ascii="SimSun" w:hAnsi="SimSun" w:eastAsia="SimSun"/>
          <w:b w:val="0"/>
          <w:sz w:val="20"/>
        </w:rPr>
        <w:t>[33] Wahlin B T, Clemmens A J. Automatic downstream water-level feedback control of branching canal networks: Theory. Journal of Irrigation and Drainage Engineering, 2006, 132(3): 198–207.</w:t>
      </w:r>
    </w:p>
    <w:p>
      <w:pPr>
        <w:spacing w:line="360" w:lineRule="exact" w:before="30" w:after="30"/>
        <w:ind w:left="482" w:hanging="482"/>
      </w:pPr>
      <w:r>
        <w:rPr>
          <w:rFonts w:ascii="SimSun" w:hAnsi="SimSun" w:eastAsia="SimSun"/>
          <w:b w:val="0"/>
          <w:sz w:val="20"/>
        </w:rPr>
        <w:t>[34] van Overloop P J. Model Predictive Control on Open Water Systems. PhD Thesis, Delft University of Technology, 2006.</w:t>
      </w:r>
    </w:p>
    <w:p>
      <w:pPr>
        <w:spacing w:line="360" w:lineRule="exact" w:before="30" w:after="30"/>
        <w:ind w:left="482" w:hanging="482"/>
      </w:pPr>
      <w:r>
        <w:rPr>
          <w:rFonts w:ascii="SimSun" w:hAnsi="SimSun" w:eastAsia="SimSun"/>
          <w:b w:val="0"/>
          <w:sz w:val="20"/>
        </w:rPr>
        <w:t>[35] MDBA. Murray–Darling Basin Plan: Water Resource Plan Assessment Report. Murray-Darling Basin Authority, 2023.</w:t>
      </w:r>
    </w:p>
    <w:p>
      <w:pPr>
        <w:spacing w:line="360" w:lineRule="exact" w:before="30" w:after="30"/>
        <w:ind w:left="482" w:hanging="482"/>
      </w:pPr>
      <w:r>
        <w:rPr>
          <w:rFonts w:ascii="SimSun" w:hAnsi="SimSun" w:eastAsia="SimSun"/>
          <w:b w:val="0"/>
          <w:sz w:val="20"/>
        </w:rPr>
        <w:t>[36] Malaterre P O, Rogers D C, Schuurmans J. Classification of canal control algorithms. Journal of Irrigation and Drainage Engineering, 1998, 124(1): 3–10.</w:t>
      </w:r>
    </w:p>
    <w:p>
      <w:pPr>
        <w:spacing w:line="360" w:lineRule="exact" w:before="30" w:after="30"/>
        <w:ind w:left="482" w:hanging="482"/>
      </w:pPr>
      <w:r>
        <w:rPr>
          <w:rFonts w:ascii="SimSun" w:hAnsi="SimSun" w:eastAsia="SimSun"/>
          <w:b w:val="0"/>
          <w:sz w:val="20"/>
        </w:rPr>
        <w:t>[37] Cantoni M, Weyer E, Li Y, et al. Control of large-scale irrigation networks. Proceedings of the IEEE, 2007, 95(1): 75–91.</w:t>
      </w:r>
    </w:p>
    <w:p>
      <w:pPr>
        <w:spacing w:line="360" w:lineRule="exact" w:before="30" w:after="30"/>
        <w:ind w:left="482" w:hanging="482"/>
      </w:pPr>
      <w:r>
        <w:rPr>
          <w:rFonts w:ascii="SimSun" w:hAnsi="SimSun" w:eastAsia="SimSun"/>
          <w:b w:val="0"/>
          <w:sz w:val="20"/>
        </w:rPr>
        <w:t>[38] Lemos J M, Machado F, Nogueira N, et al. Adaptive and non-adaptive model predictive control of an irrigation channel. Networks and Heterogeneous Media, 2009, 4(2): 303–324.</w:t>
      </w:r>
    </w:p>
    <w:p>
      <w:pPr>
        <w:spacing w:line="360" w:lineRule="exact" w:before="30" w:after="30"/>
        <w:ind w:left="482" w:hanging="482"/>
      </w:pPr>
      <w:r>
        <w:rPr>
          <w:rFonts w:ascii="SimSun" w:hAnsi="SimSun" w:eastAsia="SimSun"/>
          <w:b w:val="0"/>
          <w:sz w:val="20"/>
        </w:rPr>
        <w:t>[39] Xu M, Schwanenberg D, Barciela R, et al. Real-time control of urban drainage systems using model predictive control. Water Science and Technology, 2013, 67(11): 2575–2582.</w:t>
      </w:r>
    </w:p>
    <w:p>
      <w:pPr>
        <w:spacing w:line="360" w:lineRule="exact" w:before="30" w:after="30"/>
        <w:ind w:left="482" w:hanging="482"/>
      </w:pPr>
      <w:r>
        <w:rPr>
          <w:rFonts w:ascii="SimSun" w:hAnsi="SimSun" w:eastAsia="SimSun"/>
          <w:b w:val="0"/>
          <w:sz w:val="20"/>
        </w:rPr>
        <w:t>[40] Horváth K, Galvis E, Galán J M, et al. Is it better to use gate opening as control variable than discharge to control irrigation canals? Journal of Irrigation and Drainage Engineering, 2015, 141(3): 04014054.</w:t>
      </w:r>
    </w:p>
    <w:p>
      <w:pPr>
        <w:spacing w:line="360" w:lineRule="exact" w:before="30" w:after="30"/>
        <w:ind w:left="482" w:hanging="482"/>
      </w:pPr>
      <w:r>
        <w:rPr>
          <w:rFonts w:ascii="SimSun" w:hAnsi="SimSun" w:eastAsia="SimSun"/>
          <w:b w:val="0"/>
          <w:sz w:val="20"/>
        </w:rPr>
        <w:t>[41] Li Y, De Schutter B. Performance analysis of irrigation canal systems using a control-oriented model. Proceedings of the 2010 American Control Conference, Baltimore, 2010: 3622–3627.</w:t>
      </w:r>
    </w:p>
    <w:p>
      <w:pPr>
        <w:spacing w:line="360" w:lineRule="exact" w:before="30" w:after="30"/>
        <w:ind w:left="482" w:hanging="482"/>
      </w:pPr>
      <w:r>
        <w:rPr>
          <w:rFonts w:ascii="SimSun" w:hAnsi="SimSun" w:eastAsia="SimSun"/>
          <w:b w:val="0"/>
          <w:sz w:val="20"/>
        </w:rPr>
        <w:t>[42] Feliu V, Rivas R, Castillo F J. Fractional-order controller for a canal pool modeled as a delay system. IFAC Proceedings Volumes, 2008, 41(2): 6980–6985.</w:t>
      </w:r>
    </w:p>
    <w:p>
      <w:pPr>
        <w:spacing w:line="360" w:lineRule="exact" w:before="30" w:after="30"/>
        <w:ind w:left="482" w:hanging="482"/>
      </w:pPr>
      <w:r>
        <w:rPr>
          <w:rFonts w:ascii="SimSun" w:hAnsi="SimSun" w:eastAsia="SimSun"/>
          <w:b w:val="0"/>
          <w:sz w:val="20"/>
        </w:rPr>
        <w:t>[43] Ooi S K, Krutzen M P M, Weyer E. On physical and data driven modelling of irrigation channels. Control Engineering Practice, 2005, 13(4): 461–471.</w:t>
      </w:r>
    </w:p>
    <w:p>
      <w:pPr>
        <w:spacing w:line="360" w:lineRule="exact" w:before="30" w:after="30"/>
        <w:ind w:left="482" w:hanging="482"/>
      </w:pPr>
      <w:r>
        <w:rPr>
          <w:rFonts w:ascii="SimSun" w:hAnsi="SimSun" w:eastAsia="SimSun"/>
          <w:b w:val="0"/>
          <w:sz w:val="20"/>
        </w:rPr>
        <w:t>[44] 雷晓辉, 王浩. 水系统控制论: 从反馈到涌现. 水利学报, 2025, 56(1): 1–15.</w:t>
      </w:r>
    </w:p>
    <w:p>
      <w:pPr>
        <w:spacing w:line="360" w:lineRule="exact" w:before="30" w:after="30"/>
        <w:ind w:left="482" w:hanging="482"/>
      </w:pPr>
      <w:r>
        <w:rPr>
          <w:rFonts w:ascii="SimSun" w:hAnsi="SimSun" w:eastAsia="SimSun"/>
          <w:b w:val="0"/>
          <w:sz w:val="20"/>
        </w:rPr>
        <w:t>[45] Zhuan X, Xia X. Optimal operation scheduling of a pumping station with multiple pumps. Applied Energy, 2013, 104: 250–257.</w:t>
      </w:r>
    </w:p>
    <w:p>
      <w:pPr>
        <w:spacing w:line="360" w:lineRule="exact" w:before="30" w:after="30"/>
        <w:ind w:left="482" w:hanging="482"/>
      </w:pPr>
      <w:r>
        <w:rPr>
          <w:rFonts w:ascii="SimSun" w:hAnsi="SimSun" w:eastAsia="SimSun"/>
          <w:b w:val="0"/>
          <w:sz w:val="20"/>
        </w:rPr>
        <w:t>[46] Kühne A, Kleinsteuber M, Becker S, et al. Predictive control of a large-scale drinking water network. Control Engineering Practice, 2022, 118: 104977.</w:t>
      </w:r>
    </w:p>
    <w:sectPr w:rsidR="00FC693F" w:rsidRPr="0006063C" w:rsidSect="00034616">
      <w:pgSz w:w="11906" w:h="16838"/>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before="60" w:after="6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