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F63F8" w14:textId="77777777" w:rsidR="007E3FF8" w:rsidRDefault="007E3FF8">
      <w:pPr>
        <w:rPr>
          <w:rFonts w:hint="eastAsia"/>
        </w:rPr>
      </w:pPr>
    </w:p>
    <w:p w14:paraId="4E5AFE3B" w14:textId="77777777" w:rsidR="007E3FF8" w:rsidRDefault="007E3FF8">
      <w:pPr>
        <w:rPr>
          <w:rFonts w:hint="eastAsia"/>
        </w:rPr>
      </w:pPr>
    </w:p>
    <w:p w14:paraId="13D7EECF" w14:textId="77777777" w:rsidR="007E3FF8" w:rsidRDefault="007E3FF8">
      <w:pPr>
        <w:rPr>
          <w:rFonts w:hint="eastAsia"/>
        </w:rPr>
      </w:pPr>
    </w:p>
    <w:p w14:paraId="5DF138B7" w14:textId="77777777" w:rsidR="007E3FF8" w:rsidRDefault="007E3FF8">
      <w:pPr>
        <w:rPr>
          <w:rFonts w:hint="eastAsia"/>
        </w:rPr>
      </w:pPr>
    </w:p>
    <w:p w14:paraId="0A19A332" w14:textId="77777777" w:rsidR="007E3FF8" w:rsidRDefault="007E3FF8">
      <w:pPr>
        <w:rPr>
          <w:rFonts w:hint="eastAsia"/>
        </w:rPr>
      </w:pPr>
    </w:p>
    <w:p w14:paraId="1496590F" w14:textId="77777777" w:rsidR="007E3FF8" w:rsidRDefault="007E3FF8">
      <w:pPr>
        <w:rPr>
          <w:rFonts w:hint="eastAsia"/>
        </w:rPr>
      </w:pPr>
    </w:p>
    <w:p w14:paraId="66E34826" w14:textId="77777777" w:rsidR="007E3FF8" w:rsidRDefault="007E3FF8">
      <w:pPr>
        <w:rPr>
          <w:rFonts w:hint="eastAsia"/>
        </w:rPr>
      </w:pPr>
    </w:p>
    <w:p w14:paraId="3853C062" w14:textId="77777777" w:rsidR="007E3FF8" w:rsidRDefault="007E3FF8">
      <w:pPr>
        <w:rPr>
          <w:rFonts w:hint="eastAsia"/>
        </w:rPr>
      </w:pPr>
    </w:p>
    <w:p w14:paraId="00083CA2" w14:textId="77777777" w:rsidR="007E3FF8" w:rsidRDefault="00000000">
      <w:pPr>
        <w:jc w:val="center"/>
        <w:rPr>
          <w:rFonts w:hint="eastAsia"/>
          <w:lang w:eastAsia="zh-CN"/>
        </w:rPr>
      </w:pPr>
      <w:r>
        <w:rPr>
          <w:b/>
          <w:color w:val="1F4E79"/>
          <w:sz w:val="44"/>
          <w:lang w:eastAsia="zh-CN"/>
        </w:rPr>
        <w:t>水网智能调控与自主运行关键技术研究报告</w:t>
      </w:r>
    </w:p>
    <w:p w14:paraId="570ABBD6" w14:textId="77777777" w:rsidR="007E3FF8" w:rsidRDefault="007E3FF8">
      <w:pPr>
        <w:rPr>
          <w:rFonts w:hint="eastAsia"/>
          <w:lang w:eastAsia="zh-CN"/>
        </w:rPr>
      </w:pPr>
    </w:p>
    <w:p w14:paraId="51D4E84B" w14:textId="77777777" w:rsidR="007E3FF8" w:rsidRDefault="007E3FF8">
      <w:pPr>
        <w:rPr>
          <w:rFonts w:hint="eastAsia"/>
          <w:lang w:eastAsia="zh-CN"/>
        </w:rPr>
      </w:pPr>
    </w:p>
    <w:p w14:paraId="6FE06DC5" w14:textId="77777777" w:rsidR="007E3FF8" w:rsidRDefault="00000000">
      <w:pPr>
        <w:jc w:val="center"/>
        <w:rPr>
          <w:rFonts w:hint="eastAsia"/>
          <w:lang w:eastAsia="zh-CN"/>
        </w:rPr>
      </w:pPr>
      <w:r>
        <w:rPr>
          <w:b/>
          <w:color w:val="2E75B6"/>
          <w:sz w:val="36"/>
          <w:lang w:eastAsia="zh-CN"/>
        </w:rPr>
        <w:t>第三章  学科第一性原理与跨行业对标</w:t>
      </w:r>
    </w:p>
    <w:p w14:paraId="0FE00752" w14:textId="77777777" w:rsidR="007E3FF8" w:rsidRDefault="00000000">
      <w:pPr>
        <w:jc w:val="center"/>
        <w:rPr>
          <w:rFonts w:hint="eastAsia"/>
          <w:lang w:eastAsia="zh-CN"/>
        </w:rPr>
      </w:pPr>
      <w:r>
        <w:rPr>
          <w:color w:val="646464"/>
          <w:sz w:val="26"/>
          <w:lang w:eastAsia="zh-CN"/>
        </w:rPr>
        <w:t>从“重建轻管”到“工程准入”范式</w:t>
      </w:r>
    </w:p>
    <w:p w14:paraId="208585DF" w14:textId="77777777" w:rsidR="007E3FF8" w:rsidRDefault="007E3FF8">
      <w:pPr>
        <w:rPr>
          <w:rFonts w:hint="eastAsia"/>
          <w:lang w:eastAsia="zh-CN"/>
        </w:rPr>
      </w:pPr>
    </w:p>
    <w:p w14:paraId="3D6D6E84" w14:textId="77777777" w:rsidR="007E3FF8" w:rsidRDefault="007E3FF8">
      <w:pPr>
        <w:rPr>
          <w:rFonts w:hint="eastAsia"/>
          <w:lang w:eastAsia="zh-CN"/>
        </w:rPr>
      </w:pPr>
    </w:p>
    <w:p w14:paraId="2A3581C4" w14:textId="77777777" w:rsidR="007E3FF8" w:rsidRDefault="007E3FF8">
      <w:pPr>
        <w:rPr>
          <w:rFonts w:hint="eastAsia"/>
          <w:lang w:eastAsia="zh-CN"/>
        </w:rPr>
      </w:pPr>
    </w:p>
    <w:p w14:paraId="61BFFE70" w14:textId="77777777" w:rsidR="007E3FF8" w:rsidRDefault="007E3FF8">
      <w:pPr>
        <w:rPr>
          <w:rFonts w:hint="eastAsia"/>
          <w:lang w:eastAsia="zh-CN"/>
        </w:rPr>
      </w:pPr>
    </w:p>
    <w:p w14:paraId="1D90FE68" w14:textId="77777777" w:rsidR="007E3FF8" w:rsidRDefault="007E3FF8">
      <w:pPr>
        <w:rPr>
          <w:rFonts w:hint="eastAsia"/>
          <w:lang w:eastAsia="zh-CN"/>
        </w:rPr>
      </w:pPr>
    </w:p>
    <w:p w14:paraId="5E7CAEF3" w14:textId="77777777" w:rsidR="007E3FF8" w:rsidRDefault="007E3FF8">
      <w:pPr>
        <w:rPr>
          <w:rFonts w:hint="eastAsia"/>
          <w:lang w:eastAsia="zh-CN"/>
        </w:rPr>
      </w:pPr>
    </w:p>
    <w:p w14:paraId="705091F1" w14:textId="77777777" w:rsidR="007E3FF8" w:rsidRDefault="007E3FF8">
      <w:pPr>
        <w:rPr>
          <w:rFonts w:hint="eastAsia"/>
          <w:lang w:eastAsia="zh-CN"/>
        </w:rPr>
      </w:pPr>
    </w:p>
    <w:p w14:paraId="5DFBB971" w14:textId="77777777" w:rsidR="007E3FF8" w:rsidRDefault="007E3FF8">
      <w:pPr>
        <w:rPr>
          <w:rFonts w:hint="eastAsia"/>
          <w:lang w:eastAsia="zh-CN"/>
        </w:rPr>
      </w:pPr>
    </w:p>
    <w:p w14:paraId="1D061DA9" w14:textId="77777777" w:rsidR="007E3FF8" w:rsidRDefault="00000000">
      <w:pPr>
        <w:jc w:val="center"/>
        <w:rPr>
          <w:rFonts w:hint="eastAsia"/>
          <w:lang w:eastAsia="zh-CN"/>
        </w:rPr>
      </w:pPr>
      <w:r>
        <w:rPr>
          <w:color w:val="646464"/>
          <w:lang w:eastAsia="zh-CN"/>
        </w:rPr>
        <w:t>2025年6月</w:t>
      </w:r>
    </w:p>
    <w:p w14:paraId="0EACAEAB" w14:textId="77777777" w:rsidR="007E3FF8" w:rsidRDefault="00000000">
      <w:pPr>
        <w:rPr>
          <w:rFonts w:hint="eastAsia"/>
          <w:lang w:eastAsia="zh-CN"/>
        </w:rPr>
      </w:pPr>
      <w:r>
        <w:rPr>
          <w:lang w:eastAsia="zh-CN"/>
        </w:rPr>
        <w:br w:type="page"/>
      </w:r>
    </w:p>
    <w:p w14:paraId="11B59A89" w14:textId="77777777" w:rsidR="007E3FF8" w:rsidRDefault="00000000">
      <w:pPr>
        <w:spacing w:before="360" w:after="240"/>
        <w:rPr>
          <w:rFonts w:hint="eastAsia"/>
          <w:lang w:eastAsia="zh-CN"/>
        </w:rPr>
      </w:pPr>
      <w:r>
        <w:rPr>
          <w:b/>
          <w:sz w:val="32"/>
          <w:lang w:eastAsia="zh-CN"/>
        </w:rPr>
        <w:lastRenderedPageBreak/>
        <w:t>第三章  学科第一性原理与跨行业对标：从“重建轻管”到“工程准入”范式</w:t>
      </w:r>
    </w:p>
    <w:p w14:paraId="7EF62706" w14:textId="77777777" w:rsidR="007E3FF8" w:rsidRDefault="00000000">
      <w:pPr>
        <w:spacing w:before="280" w:after="200"/>
        <w:rPr>
          <w:rFonts w:hint="eastAsia"/>
          <w:lang w:eastAsia="zh-CN"/>
        </w:rPr>
      </w:pPr>
      <w:r>
        <w:rPr>
          <w:b/>
          <w:sz w:val="28"/>
          <w:lang w:eastAsia="zh-CN"/>
        </w:rPr>
        <w:t>3.1 第一性原理：学科对象是“可控的水系统”</w:t>
      </w:r>
    </w:p>
    <w:p w14:paraId="4444064B" w14:textId="77777777" w:rsidR="007E3FF8" w:rsidRDefault="00000000">
      <w:pPr>
        <w:spacing w:before="200" w:after="160"/>
        <w:rPr>
          <w:rFonts w:hint="eastAsia"/>
          <w:lang w:eastAsia="zh-CN"/>
        </w:rPr>
      </w:pPr>
      <w:r>
        <w:rPr>
          <w:b/>
          <w:lang w:eastAsia="zh-CN"/>
        </w:rPr>
        <w:t>3.1.1 第一性原理的方法论意义</w:t>
      </w:r>
    </w:p>
    <w:p w14:paraId="00B2417E" w14:textId="77777777" w:rsidR="007E3FF8" w:rsidRDefault="00000000">
      <w:pPr>
        <w:ind w:firstLine="482"/>
        <w:rPr>
          <w:rFonts w:hint="eastAsia"/>
          <w:lang w:eastAsia="zh-CN"/>
        </w:rPr>
      </w:pPr>
      <w:r>
        <w:rPr>
          <w:lang w:eastAsia="zh-CN"/>
        </w:rPr>
        <w:t>任何学科的发展都必须建立在清晰的“第一性原理（First Principles）”之上。所谓第一性原理，是指一个领域中最基本的、不可再分解的核心假设或公理，所有上层理论和工程实践都由此推导而来。Aristotle最早在《形而上学》中提出了“第一原因”的概念，而在工程领域，第一性原理意味着回归问题的物理本质，而非依赖类比或经验外推[1]。对于智慧水利而言，明确其第一性原理具有根本性的战略意义——它决定了学科发展的方向、技术体系的架构以及人才培养的核心课程。</w:t>
      </w:r>
    </w:p>
    <w:p w14:paraId="518734DF" w14:textId="77777777" w:rsidR="007E3FF8" w:rsidRDefault="00000000">
      <w:pPr>
        <w:ind w:firstLine="482"/>
        <w:rPr>
          <w:rFonts w:hint="eastAsia"/>
          <w:lang w:eastAsia="zh-CN"/>
        </w:rPr>
      </w:pPr>
      <w:r>
        <w:rPr>
          <w:lang w:eastAsia="zh-CN"/>
        </w:rPr>
        <w:t>传统水利学科的第一性原理围绕“规划—设计—施工”展开，核心关注点是水工结构的安全性、稳定性和耐久性。这一范式在工程建设阶段无疑是正确的，但它隐含了一个重大假设：工程建成后“按规程运行即可”。在小型、单一功能的水利工程中，这一假设大体成立；但当对象升级为国家水网、跨流域调水或多目标协同系统时，真正的学科对象发生了质变——运行阶段的复杂性远超建设阶段。</w:t>
      </w:r>
    </w:p>
    <w:p w14:paraId="4B042E65" w14:textId="77777777" w:rsidR="007E3FF8" w:rsidRDefault="00000000">
      <w:pPr>
        <w:ind w:firstLine="482"/>
        <w:rPr>
          <w:rFonts w:hint="eastAsia"/>
          <w:lang w:eastAsia="zh-CN"/>
        </w:rPr>
      </w:pPr>
      <w:r>
        <w:rPr>
          <w:lang w:eastAsia="zh-CN"/>
        </w:rPr>
        <w:t>我们提出：智慧水利的学科对象不是“水”本身，也不是“水工结构”，而是“可控的水系统”。这意味着学科的核心问题重新定义为——在不确定扰动下、在多重安全约束内，让水系统长期稳定、经济、可解释地运行[2]。这一定义将运行阶段的“可控性”提升到与建设阶段的“可建性”同等重要的地位。</w:t>
      </w:r>
    </w:p>
    <w:p w14:paraId="7A74C6C2" w14:textId="140A4BD1" w:rsidR="007E3FF8" w:rsidRDefault="00000000">
      <w:pPr>
        <w:spacing w:before="200" w:after="160"/>
        <w:rPr>
          <w:rFonts w:hint="eastAsia"/>
          <w:lang w:eastAsia="zh-CN"/>
        </w:rPr>
      </w:pPr>
      <w:r>
        <w:rPr>
          <w:b/>
          <w:lang w:eastAsia="zh-CN"/>
        </w:rPr>
        <w:t xml:space="preserve">3.1.2 </w:t>
      </w:r>
      <w:r w:rsidR="00145D1B">
        <w:rPr>
          <w:rFonts w:hint="eastAsia"/>
          <w:b/>
          <w:lang w:eastAsia="zh-CN"/>
        </w:rPr>
        <w:t>智慧水利</w:t>
      </w:r>
      <w:r>
        <w:rPr>
          <w:b/>
          <w:lang w:eastAsia="zh-CN"/>
        </w:rPr>
        <w:t>的理论基础</w:t>
      </w:r>
    </w:p>
    <w:p w14:paraId="6CF9FA28" w14:textId="68E1109A" w:rsidR="007E3FF8" w:rsidRDefault="00F45D60">
      <w:pPr>
        <w:ind w:firstLine="482"/>
        <w:rPr>
          <w:rFonts w:hint="eastAsia"/>
          <w:lang w:eastAsia="zh-CN"/>
        </w:rPr>
      </w:pPr>
      <w:r>
        <w:rPr>
          <w:lang w:eastAsia="zh-CN"/>
        </w:rPr>
        <w:t>由上述第一性原理推导，智慧水利的核心任务是实现水系统的闭环控制。</w:t>
      </w:r>
      <w:r w:rsidR="00000000">
        <w:rPr>
          <w:lang w:eastAsia="zh-CN"/>
        </w:rPr>
        <w:t>。</w:t>
      </w:r>
      <w:proofErr w:type="spellStart"/>
      <w:r w:rsidR="00000000">
        <w:t>控制论的创始人Norbert</w:t>
      </w:r>
      <w:proofErr w:type="spellEnd"/>
      <w:r w:rsidR="00000000">
        <w:t xml:space="preserve"> Wiener在1948年将控制论定义为“关于在动物和机器中控制和通信的科学”[3]。</w:t>
      </w:r>
      <w:r w:rsidR="00000000">
        <w:rPr>
          <w:lang w:eastAsia="zh-CN"/>
        </w:rPr>
        <w:t>钱学森在1954年出版的《工程控制论》中进一步将控制论扩展到工程系统[4]，提出了一套从系统辨识、反馈设计到稳定性分析的完整方法论。</w:t>
      </w:r>
      <w:r w:rsidR="00ED44A3">
        <w:rPr>
          <w:lang w:eastAsia="zh-CN"/>
        </w:rPr>
        <w:t>在此基础上，</w:t>
      </w:r>
      <w:r w:rsidR="00ED44A3">
        <w:rPr>
          <w:rFonts w:hint="eastAsia"/>
          <w:lang w:eastAsia="zh-CN"/>
        </w:rPr>
        <w:t>我们</w:t>
      </w:r>
      <w:r w:rsidR="00ED44A3">
        <w:rPr>
          <w:lang w:eastAsia="zh-CN"/>
        </w:rPr>
        <w:t>提出“水系统控制论（Cybernetics of Hydro Systems）”作为智慧水利的学科基础[2]，其研究对象是“在水网系统中实现目标导向的、受约束的、闭环的最优运行”的一般性规律与方法。水系统控制论不是简单地将经典控制理论移植到水利领域，而是针对水系统特有的大时滞、强非线性、多目标耦合和开放边界等特征，发展出一套完整的理论框架。</w:t>
      </w:r>
    </w:p>
    <w:p w14:paraId="4CFED022" w14:textId="4E404A19" w:rsidR="007E3FF8" w:rsidRDefault="00145D1B">
      <w:pPr>
        <w:ind w:firstLine="482"/>
        <w:rPr>
          <w:rFonts w:hint="eastAsia"/>
          <w:lang w:eastAsia="zh-CN"/>
        </w:rPr>
      </w:pPr>
      <w:r>
        <w:rPr>
          <w:rFonts w:hint="eastAsia"/>
          <w:lang w:eastAsia="zh-CN"/>
        </w:rPr>
        <w:t>智慧水利</w:t>
      </w:r>
      <w:proofErr w:type="spellStart"/>
      <w:r w:rsidR="00000000">
        <w:t>的第一性原理要求一个严密的闭环：感知（Sensing</w:t>
      </w:r>
      <w:proofErr w:type="spellEnd"/>
      <w:r w:rsidR="00000000">
        <w:t xml:space="preserve">）→ </w:t>
      </w:r>
      <w:proofErr w:type="spellStart"/>
      <w:r w:rsidR="00000000">
        <w:t>状态重构（State</w:t>
      </w:r>
      <w:proofErr w:type="spellEnd"/>
      <w:r w:rsidR="00000000">
        <w:t xml:space="preserve"> Reconstruction）→ </w:t>
      </w:r>
      <w:proofErr w:type="spellStart"/>
      <w:r w:rsidR="00000000">
        <w:t>预测（Prediction</w:t>
      </w:r>
      <w:proofErr w:type="spellEnd"/>
      <w:r w:rsidR="00000000">
        <w:t xml:space="preserve">）→ 决策（Decision）→ 控制（Control）→ </w:t>
      </w:r>
      <w:r w:rsidR="00000000">
        <w:lastRenderedPageBreak/>
        <w:t>验证与审计（Verification &amp; Audit）。</w:t>
      </w:r>
      <w:r w:rsidR="00000000">
        <w:rPr>
          <w:lang w:eastAsia="zh-CN"/>
        </w:rPr>
        <w:t>这六个环节缺一不可，任何切断此闭环的建设——如只做大屏展示、只做离线仿真、只做规则告警——都偏离了学科本质。当前水利信息化建设中大量投资停留在感知和展示环节，恰恰是因为缺乏闭环思维的指导[5]。</w:t>
      </w:r>
    </w:p>
    <w:p w14:paraId="66838F14" w14:textId="77777777" w:rsidR="007E3FF8" w:rsidRDefault="00000000">
      <w:pPr>
        <w:spacing w:before="200" w:after="160"/>
        <w:rPr>
          <w:rFonts w:hint="eastAsia"/>
          <w:lang w:eastAsia="zh-CN"/>
        </w:rPr>
      </w:pPr>
      <w:r>
        <w:rPr>
          <w:b/>
          <w:lang w:eastAsia="zh-CN"/>
        </w:rPr>
        <w:t>3.1.3 四大基本控制原理在水系统中的映射</w:t>
      </w:r>
    </w:p>
    <w:p w14:paraId="6014CD3A" w14:textId="77777777" w:rsidR="007E3FF8" w:rsidRDefault="00000000">
      <w:pPr>
        <w:ind w:firstLine="482"/>
        <w:rPr>
          <w:rFonts w:hint="eastAsia"/>
          <w:lang w:eastAsia="zh-CN"/>
        </w:rPr>
      </w:pPr>
      <w:r>
        <w:rPr>
          <w:lang w:eastAsia="zh-CN"/>
        </w:rPr>
        <w:t>控制论的四大基本原理——反馈、解耦、降阶、涌现——在水系统中有着明确的映射。</w:t>
      </w:r>
    </w:p>
    <w:p w14:paraId="1912178B" w14:textId="77777777" w:rsidR="007E3FF8" w:rsidRDefault="00000000">
      <w:pPr>
        <w:ind w:firstLine="482"/>
        <w:rPr>
          <w:rFonts w:hint="eastAsia"/>
          <w:lang w:eastAsia="zh-CN"/>
        </w:rPr>
      </w:pPr>
      <w:r>
        <w:rPr>
          <w:lang w:eastAsia="zh-CN"/>
        </w:rPr>
        <w:t>反馈原理是控制论的基石。在水系统中，反馈体现为“测量—比较—纠正”的循环：测量实际水位或流量，与目标值比较，计算偏差，调整闸门或泵站。没有反馈的水利调度本质上是开环控制，其性能完全依赖模型精度和初始条件的准确性——在实际工程中，开环控制的偏差会随时间累积，最终导致调度失败[6]。</w:t>
      </w:r>
    </w:p>
    <w:p w14:paraId="661DF16E" w14:textId="77777777" w:rsidR="007E3FF8" w:rsidRDefault="00000000">
      <w:pPr>
        <w:ind w:firstLine="482"/>
        <w:rPr>
          <w:rFonts w:hint="eastAsia"/>
          <w:lang w:eastAsia="zh-CN"/>
        </w:rPr>
      </w:pPr>
      <w:r>
        <w:rPr>
          <w:lang w:eastAsia="zh-CN"/>
        </w:rPr>
        <w:t>解耦原理解决的是多变量系统中的耦合干扰问题。水网系统天然存在强耦合——上游闸门的开度变化通过水力波传播影响下游所有节点。解耦的核心思想是通过适当的控制器设计，使每个控制回路能够独立调节目标变量而不产生对其他回路的显著干扰。在水网MPC（模型预测控制）中，解耦通过预测模型显式考虑耦合效应来实现[7]。</w:t>
      </w:r>
    </w:p>
    <w:p w14:paraId="25C4032C" w14:textId="77777777" w:rsidR="007E3FF8" w:rsidRDefault="00000000">
      <w:pPr>
        <w:ind w:firstLine="482"/>
        <w:rPr>
          <w:rFonts w:hint="eastAsia"/>
          <w:lang w:eastAsia="zh-CN"/>
        </w:rPr>
      </w:pPr>
      <w:r>
        <w:rPr>
          <w:lang w:eastAsia="zh-CN"/>
        </w:rPr>
        <w:t>降阶原理处理的是大规模系统的计算可行性问题。国家水网包含数以千计的控制节点，直接建立全系统的控制模型在计算上不可行。降阶通过模型简化（如只保留主要动态模式）或分层分解（如将全网分为若干相对独立的子系统），在保证控制性能的前提下将问题规模降低到可计算范围[8]。</w:t>
      </w:r>
    </w:p>
    <w:p w14:paraId="6BBA6C46" w14:textId="77777777" w:rsidR="007E3FF8" w:rsidRDefault="00000000">
      <w:pPr>
        <w:ind w:firstLine="482"/>
        <w:rPr>
          <w:rFonts w:hint="eastAsia"/>
          <w:lang w:eastAsia="zh-CN"/>
        </w:rPr>
      </w:pPr>
      <w:r>
        <w:rPr>
          <w:lang w:eastAsia="zh-CN"/>
        </w:rPr>
        <w:t>涌现原理描述了复杂系统中“整体大于部分之和”的现象。水网系统的全局最优运行状态不能通过各子系统独立优化来获得——这正是L2级（局部闭环）向L3级（条件自主）跃迁的核心挑战。涌现原理要求在系统层面建立协调机制，使局部控制器的行为在全局层面产生协同效应而非冲突[9]。</w:t>
      </w:r>
    </w:p>
    <w:p w14:paraId="69D8A998" w14:textId="77777777" w:rsidR="007E3FF8" w:rsidRDefault="00000000">
      <w:pPr>
        <w:spacing w:before="200" w:after="160"/>
        <w:rPr>
          <w:rFonts w:hint="eastAsia"/>
          <w:lang w:eastAsia="zh-CN"/>
        </w:rPr>
      </w:pPr>
      <w:r>
        <w:rPr>
          <w:b/>
          <w:lang w:eastAsia="zh-CN"/>
        </w:rPr>
        <w:t>3.1.4 从“仿真工具链”到“控制工程链”</w:t>
      </w:r>
    </w:p>
    <w:p w14:paraId="37EF2946" w14:textId="77777777" w:rsidR="007E3FF8" w:rsidRDefault="00000000">
      <w:pPr>
        <w:ind w:firstLine="482"/>
        <w:rPr>
          <w:rFonts w:hint="eastAsia"/>
          <w:lang w:eastAsia="zh-CN"/>
        </w:rPr>
      </w:pPr>
      <w:r>
        <w:rPr>
          <w:lang w:eastAsia="zh-CN"/>
        </w:rPr>
        <w:t>传统水利学科被“工程交付链”和“仿真工具链”深度塑形。学生和工程师擅长“正向仿真”——从已知条件计算未知结果（给定边界条件，求解水位和流量分布），这是一种开环能力。然而，自主运行所需要的是“控制工程链”——一条从状态估计、模型校核、优化求解到闭环执行和安全验证的完整能力链。</w:t>
      </w:r>
    </w:p>
    <w:p w14:paraId="6D0F4256" w14:textId="77777777" w:rsidR="007E3FF8" w:rsidRDefault="00000000">
      <w:pPr>
        <w:ind w:firstLine="482"/>
        <w:rPr>
          <w:rFonts w:hint="eastAsia"/>
          <w:lang w:eastAsia="zh-CN"/>
        </w:rPr>
      </w:pPr>
      <w:r>
        <w:rPr>
          <w:lang w:eastAsia="zh-CN"/>
        </w:rPr>
        <w:t>两条链的根本差异在于：仿真工具链的核心能力是“给定输入求输出”，其验证标准是“与观测吻合”；控制工程链的核心能力是“给定目标求控制”，其验证标准是“在所有可能扰动下都满足约束”。前者是确定性问题，后者是鲁棒性问题；前者一次验证即可，后者需要穷举场景反复验证[10]。这一差异决定了从仿真到控制的跨越不是渐进式改良，而是范式性转变。</w:t>
      </w:r>
    </w:p>
    <w:p w14:paraId="7D70CA42" w14:textId="77777777" w:rsidR="007E3FF8" w:rsidRDefault="00000000">
      <w:pPr>
        <w:spacing w:before="280" w:after="200"/>
        <w:rPr>
          <w:rFonts w:hint="eastAsia"/>
          <w:lang w:eastAsia="zh-CN"/>
        </w:rPr>
      </w:pPr>
      <w:r>
        <w:rPr>
          <w:b/>
          <w:sz w:val="28"/>
          <w:lang w:eastAsia="zh-CN"/>
        </w:rPr>
        <w:lastRenderedPageBreak/>
        <w:t>3.2 “重建轻管”的结构性机制分析</w:t>
      </w:r>
    </w:p>
    <w:p w14:paraId="6B0C5144" w14:textId="77777777" w:rsidR="007E3FF8" w:rsidRDefault="00000000">
      <w:pPr>
        <w:spacing w:before="200" w:after="160"/>
        <w:rPr>
          <w:rFonts w:hint="eastAsia"/>
          <w:lang w:eastAsia="zh-CN"/>
        </w:rPr>
      </w:pPr>
      <w:r>
        <w:rPr>
          <w:b/>
          <w:lang w:eastAsia="zh-CN"/>
        </w:rPr>
        <w:t>3.2.1 系统动力学视角下的正反馈循环</w:t>
      </w:r>
    </w:p>
    <w:p w14:paraId="52969151" w14:textId="77777777" w:rsidR="007E3FF8" w:rsidRDefault="00000000">
      <w:pPr>
        <w:ind w:firstLine="482"/>
        <w:rPr>
          <w:rFonts w:hint="eastAsia"/>
          <w:lang w:eastAsia="zh-CN"/>
        </w:rPr>
      </w:pPr>
      <w:r>
        <w:rPr>
          <w:lang w:eastAsia="zh-CN"/>
        </w:rPr>
        <w:t>“重建轻管”是中国水利行业长期存在的痼疾，也是当前“有数字、无智能”困境的根本成因。本节从系统动力学视角深入分析这一问题的结构性机制，揭示其自我强化的正反馈循环[11]。</w:t>
      </w:r>
    </w:p>
    <w:p w14:paraId="7551B4C0" w14:textId="77777777" w:rsidR="007E3FF8" w:rsidRDefault="00000000">
      <w:pPr>
        <w:ind w:firstLine="482"/>
        <w:rPr>
          <w:rFonts w:hint="eastAsia"/>
          <w:lang w:eastAsia="zh-CN"/>
        </w:rPr>
      </w:pPr>
      <w:r>
        <w:rPr>
          <w:lang w:eastAsia="zh-CN"/>
        </w:rPr>
        <w:t>“重建轻管”不仅是观念问题，更是一个系统动力学结果：当绩效评价体系与资金投向主要奖励建设（CAPEX）而非运行（OPEX）时，整个行业会自然地、系统性地堆叠“看得见的工程”，却长期缺失“看不见的能力”。</w:t>
      </w:r>
    </w:p>
    <w:p w14:paraId="5A903245" w14:textId="77777777" w:rsidR="007E3FF8" w:rsidRDefault="00000000">
      <w:pPr>
        <w:ind w:firstLine="482"/>
        <w:rPr>
          <w:rFonts w:hint="eastAsia"/>
          <w:lang w:eastAsia="zh-CN"/>
        </w:rPr>
      </w:pPr>
      <w:r>
        <w:rPr>
          <w:lang w:eastAsia="zh-CN"/>
        </w:rPr>
        <w:t>在资金层面：水利建设资金以项目制为主，每个项目有明确的建设期和竣工验收节点。建设期内资金使用有严格的时间约束，必须在计划周期内完成支出。这一机制天然有利于“看得见”的工程建设，而不利于“看不见”的运行维护能力积累。据统计，我国水利工程运行维护经费通常仅占工程建设投资的1%至2%，远低于国际通行的3%至5%标准[12]。建成后的运行维护资金通常由地方政府承担，在财政压力下往往被压缩。</w:t>
      </w:r>
    </w:p>
    <w:p w14:paraId="68E5591B" w14:textId="77777777" w:rsidR="007E3FF8" w:rsidRDefault="00000000">
      <w:pPr>
        <w:ind w:firstLine="482"/>
        <w:rPr>
          <w:rFonts w:hint="eastAsia"/>
          <w:lang w:eastAsia="zh-CN"/>
        </w:rPr>
      </w:pPr>
      <w:r>
        <w:rPr>
          <w:lang w:eastAsia="zh-CN"/>
        </w:rPr>
        <w:t>在绩效层面：工程建设的成果可见、可量化（建了多少公里渠道、多少座泵站），容易在绩效评价中获得高分。而运行能力的提升往往表现为“事故减少”“效率提升”等难以直接归因的结果，在绩效评价中处于弱势地位。这种不对称的激励结构形成了自我强化的正反馈循环：建设投资→可见成果→正向评价→更多建设投资，而运行投入→隐性收益→弱评价→投入被压缩。</w:t>
      </w:r>
    </w:p>
    <w:p w14:paraId="41984B0F" w14:textId="77777777" w:rsidR="007E3FF8" w:rsidRDefault="00000000">
      <w:pPr>
        <w:spacing w:before="200" w:after="160"/>
        <w:rPr>
          <w:rFonts w:hint="eastAsia"/>
          <w:lang w:eastAsia="zh-CN"/>
        </w:rPr>
      </w:pPr>
      <w:r>
        <w:rPr>
          <w:b/>
          <w:lang w:eastAsia="zh-CN"/>
        </w:rPr>
        <w:t>3.2.2 三类关键能力的系统性缺失</w:t>
      </w:r>
    </w:p>
    <w:p w14:paraId="0A8447A8" w14:textId="77777777" w:rsidR="007E3FF8" w:rsidRDefault="00000000">
      <w:pPr>
        <w:ind w:firstLine="482"/>
        <w:rPr>
          <w:rFonts w:hint="eastAsia"/>
          <w:lang w:eastAsia="zh-CN"/>
        </w:rPr>
      </w:pPr>
      <w:r>
        <w:rPr>
          <w:lang w:eastAsia="zh-CN"/>
        </w:rPr>
        <w:t>“重建轻管”导致了三类关键能力的系统性缺失，这些能力恰恰是实现自主运行的基础。</w:t>
      </w:r>
    </w:p>
    <w:p w14:paraId="0FBDBD45" w14:textId="77777777" w:rsidR="007E3FF8" w:rsidRDefault="00000000">
      <w:pPr>
        <w:ind w:firstLine="482"/>
        <w:rPr>
          <w:rFonts w:hint="eastAsia"/>
          <w:lang w:eastAsia="zh-CN"/>
        </w:rPr>
      </w:pPr>
      <w:r>
        <w:rPr>
          <w:lang w:eastAsia="zh-CN"/>
        </w:rPr>
        <w:t>第一类：运行约束的形式化缺失。红线水位、变幅限制、设备寿命、能耗限额等关键运行约束，在工程设计阶段有明确的数值，但未能系统性地从设计参数转化为控制系统中的形式化约束。调研发现，超过60%的水利工程虽然有运行规程，但这些规程以自然语言形式存在于纸质文件中，并未编码到自动化系统中[13]。当自动化系统需要实时判断“当前操作是否安全”时，缺乏可计算的约束模型作为依据。</w:t>
      </w:r>
    </w:p>
    <w:p w14:paraId="7D12AD3F" w14:textId="77777777" w:rsidR="007E3FF8" w:rsidRDefault="00000000">
      <w:pPr>
        <w:ind w:firstLine="482"/>
        <w:rPr>
          <w:rFonts w:hint="eastAsia"/>
          <w:lang w:eastAsia="zh-CN"/>
        </w:rPr>
      </w:pPr>
      <w:r>
        <w:rPr>
          <w:lang w:eastAsia="zh-CN"/>
        </w:rPr>
        <w:t>第二类：状态可知性缺失。在观测稀疏、缺测频发的条件下，缺乏可验证的状态估计能力。国家水网的传感器覆盖密度远低于电力电网和城市供水管网。以南水北调中线工程为例，全线1432公里设置了约160个水位监测断面，平均间距约9公里[14]；而电力系统的量测密度通常达到每公里数十个量测点。在传感器之间的“盲区”，水力状态完全依赖模型推算，而模型精度受到参数不确定性和边界条件误差的双重制约。</w:t>
      </w:r>
    </w:p>
    <w:p w14:paraId="508D3808" w14:textId="77777777" w:rsidR="007E3FF8" w:rsidRDefault="00000000">
      <w:pPr>
        <w:ind w:firstLine="482"/>
        <w:rPr>
          <w:rFonts w:hint="eastAsia"/>
          <w:lang w:eastAsia="zh-CN"/>
        </w:rPr>
      </w:pPr>
      <w:r>
        <w:rPr>
          <w:lang w:eastAsia="zh-CN"/>
        </w:rPr>
        <w:lastRenderedPageBreak/>
        <w:t>第三类：验证体系缺失。缺少面向极端工况的“场景—验证—准入”机制。当前水利信息化项目的验收通常以“功能清单”为核心——系统能够实现预定的功能界面和数据流程即视为合格。这种验收方式无法回答“系统在极端工况下是否安全”这一核心问题。对比汽车行业，一辆自动驾驶汽车在上路前需要通过数百万公里的虚拟测试和数十万公里的实路测试[15]；而一个水利智能调度系统可能在仅经过少量标准工况演示后就被“验收通过”。</w:t>
      </w:r>
    </w:p>
    <w:p w14:paraId="54AB6558" w14:textId="77777777" w:rsidR="007E3FF8" w:rsidRDefault="00000000">
      <w:pPr>
        <w:spacing w:before="200" w:after="160"/>
        <w:rPr>
          <w:rFonts w:hint="eastAsia"/>
          <w:lang w:eastAsia="zh-CN"/>
        </w:rPr>
      </w:pPr>
      <w:r>
        <w:rPr>
          <w:b/>
          <w:lang w:eastAsia="zh-CN"/>
        </w:rPr>
        <w:t>3.2.3 “有数字、无智能”的行业现状</w:t>
      </w:r>
    </w:p>
    <w:p w14:paraId="4E5BC406" w14:textId="77777777" w:rsidR="007E3FF8" w:rsidRDefault="00000000">
      <w:pPr>
        <w:ind w:firstLine="482"/>
        <w:rPr>
          <w:rFonts w:hint="eastAsia"/>
          <w:lang w:eastAsia="zh-CN"/>
        </w:rPr>
      </w:pPr>
      <w:r>
        <w:rPr>
          <w:lang w:eastAsia="zh-CN"/>
        </w:rPr>
        <w:t>上述三类能力缺失的直接后果是“有数字、无智能”的行业困境。大量水利工程已经建成了SCADA系统、安装了传感器、开发了可视化平台，但这些“数字化基础设施”并未转化为真正的“智能运行能力”。数据采集了但没有被有效同化到模型中，模型建立了但没有被接入闭环控制，平台开发了但停留在展示层而未进入决策层。</w:t>
      </w:r>
    </w:p>
    <w:p w14:paraId="317BF8F7" w14:textId="77777777" w:rsidR="007E3FF8" w:rsidRDefault="00000000">
      <w:pPr>
        <w:ind w:firstLine="482"/>
        <w:rPr>
          <w:rFonts w:hint="eastAsia"/>
          <w:lang w:eastAsia="zh-CN"/>
        </w:rPr>
      </w:pPr>
      <w:r>
        <w:rPr>
          <w:lang w:eastAsia="zh-CN"/>
        </w:rPr>
        <w:t>据水利部信息中心2023年统计，全国已建成的水利信息化系统中，能够实现闭环自动控制的不足5%，绝大多数停留在数据采集和可视化展示阶段[16]。这意味着，水利行业在“数字化”层面已经取得了显著进展，但在“智能化”和“自主化”层面仍处于起步阶段。从第二章的分级体系来看，70%至80%的水利工程仍处于L0级（辅助监测），真正达到L2级及以上的不足10%。</w:t>
      </w:r>
    </w:p>
    <w:p w14:paraId="7C0AECF3" w14:textId="77777777" w:rsidR="007E3FF8" w:rsidRDefault="00000000">
      <w:pPr>
        <w:spacing w:before="280" w:after="200"/>
        <w:rPr>
          <w:rFonts w:hint="eastAsia"/>
          <w:lang w:eastAsia="zh-CN"/>
        </w:rPr>
      </w:pPr>
      <w:r>
        <w:rPr>
          <w:b/>
          <w:sz w:val="28"/>
          <w:lang w:eastAsia="zh-CN"/>
        </w:rPr>
        <w:t>3.3 学科短板：缺“控制课程”本质是缺“运行科学”</w:t>
      </w:r>
    </w:p>
    <w:p w14:paraId="4A312295" w14:textId="77777777" w:rsidR="007E3FF8" w:rsidRDefault="00000000">
      <w:pPr>
        <w:spacing w:before="200" w:after="160"/>
        <w:rPr>
          <w:rFonts w:hint="eastAsia"/>
          <w:lang w:eastAsia="zh-CN"/>
        </w:rPr>
      </w:pPr>
      <w:r>
        <w:rPr>
          <w:b/>
          <w:lang w:eastAsia="zh-CN"/>
        </w:rPr>
        <w:t>3.3.1 当前水利教育体系的知识缺口</w:t>
      </w:r>
    </w:p>
    <w:p w14:paraId="5A089527" w14:textId="77777777" w:rsidR="007E3FF8" w:rsidRDefault="00000000">
      <w:pPr>
        <w:ind w:firstLine="482"/>
        <w:rPr>
          <w:rFonts w:hint="eastAsia"/>
          <w:lang w:eastAsia="zh-CN"/>
        </w:rPr>
      </w:pPr>
      <w:r>
        <w:rPr>
          <w:lang w:eastAsia="zh-CN"/>
        </w:rPr>
        <w:t>水利学科长期被“工程交付链”和“仿真工具链”塑形，形成了以“正向仿真”为核心能力的知识体系。学生精通从已知条件计算未知结果，却缺乏处理“逆问题”的能力——从有限观测推断系统状态，从运行目标反推控制策略。这一知识结构的偏差直接制约了水利行业的智能化转型[17]。</w:t>
      </w:r>
    </w:p>
    <w:p w14:paraId="164EF002" w14:textId="77777777" w:rsidR="007E3FF8" w:rsidRDefault="00000000">
      <w:pPr>
        <w:ind w:firstLine="482"/>
        <w:rPr>
          <w:rFonts w:hint="eastAsia"/>
          <w:lang w:eastAsia="zh-CN"/>
        </w:rPr>
      </w:pPr>
      <w:r>
        <w:rPr>
          <w:lang w:eastAsia="zh-CN"/>
        </w:rPr>
        <w:t>具体而言，当前水利教育体系中存在以下五个关键知识缺口。第一，状态估计与数据同化——这是从“数据”到“信息”的关键桥梁，在气象学和海洋学中已有成熟应用（如ECMWF的4D-Var系统[18]），但在水利工程中几乎未被纳入核心课程。第二，系统辨识与参数估计——实际工程中模型参数往往不可直接测量，需要通过运行数据反演，这在控制工程中是基础技能，在水利教育中却鲜有涉及。第三，模型预测控制（MPC）与分布式控制——MPC是当代过程控制领域的核心方法论[19]，在石油化工、电力、汽车等行业广泛应用，但水利专业本科和硕士课程中几乎没有覆盖。第四，鲁棒优化与不确定性处理——水利工程中的不确定性来源广泛（水文预报误差、模型参数不确定性、传感器噪声），需要专门的数学工具来处理。第五，安全论证与SIL/HIL验证——安全关键系统的验证方法论在航空和汽车行业有成熟体系，水利教育中完全缺失。</w:t>
      </w:r>
    </w:p>
    <w:p w14:paraId="6D5A3359" w14:textId="77777777" w:rsidR="007E3FF8" w:rsidRDefault="00000000">
      <w:pPr>
        <w:spacing w:before="200" w:after="160"/>
        <w:rPr>
          <w:rFonts w:hint="eastAsia"/>
          <w:lang w:eastAsia="zh-CN"/>
        </w:rPr>
      </w:pPr>
      <w:r>
        <w:rPr>
          <w:b/>
          <w:lang w:eastAsia="zh-CN"/>
        </w:rPr>
        <w:lastRenderedPageBreak/>
        <w:t>3.3.2 与控制工程学科的课程对比</w:t>
      </w:r>
    </w:p>
    <w:p w14:paraId="3870C722" w14:textId="77777777" w:rsidR="007E3FF8" w:rsidRDefault="00000000">
      <w:pPr>
        <w:ind w:firstLine="482"/>
        <w:rPr>
          <w:rFonts w:hint="eastAsia"/>
          <w:lang w:eastAsia="zh-CN"/>
        </w:rPr>
      </w:pPr>
      <w:r>
        <w:rPr>
          <w:lang w:eastAsia="zh-CN"/>
        </w:rPr>
        <w:t>将水利工程与控制工程的核心课程体系进行对比，可以清晰地看到知识结构的差异：</w:t>
      </w:r>
    </w:p>
    <w:tbl>
      <w:tblPr>
        <w:tblW w:w="0" w:type="auto"/>
        <w:jc w:val="center"/>
        <w:tblLook w:val="04A0" w:firstRow="1" w:lastRow="0" w:firstColumn="1" w:lastColumn="0" w:noHBand="0" w:noVBand="1"/>
      </w:tblPr>
      <w:tblGrid>
        <w:gridCol w:w="1247"/>
        <w:gridCol w:w="2268"/>
        <w:gridCol w:w="2268"/>
        <w:gridCol w:w="2268"/>
      </w:tblGrid>
      <w:tr w:rsidR="007E3FF8" w14:paraId="4D3783CF" w14:textId="77777777">
        <w:trPr>
          <w:jc w:val="center"/>
        </w:trPr>
        <w:tc>
          <w:tcPr>
            <w:tcW w:w="1247" w:type="dxa"/>
            <w:shd w:val="clear" w:color="auto" w:fill="1F4E79"/>
          </w:tcPr>
          <w:p w14:paraId="5994291C" w14:textId="77777777" w:rsidR="007E3FF8" w:rsidRDefault="00000000">
            <w:pPr>
              <w:jc w:val="center"/>
              <w:rPr>
                <w:rFonts w:hint="eastAsia"/>
              </w:rPr>
            </w:pPr>
            <w:proofErr w:type="spellStart"/>
            <w:r>
              <w:rPr>
                <w:b/>
                <w:color w:val="FFFFFF"/>
                <w:sz w:val="21"/>
              </w:rPr>
              <w:t>能力域</w:t>
            </w:r>
            <w:proofErr w:type="spellEnd"/>
          </w:p>
        </w:tc>
        <w:tc>
          <w:tcPr>
            <w:tcW w:w="2268" w:type="dxa"/>
            <w:shd w:val="clear" w:color="auto" w:fill="1F4E79"/>
          </w:tcPr>
          <w:p w14:paraId="23F9F522" w14:textId="77777777" w:rsidR="007E3FF8" w:rsidRDefault="00000000">
            <w:pPr>
              <w:jc w:val="center"/>
              <w:rPr>
                <w:rFonts w:hint="eastAsia"/>
              </w:rPr>
            </w:pPr>
            <w:r>
              <w:rPr>
                <w:b/>
                <w:color w:val="FFFFFF"/>
                <w:sz w:val="21"/>
              </w:rPr>
              <w:t>控制工程核心课程</w:t>
            </w:r>
          </w:p>
        </w:tc>
        <w:tc>
          <w:tcPr>
            <w:tcW w:w="2268" w:type="dxa"/>
            <w:shd w:val="clear" w:color="auto" w:fill="1F4E79"/>
          </w:tcPr>
          <w:p w14:paraId="473DEAA6" w14:textId="77777777" w:rsidR="007E3FF8" w:rsidRDefault="00000000">
            <w:pPr>
              <w:jc w:val="center"/>
              <w:rPr>
                <w:rFonts w:hint="eastAsia"/>
              </w:rPr>
            </w:pPr>
            <w:r>
              <w:rPr>
                <w:b/>
                <w:color w:val="FFFFFF"/>
                <w:sz w:val="21"/>
              </w:rPr>
              <w:t>水利工程对应课程</w:t>
            </w:r>
          </w:p>
        </w:tc>
        <w:tc>
          <w:tcPr>
            <w:tcW w:w="2268" w:type="dxa"/>
            <w:shd w:val="clear" w:color="auto" w:fill="1F4E79"/>
          </w:tcPr>
          <w:p w14:paraId="2D5FBF38" w14:textId="77777777" w:rsidR="007E3FF8" w:rsidRDefault="00000000">
            <w:pPr>
              <w:jc w:val="center"/>
              <w:rPr>
                <w:rFonts w:hint="eastAsia"/>
              </w:rPr>
            </w:pPr>
            <w:r>
              <w:rPr>
                <w:b/>
                <w:color w:val="FFFFFF"/>
                <w:sz w:val="21"/>
              </w:rPr>
              <w:t>差距分析</w:t>
            </w:r>
          </w:p>
        </w:tc>
      </w:tr>
      <w:tr w:rsidR="007E3FF8" w14:paraId="54963E31" w14:textId="77777777">
        <w:trPr>
          <w:jc w:val="center"/>
        </w:trPr>
        <w:tc>
          <w:tcPr>
            <w:tcW w:w="1247" w:type="dxa"/>
          </w:tcPr>
          <w:p w14:paraId="65C88C71" w14:textId="77777777" w:rsidR="007E3FF8" w:rsidRDefault="00000000">
            <w:pPr>
              <w:jc w:val="center"/>
              <w:rPr>
                <w:rFonts w:hint="eastAsia"/>
              </w:rPr>
            </w:pPr>
            <w:r>
              <w:rPr>
                <w:sz w:val="20"/>
              </w:rPr>
              <w:t>状态估计</w:t>
            </w:r>
          </w:p>
        </w:tc>
        <w:tc>
          <w:tcPr>
            <w:tcW w:w="2268" w:type="dxa"/>
          </w:tcPr>
          <w:p w14:paraId="59C0A8A3" w14:textId="77777777" w:rsidR="007E3FF8" w:rsidRDefault="00000000">
            <w:pPr>
              <w:jc w:val="center"/>
              <w:rPr>
                <w:rFonts w:hint="eastAsia"/>
                <w:lang w:eastAsia="zh-CN"/>
              </w:rPr>
            </w:pPr>
            <w:r>
              <w:rPr>
                <w:sz w:val="20"/>
                <w:lang w:eastAsia="zh-CN"/>
              </w:rPr>
              <w:t>卡尔曼滤波、数据同化</w:t>
            </w:r>
          </w:p>
        </w:tc>
        <w:tc>
          <w:tcPr>
            <w:tcW w:w="2268" w:type="dxa"/>
          </w:tcPr>
          <w:p w14:paraId="4F124A08" w14:textId="77777777" w:rsidR="007E3FF8" w:rsidRDefault="00000000">
            <w:pPr>
              <w:jc w:val="center"/>
              <w:rPr>
                <w:rFonts w:hint="eastAsia"/>
              </w:rPr>
            </w:pPr>
            <w:proofErr w:type="spellStart"/>
            <w:r>
              <w:rPr>
                <w:sz w:val="20"/>
              </w:rPr>
              <w:t>无对应课程</w:t>
            </w:r>
            <w:proofErr w:type="spellEnd"/>
          </w:p>
        </w:tc>
        <w:tc>
          <w:tcPr>
            <w:tcW w:w="2268" w:type="dxa"/>
          </w:tcPr>
          <w:p w14:paraId="0BAF066D" w14:textId="77777777" w:rsidR="007E3FF8" w:rsidRDefault="00000000">
            <w:pPr>
              <w:jc w:val="center"/>
              <w:rPr>
                <w:rFonts w:hint="eastAsia"/>
              </w:rPr>
            </w:pPr>
            <w:r>
              <w:rPr>
                <w:sz w:val="20"/>
              </w:rPr>
              <w:t>完全缺失</w:t>
            </w:r>
          </w:p>
        </w:tc>
      </w:tr>
      <w:tr w:rsidR="007E3FF8" w14:paraId="1CBBB9B5" w14:textId="77777777">
        <w:trPr>
          <w:jc w:val="center"/>
        </w:trPr>
        <w:tc>
          <w:tcPr>
            <w:tcW w:w="1247" w:type="dxa"/>
            <w:shd w:val="clear" w:color="auto" w:fill="F2F7FB"/>
          </w:tcPr>
          <w:p w14:paraId="22DCB94A" w14:textId="77777777" w:rsidR="007E3FF8" w:rsidRDefault="00000000">
            <w:pPr>
              <w:jc w:val="center"/>
              <w:rPr>
                <w:rFonts w:hint="eastAsia"/>
              </w:rPr>
            </w:pPr>
            <w:r>
              <w:rPr>
                <w:sz w:val="20"/>
              </w:rPr>
              <w:t>系统辨识</w:t>
            </w:r>
          </w:p>
        </w:tc>
        <w:tc>
          <w:tcPr>
            <w:tcW w:w="2268" w:type="dxa"/>
            <w:shd w:val="clear" w:color="auto" w:fill="F2F7FB"/>
          </w:tcPr>
          <w:p w14:paraId="08BD1D69" w14:textId="77777777" w:rsidR="007E3FF8" w:rsidRDefault="00000000">
            <w:pPr>
              <w:jc w:val="center"/>
              <w:rPr>
                <w:rFonts w:hint="eastAsia"/>
              </w:rPr>
            </w:pPr>
            <w:r>
              <w:rPr>
                <w:sz w:val="20"/>
              </w:rPr>
              <w:t>系统辨识理论与实践</w:t>
            </w:r>
          </w:p>
        </w:tc>
        <w:tc>
          <w:tcPr>
            <w:tcW w:w="2268" w:type="dxa"/>
            <w:shd w:val="clear" w:color="auto" w:fill="F2F7FB"/>
          </w:tcPr>
          <w:p w14:paraId="5A1DEA3C" w14:textId="77777777" w:rsidR="007E3FF8" w:rsidRDefault="00000000">
            <w:pPr>
              <w:jc w:val="center"/>
              <w:rPr>
                <w:rFonts w:hint="eastAsia"/>
                <w:lang w:eastAsia="zh-CN"/>
              </w:rPr>
            </w:pPr>
            <w:r>
              <w:rPr>
                <w:sz w:val="20"/>
                <w:lang w:eastAsia="zh-CN"/>
              </w:rPr>
              <w:t>水文统计（部分相关）</w:t>
            </w:r>
          </w:p>
        </w:tc>
        <w:tc>
          <w:tcPr>
            <w:tcW w:w="2268" w:type="dxa"/>
            <w:shd w:val="clear" w:color="auto" w:fill="F2F7FB"/>
          </w:tcPr>
          <w:p w14:paraId="48AFD644" w14:textId="77777777" w:rsidR="007E3FF8" w:rsidRDefault="00000000">
            <w:pPr>
              <w:jc w:val="center"/>
              <w:rPr>
                <w:rFonts w:hint="eastAsia"/>
              </w:rPr>
            </w:pPr>
            <w:proofErr w:type="spellStart"/>
            <w:r>
              <w:rPr>
                <w:sz w:val="20"/>
              </w:rPr>
              <w:t>方法论缺失</w:t>
            </w:r>
            <w:proofErr w:type="spellEnd"/>
          </w:p>
        </w:tc>
      </w:tr>
      <w:tr w:rsidR="007E3FF8" w14:paraId="78DCF236" w14:textId="77777777">
        <w:trPr>
          <w:jc w:val="center"/>
        </w:trPr>
        <w:tc>
          <w:tcPr>
            <w:tcW w:w="1247" w:type="dxa"/>
          </w:tcPr>
          <w:p w14:paraId="68D027C6" w14:textId="77777777" w:rsidR="007E3FF8" w:rsidRDefault="00000000">
            <w:pPr>
              <w:jc w:val="center"/>
              <w:rPr>
                <w:rFonts w:hint="eastAsia"/>
              </w:rPr>
            </w:pPr>
            <w:r>
              <w:rPr>
                <w:sz w:val="20"/>
              </w:rPr>
              <w:t>最优控制</w:t>
            </w:r>
          </w:p>
        </w:tc>
        <w:tc>
          <w:tcPr>
            <w:tcW w:w="2268" w:type="dxa"/>
          </w:tcPr>
          <w:p w14:paraId="1492BAAA" w14:textId="77777777" w:rsidR="007E3FF8" w:rsidRDefault="00000000">
            <w:pPr>
              <w:jc w:val="center"/>
              <w:rPr>
                <w:rFonts w:hint="eastAsia"/>
                <w:lang w:eastAsia="zh-CN"/>
              </w:rPr>
            </w:pPr>
            <w:r>
              <w:rPr>
                <w:sz w:val="20"/>
                <w:lang w:eastAsia="zh-CN"/>
              </w:rPr>
              <w:t>最优控制理论、MPC</w:t>
            </w:r>
          </w:p>
        </w:tc>
        <w:tc>
          <w:tcPr>
            <w:tcW w:w="2268" w:type="dxa"/>
          </w:tcPr>
          <w:p w14:paraId="5C0FB62A" w14:textId="77777777" w:rsidR="007E3FF8" w:rsidRDefault="00000000">
            <w:pPr>
              <w:jc w:val="center"/>
              <w:rPr>
                <w:rFonts w:hint="eastAsia"/>
                <w:lang w:eastAsia="zh-CN"/>
              </w:rPr>
            </w:pPr>
            <w:r>
              <w:rPr>
                <w:sz w:val="20"/>
                <w:lang w:eastAsia="zh-CN"/>
              </w:rPr>
              <w:t>水库优化调度（静态）</w:t>
            </w:r>
          </w:p>
        </w:tc>
        <w:tc>
          <w:tcPr>
            <w:tcW w:w="2268" w:type="dxa"/>
          </w:tcPr>
          <w:p w14:paraId="61CC621E" w14:textId="77777777" w:rsidR="007E3FF8" w:rsidRDefault="00000000">
            <w:pPr>
              <w:jc w:val="center"/>
              <w:rPr>
                <w:rFonts w:hint="eastAsia"/>
              </w:rPr>
            </w:pPr>
            <w:proofErr w:type="spellStart"/>
            <w:r>
              <w:rPr>
                <w:sz w:val="20"/>
              </w:rPr>
              <w:t>动态闭环缺失</w:t>
            </w:r>
            <w:proofErr w:type="spellEnd"/>
          </w:p>
        </w:tc>
      </w:tr>
      <w:tr w:rsidR="007E3FF8" w14:paraId="0621F5D7" w14:textId="77777777">
        <w:trPr>
          <w:jc w:val="center"/>
        </w:trPr>
        <w:tc>
          <w:tcPr>
            <w:tcW w:w="1247" w:type="dxa"/>
            <w:shd w:val="clear" w:color="auto" w:fill="F2F7FB"/>
          </w:tcPr>
          <w:p w14:paraId="4F44EF3D" w14:textId="77777777" w:rsidR="007E3FF8" w:rsidRDefault="00000000">
            <w:pPr>
              <w:jc w:val="center"/>
              <w:rPr>
                <w:rFonts w:hint="eastAsia"/>
              </w:rPr>
            </w:pPr>
            <w:r>
              <w:rPr>
                <w:sz w:val="20"/>
              </w:rPr>
              <w:t>鲁棒控制</w:t>
            </w:r>
          </w:p>
        </w:tc>
        <w:tc>
          <w:tcPr>
            <w:tcW w:w="2268" w:type="dxa"/>
            <w:shd w:val="clear" w:color="auto" w:fill="F2F7FB"/>
          </w:tcPr>
          <w:p w14:paraId="229AC71C" w14:textId="77777777" w:rsidR="007E3FF8" w:rsidRDefault="00000000">
            <w:pPr>
              <w:jc w:val="center"/>
              <w:rPr>
                <w:rFonts w:hint="eastAsia"/>
                <w:lang w:eastAsia="zh-CN"/>
              </w:rPr>
            </w:pPr>
            <w:r>
              <w:rPr>
                <w:sz w:val="20"/>
                <w:lang w:eastAsia="zh-CN"/>
              </w:rPr>
              <w:t>鲁棒控制、自适应控制</w:t>
            </w:r>
          </w:p>
        </w:tc>
        <w:tc>
          <w:tcPr>
            <w:tcW w:w="2268" w:type="dxa"/>
            <w:shd w:val="clear" w:color="auto" w:fill="F2F7FB"/>
          </w:tcPr>
          <w:p w14:paraId="26D54FBF" w14:textId="77777777" w:rsidR="007E3FF8" w:rsidRDefault="00000000">
            <w:pPr>
              <w:jc w:val="center"/>
              <w:rPr>
                <w:rFonts w:hint="eastAsia"/>
              </w:rPr>
            </w:pPr>
            <w:proofErr w:type="spellStart"/>
            <w:r>
              <w:rPr>
                <w:sz w:val="20"/>
              </w:rPr>
              <w:t>无对应课程</w:t>
            </w:r>
            <w:proofErr w:type="spellEnd"/>
          </w:p>
        </w:tc>
        <w:tc>
          <w:tcPr>
            <w:tcW w:w="2268" w:type="dxa"/>
            <w:shd w:val="clear" w:color="auto" w:fill="F2F7FB"/>
          </w:tcPr>
          <w:p w14:paraId="60610C4E" w14:textId="77777777" w:rsidR="007E3FF8" w:rsidRDefault="00000000">
            <w:pPr>
              <w:jc w:val="center"/>
              <w:rPr>
                <w:rFonts w:hint="eastAsia"/>
              </w:rPr>
            </w:pPr>
            <w:r>
              <w:rPr>
                <w:sz w:val="20"/>
              </w:rPr>
              <w:t>完全缺失</w:t>
            </w:r>
          </w:p>
        </w:tc>
      </w:tr>
      <w:tr w:rsidR="007E3FF8" w14:paraId="6AD9B81C" w14:textId="77777777">
        <w:trPr>
          <w:jc w:val="center"/>
        </w:trPr>
        <w:tc>
          <w:tcPr>
            <w:tcW w:w="1247" w:type="dxa"/>
          </w:tcPr>
          <w:p w14:paraId="5FE0E2FD" w14:textId="77777777" w:rsidR="007E3FF8" w:rsidRDefault="00000000">
            <w:pPr>
              <w:jc w:val="center"/>
              <w:rPr>
                <w:rFonts w:hint="eastAsia"/>
              </w:rPr>
            </w:pPr>
            <w:r>
              <w:rPr>
                <w:sz w:val="20"/>
              </w:rPr>
              <w:t>安全验证</w:t>
            </w:r>
          </w:p>
        </w:tc>
        <w:tc>
          <w:tcPr>
            <w:tcW w:w="2268" w:type="dxa"/>
          </w:tcPr>
          <w:p w14:paraId="5170F25B" w14:textId="77777777" w:rsidR="007E3FF8" w:rsidRDefault="00000000">
            <w:pPr>
              <w:jc w:val="center"/>
              <w:rPr>
                <w:rFonts w:hint="eastAsia"/>
              </w:rPr>
            </w:pPr>
            <w:r>
              <w:rPr>
                <w:sz w:val="20"/>
              </w:rPr>
              <w:t>SIL/HIL测试方法</w:t>
            </w:r>
          </w:p>
        </w:tc>
        <w:tc>
          <w:tcPr>
            <w:tcW w:w="2268" w:type="dxa"/>
          </w:tcPr>
          <w:p w14:paraId="750E5CDB" w14:textId="77777777" w:rsidR="007E3FF8" w:rsidRDefault="00000000">
            <w:pPr>
              <w:jc w:val="center"/>
              <w:rPr>
                <w:rFonts w:hint="eastAsia"/>
              </w:rPr>
            </w:pPr>
            <w:r>
              <w:rPr>
                <w:sz w:val="20"/>
              </w:rPr>
              <w:t>无对应课程</w:t>
            </w:r>
          </w:p>
        </w:tc>
        <w:tc>
          <w:tcPr>
            <w:tcW w:w="2268" w:type="dxa"/>
          </w:tcPr>
          <w:p w14:paraId="430D288E" w14:textId="77777777" w:rsidR="007E3FF8" w:rsidRDefault="00000000">
            <w:pPr>
              <w:jc w:val="center"/>
              <w:rPr>
                <w:rFonts w:hint="eastAsia"/>
              </w:rPr>
            </w:pPr>
            <w:r>
              <w:rPr>
                <w:sz w:val="20"/>
              </w:rPr>
              <w:t>完全缺失</w:t>
            </w:r>
          </w:p>
        </w:tc>
      </w:tr>
      <w:tr w:rsidR="007E3FF8" w14:paraId="6B43B4FB" w14:textId="77777777">
        <w:trPr>
          <w:jc w:val="center"/>
        </w:trPr>
        <w:tc>
          <w:tcPr>
            <w:tcW w:w="1247" w:type="dxa"/>
            <w:shd w:val="clear" w:color="auto" w:fill="F2F7FB"/>
          </w:tcPr>
          <w:p w14:paraId="3D78F2EC" w14:textId="77777777" w:rsidR="007E3FF8" w:rsidRDefault="00000000">
            <w:pPr>
              <w:jc w:val="center"/>
              <w:rPr>
                <w:rFonts w:hint="eastAsia"/>
              </w:rPr>
            </w:pPr>
            <w:r>
              <w:rPr>
                <w:sz w:val="20"/>
              </w:rPr>
              <w:t>实时系统</w:t>
            </w:r>
          </w:p>
        </w:tc>
        <w:tc>
          <w:tcPr>
            <w:tcW w:w="2268" w:type="dxa"/>
            <w:shd w:val="clear" w:color="auto" w:fill="F2F7FB"/>
          </w:tcPr>
          <w:p w14:paraId="640C1F2C" w14:textId="77777777" w:rsidR="007E3FF8" w:rsidRDefault="00000000">
            <w:pPr>
              <w:jc w:val="center"/>
              <w:rPr>
                <w:rFonts w:hint="eastAsia"/>
                <w:lang w:eastAsia="zh-CN"/>
              </w:rPr>
            </w:pPr>
            <w:r>
              <w:rPr>
                <w:sz w:val="20"/>
                <w:lang w:eastAsia="zh-CN"/>
              </w:rPr>
              <w:t>嵌入式系统、实时OS</w:t>
            </w:r>
          </w:p>
        </w:tc>
        <w:tc>
          <w:tcPr>
            <w:tcW w:w="2268" w:type="dxa"/>
            <w:shd w:val="clear" w:color="auto" w:fill="F2F7FB"/>
          </w:tcPr>
          <w:p w14:paraId="4014DA37" w14:textId="77777777" w:rsidR="007E3FF8" w:rsidRDefault="00000000">
            <w:pPr>
              <w:jc w:val="center"/>
              <w:rPr>
                <w:rFonts w:hint="eastAsia"/>
              </w:rPr>
            </w:pPr>
            <w:proofErr w:type="spellStart"/>
            <w:r>
              <w:rPr>
                <w:sz w:val="20"/>
              </w:rPr>
              <w:t>无对应课程</w:t>
            </w:r>
            <w:proofErr w:type="spellEnd"/>
          </w:p>
        </w:tc>
        <w:tc>
          <w:tcPr>
            <w:tcW w:w="2268" w:type="dxa"/>
            <w:shd w:val="clear" w:color="auto" w:fill="F2F7FB"/>
          </w:tcPr>
          <w:p w14:paraId="7B0433CA" w14:textId="77777777" w:rsidR="007E3FF8" w:rsidRDefault="00000000">
            <w:pPr>
              <w:jc w:val="center"/>
              <w:rPr>
                <w:rFonts w:hint="eastAsia"/>
              </w:rPr>
            </w:pPr>
            <w:r>
              <w:rPr>
                <w:sz w:val="20"/>
              </w:rPr>
              <w:t>完全缺失</w:t>
            </w:r>
          </w:p>
        </w:tc>
      </w:tr>
    </w:tbl>
    <w:p w14:paraId="1F82F0E7" w14:textId="77777777" w:rsidR="007E3FF8" w:rsidRDefault="00000000">
      <w:pPr>
        <w:spacing w:after="120"/>
        <w:jc w:val="center"/>
        <w:rPr>
          <w:rFonts w:hint="eastAsia"/>
          <w:lang w:eastAsia="zh-CN"/>
        </w:rPr>
      </w:pPr>
      <w:r>
        <w:rPr>
          <w:i/>
          <w:color w:val="555555"/>
          <w:sz w:val="20"/>
          <w:lang w:eastAsia="zh-CN"/>
        </w:rPr>
        <w:t>表3-1  控制工程与水利工程核心课程对比</w:t>
      </w:r>
    </w:p>
    <w:p w14:paraId="7D60A129" w14:textId="77777777" w:rsidR="007E3FF8" w:rsidRDefault="00000000">
      <w:pPr>
        <w:ind w:firstLine="482"/>
        <w:rPr>
          <w:rFonts w:hint="eastAsia"/>
          <w:lang w:eastAsia="zh-CN"/>
        </w:rPr>
      </w:pPr>
      <w:r>
        <w:rPr>
          <w:lang w:eastAsia="zh-CN"/>
        </w:rPr>
        <w:t>上表揭示了一个深层问题：水利学科在“运行科学”方面存在系统性空白。这不是某一门课程的缺失，而是整个“运行—控制—验证”能力链的缺失。补齐这一短板，不能简单地“加几门课”，而需要从学科定位、培养方案、实验平台和师资队伍等多个维度进行系统性变革[20]。</w:t>
      </w:r>
    </w:p>
    <w:p w14:paraId="7F139A87" w14:textId="77777777" w:rsidR="007E3FF8" w:rsidRDefault="00000000">
      <w:pPr>
        <w:spacing w:before="200" w:after="160"/>
        <w:rPr>
          <w:rFonts w:hint="eastAsia"/>
          <w:lang w:eastAsia="zh-CN"/>
        </w:rPr>
      </w:pPr>
      <w:r>
        <w:rPr>
          <w:b/>
          <w:lang w:eastAsia="zh-CN"/>
        </w:rPr>
        <w:t>3.3.3 补齐“运行科学”的课程建议</w:t>
      </w:r>
    </w:p>
    <w:p w14:paraId="2E1C17F8" w14:textId="77777777" w:rsidR="007E3FF8" w:rsidRDefault="00000000">
      <w:pPr>
        <w:ind w:firstLine="482"/>
        <w:rPr>
          <w:rFonts w:hint="eastAsia"/>
          <w:lang w:eastAsia="zh-CN"/>
        </w:rPr>
      </w:pPr>
      <w:r>
        <w:rPr>
          <w:lang w:eastAsia="zh-CN"/>
        </w:rPr>
        <w:t>借鉴汽车、航空、电力等行业将“运行安全”作为核心学科的经验，水利急需补齐“运行科学”课程群。建议在水利工程本科和研究生培养方案中增设以下核心课程模块：</w:t>
      </w:r>
    </w:p>
    <w:p w14:paraId="06D0405E" w14:textId="77777777" w:rsidR="007E3FF8" w:rsidRDefault="00000000">
      <w:pPr>
        <w:ind w:firstLine="482"/>
        <w:rPr>
          <w:rFonts w:hint="eastAsia"/>
          <w:lang w:eastAsia="zh-CN"/>
        </w:rPr>
      </w:pPr>
      <w:r>
        <w:rPr>
          <w:lang w:eastAsia="zh-CN"/>
        </w:rPr>
        <w:t>模块一：水系统状态估计与数据同化。涵盖卡尔曼滤波（KF）、扩展卡尔曼滤波（EKF）、集合卡尔曼滤波（</w:t>
      </w:r>
      <w:proofErr w:type="spellStart"/>
      <w:r>
        <w:rPr>
          <w:lang w:eastAsia="zh-CN"/>
        </w:rPr>
        <w:t>EnKF</w:t>
      </w:r>
      <w:proofErr w:type="spellEnd"/>
      <w:r>
        <w:rPr>
          <w:lang w:eastAsia="zh-CN"/>
        </w:rPr>
        <w:t>）的原理与水利应用[21]，重点讲授如何在传感器稀疏条件下恢复水网的完整状态场。模块二：水系统辨识与自适应控制。涵盖参数估计方法（最小二乘、极大似然）、在线辨识算法、自适应控制器设计，重点讲授如何从运行数据中自动校核水力模型参数。模块三：模型预测控制原理与水利应用。涵盖MPC的基本原理、约束处理、分布式MPC、鲁棒MPC[19]，以明渠系统和管网系统为案例进行实操训练。模块四：水系统鲁棒优化与不确定性量化。涵盖随机优化、鲁棒优化、机会约束优化等方法，以水文预报不确定性条件下的水库调度为核心案例。模块五：水利控制系统安全论证与验证。涵盖安全性分析方法（FMEA、FTA、HAZOP）、SIL/HIL测试方法论、安全论证报告撰写，借鉴DO-178C[22]和ISO 26262[23]的工程实践。</w:t>
      </w:r>
    </w:p>
    <w:p w14:paraId="7E41FD42" w14:textId="77777777" w:rsidR="007E3FF8" w:rsidRDefault="00000000">
      <w:pPr>
        <w:spacing w:before="280" w:after="200"/>
        <w:rPr>
          <w:rFonts w:hint="eastAsia"/>
          <w:lang w:eastAsia="zh-CN"/>
        </w:rPr>
      </w:pPr>
      <w:r>
        <w:rPr>
          <w:b/>
          <w:sz w:val="28"/>
          <w:lang w:eastAsia="zh-CN"/>
        </w:rPr>
        <w:t>3.4 跨行业领先范式：差距在“工程准入包”</w:t>
      </w:r>
    </w:p>
    <w:p w14:paraId="449DC623" w14:textId="77777777" w:rsidR="007E3FF8" w:rsidRDefault="00000000">
      <w:pPr>
        <w:spacing w:before="200" w:after="160"/>
        <w:rPr>
          <w:rFonts w:hint="eastAsia"/>
          <w:lang w:eastAsia="zh-CN"/>
        </w:rPr>
      </w:pPr>
      <w:r>
        <w:rPr>
          <w:b/>
          <w:lang w:eastAsia="zh-CN"/>
        </w:rPr>
        <w:t>3.4.1 行业对标总览：从数字化到产品化</w:t>
      </w:r>
    </w:p>
    <w:p w14:paraId="73C6FB9D" w14:textId="77777777" w:rsidR="007E3FF8" w:rsidRDefault="00000000">
      <w:pPr>
        <w:ind w:firstLine="482"/>
        <w:rPr>
          <w:rFonts w:hint="eastAsia"/>
          <w:lang w:eastAsia="zh-CN"/>
        </w:rPr>
      </w:pPr>
      <w:r>
        <w:rPr>
          <w:lang w:eastAsia="zh-CN"/>
        </w:rPr>
        <w:lastRenderedPageBreak/>
        <w:t>通过系统性的跨行业对标分析，我们发现水利行业与先进行业的最大差距不在于是否有“数字孪生”或“人工智能”，而在于是否有一套强制的“工程准入范式”——即一套从设计到上线的完整质量保证体系，确保每个上线的智能系统都经过了严格的、可追溯的验证[24]。</w:t>
      </w:r>
    </w:p>
    <w:tbl>
      <w:tblPr>
        <w:tblW w:w="0" w:type="auto"/>
        <w:jc w:val="center"/>
        <w:tblLook w:val="04A0" w:firstRow="1" w:lastRow="0" w:firstColumn="1" w:lastColumn="0" w:noHBand="0" w:noVBand="1"/>
      </w:tblPr>
      <w:tblGrid>
        <w:gridCol w:w="1020"/>
        <w:gridCol w:w="1587"/>
        <w:gridCol w:w="2721"/>
        <w:gridCol w:w="2721"/>
      </w:tblGrid>
      <w:tr w:rsidR="007E3FF8" w14:paraId="6DA4E5DD" w14:textId="77777777">
        <w:trPr>
          <w:jc w:val="center"/>
        </w:trPr>
        <w:tc>
          <w:tcPr>
            <w:tcW w:w="1020" w:type="dxa"/>
            <w:shd w:val="clear" w:color="auto" w:fill="1F4E79"/>
          </w:tcPr>
          <w:p w14:paraId="33AF9A24" w14:textId="77777777" w:rsidR="007E3FF8" w:rsidRDefault="00000000">
            <w:pPr>
              <w:jc w:val="center"/>
              <w:rPr>
                <w:rFonts w:hint="eastAsia"/>
              </w:rPr>
            </w:pPr>
            <w:proofErr w:type="spellStart"/>
            <w:r>
              <w:rPr>
                <w:b/>
                <w:color w:val="FFFFFF"/>
                <w:sz w:val="21"/>
              </w:rPr>
              <w:t>行业</w:t>
            </w:r>
            <w:proofErr w:type="spellEnd"/>
          </w:p>
        </w:tc>
        <w:tc>
          <w:tcPr>
            <w:tcW w:w="1587" w:type="dxa"/>
            <w:shd w:val="clear" w:color="auto" w:fill="1F4E79"/>
          </w:tcPr>
          <w:p w14:paraId="72B92454" w14:textId="77777777" w:rsidR="007E3FF8" w:rsidRDefault="00000000">
            <w:pPr>
              <w:jc w:val="center"/>
              <w:rPr>
                <w:rFonts w:hint="eastAsia"/>
              </w:rPr>
            </w:pPr>
            <w:r>
              <w:rPr>
                <w:b/>
                <w:color w:val="FFFFFF"/>
                <w:sz w:val="21"/>
              </w:rPr>
              <w:t>核心范式</w:t>
            </w:r>
          </w:p>
        </w:tc>
        <w:tc>
          <w:tcPr>
            <w:tcW w:w="2721" w:type="dxa"/>
            <w:shd w:val="clear" w:color="auto" w:fill="1F4E79"/>
          </w:tcPr>
          <w:p w14:paraId="43B38EC5" w14:textId="77777777" w:rsidR="007E3FF8" w:rsidRDefault="00000000">
            <w:pPr>
              <w:jc w:val="center"/>
              <w:rPr>
                <w:rFonts w:hint="eastAsia"/>
              </w:rPr>
            </w:pPr>
            <w:r>
              <w:rPr>
                <w:b/>
                <w:color w:val="FFFFFF"/>
                <w:sz w:val="21"/>
              </w:rPr>
              <w:t>关键交付物</w:t>
            </w:r>
          </w:p>
        </w:tc>
        <w:tc>
          <w:tcPr>
            <w:tcW w:w="2721" w:type="dxa"/>
            <w:shd w:val="clear" w:color="auto" w:fill="1F4E79"/>
          </w:tcPr>
          <w:p w14:paraId="5A78F6E7" w14:textId="77777777" w:rsidR="007E3FF8" w:rsidRDefault="00000000">
            <w:pPr>
              <w:jc w:val="center"/>
              <w:rPr>
                <w:rFonts w:hint="eastAsia"/>
              </w:rPr>
            </w:pPr>
            <w:r>
              <w:rPr>
                <w:b/>
                <w:color w:val="FFFFFF"/>
                <w:sz w:val="21"/>
              </w:rPr>
              <w:t>水利现状</w:t>
            </w:r>
          </w:p>
        </w:tc>
      </w:tr>
      <w:tr w:rsidR="007E3FF8" w14:paraId="48FADE28" w14:textId="77777777">
        <w:trPr>
          <w:jc w:val="center"/>
        </w:trPr>
        <w:tc>
          <w:tcPr>
            <w:tcW w:w="1020" w:type="dxa"/>
          </w:tcPr>
          <w:p w14:paraId="6A134957" w14:textId="77777777" w:rsidR="007E3FF8" w:rsidRDefault="00000000">
            <w:pPr>
              <w:jc w:val="center"/>
              <w:rPr>
                <w:rFonts w:hint="eastAsia"/>
              </w:rPr>
            </w:pPr>
            <w:r>
              <w:rPr>
                <w:sz w:val="20"/>
              </w:rPr>
              <w:t>汽车</w:t>
            </w:r>
          </w:p>
        </w:tc>
        <w:tc>
          <w:tcPr>
            <w:tcW w:w="1587" w:type="dxa"/>
          </w:tcPr>
          <w:p w14:paraId="00F18AC4" w14:textId="77777777" w:rsidR="007E3FF8" w:rsidRDefault="00000000">
            <w:pPr>
              <w:jc w:val="center"/>
              <w:rPr>
                <w:rFonts w:hint="eastAsia"/>
              </w:rPr>
            </w:pPr>
            <w:r>
              <w:rPr>
                <w:sz w:val="20"/>
              </w:rPr>
              <w:t>产品化准入</w:t>
            </w:r>
          </w:p>
        </w:tc>
        <w:tc>
          <w:tcPr>
            <w:tcW w:w="2721" w:type="dxa"/>
          </w:tcPr>
          <w:p w14:paraId="4D6533DB" w14:textId="77777777" w:rsidR="007E3FF8" w:rsidRDefault="00000000">
            <w:pPr>
              <w:jc w:val="center"/>
              <w:rPr>
                <w:rFonts w:hint="eastAsia"/>
              </w:rPr>
            </w:pPr>
            <w:r>
              <w:rPr>
                <w:sz w:val="20"/>
              </w:rPr>
              <w:t>ODD + 场景库 + ISO 26262</w:t>
            </w:r>
          </w:p>
        </w:tc>
        <w:tc>
          <w:tcPr>
            <w:tcW w:w="2721" w:type="dxa"/>
          </w:tcPr>
          <w:p w14:paraId="3E832A4F" w14:textId="77777777" w:rsidR="007E3FF8" w:rsidRDefault="00000000">
            <w:pPr>
              <w:jc w:val="center"/>
              <w:rPr>
                <w:rFonts w:hint="eastAsia"/>
                <w:lang w:eastAsia="zh-CN"/>
              </w:rPr>
            </w:pPr>
            <w:r>
              <w:rPr>
                <w:sz w:val="20"/>
                <w:lang w:eastAsia="zh-CN"/>
              </w:rPr>
              <w:t>缺自动化分级与场景库</w:t>
            </w:r>
          </w:p>
        </w:tc>
      </w:tr>
      <w:tr w:rsidR="007E3FF8" w14:paraId="2EF0C036" w14:textId="77777777">
        <w:trPr>
          <w:jc w:val="center"/>
        </w:trPr>
        <w:tc>
          <w:tcPr>
            <w:tcW w:w="1020" w:type="dxa"/>
            <w:shd w:val="clear" w:color="auto" w:fill="F2F7FB"/>
          </w:tcPr>
          <w:p w14:paraId="5B298CFB" w14:textId="77777777" w:rsidR="007E3FF8" w:rsidRDefault="00000000">
            <w:pPr>
              <w:jc w:val="center"/>
              <w:rPr>
                <w:rFonts w:hint="eastAsia"/>
              </w:rPr>
            </w:pPr>
            <w:proofErr w:type="spellStart"/>
            <w:r>
              <w:rPr>
                <w:sz w:val="20"/>
              </w:rPr>
              <w:t>航空</w:t>
            </w:r>
            <w:proofErr w:type="spellEnd"/>
          </w:p>
        </w:tc>
        <w:tc>
          <w:tcPr>
            <w:tcW w:w="1587" w:type="dxa"/>
            <w:shd w:val="clear" w:color="auto" w:fill="F2F7FB"/>
          </w:tcPr>
          <w:p w14:paraId="64125AF7" w14:textId="77777777" w:rsidR="007E3FF8" w:rsidRDefault="00000000">
            <w:pPr>
              <w:jc w:val="center"/>
              <w:rPr>
                <w:rFonts w:hint="eastAsia"/>
              </w:rPr>
            </w:pPr>
            <w:r>
              <w:rPr>
                <w:sz w:val="20"/>
              </w:rPr>
              <w:t>适航认证</w:t>
            </w:r>
          </w:p>
        </w:tc>
        <w:tc>
          <w:tcPr>
            <w:tcW w:w="2721" w:type="dxa"/>
            <w:shd w:val="clear" w:color="auto" w:fill="F2F7FB"/>
          </w:tcPr>
          <w:p w14:paraId="2F389125" w14:textId="77777777" w:rsidR="007E3FF8" w:rsidRDefault="00000000">
            <w:pPr>
              <w:jc w:val="center"/>
              <w:rPr>
                <w:rFonts w:hint="eastAsia"/>
              </w:rPr>
            </w:pPr>
            <w:r>
              <w:rPr>
                <w:sz w:val="20"/>
              </w:rPr>
              <w:t>DO-178C + 设计保证等级</w:t>
            </w:r>
          </w:p>
        </w:tc>
        <w:tc>
          <w:tcPr>
            <w:tcW w:w="2721" w:type="dxa"/>
            <w:shd w:val="clear" w:color="auto" w:fill="F2F7FB"/>
          </w:tcPr>
          <w:p w14:paraId="282502FF" w14:textId="77777777" w:rsidR="007E3FF8" w:rsidRDefault="00000000">
            <w:pPr>
              <w:jc w:val="center"/>
              <w:rPr>
                <w:rFonts w:hint="eastAsia"/>
                <w:lang w:eastAsia="zh-CN"/>
              </w:rPr>
            </w:pPr>
            <w:r>
              <w:rPr>
                <w:sz w:val="20"/>
                <w:lang w:eastAsia="zh-CN"/>
              </w:rPr>
              <w:t>缺软件安全分级与适航证据</w:t>
            </w:r>
          </w:p>
        </w:tc>
      </w:tr>
      <w:tr w:rsidR="007E3FF8" w14:paraId="012B31C6" w14:textId="77777777">
        <w:trPr>
          <w:jc w:val="center"/>
        </w:trPr>
        <w:tc>
          <w:tcPr>
            <w:tcW w:w="1020" w:type="dxa"/>
          </w:tcPr>
          <w:p w14:paraId="650AADB5" w14:textId="77777777" w:rsidR="007E3FF8" w:rsidRDefault="00000000">
            <w:pPr>
              <w:jc w:val="center"/>
              <w:rPr>
                <w:rFonts w:hint="eastAsia"/>
              </w:rPr>
            </w:pPr>
            <w:proofErr w:type="spellStart"/>
            <w:r>
              <w:rPr>
                <w:sz w:val="20"/>
              </w:rPr>
              <w:t>电力</w:t>
            </w:r>
            <w:proofErr w:type="spellEnd"/>
          </w:p>
        </w:tc>
        <w:tc>
          <w:tcPr>
            <w:tcW w:w="1587" w:type="dxa"/>
          </w:tcPr>
          <w:p w14:paraId="65B6EDA4" w14:textId="77777777" w:rsidR="007E3FF8" w:rsidRDefault="00000000">
            <w:pPr>
              <w:jc w:val="center"/>
              <w:rPr>
                <w:rFonts w:hint="eastAsia"/>
              </w:rPr>
            </w:pPr>
            <w:r>
              <w:rPr>
                <w:sz w:val="20"/>
              </w:rPr>
              <w:t>统一语义调控</w:t>
            </w:r>
          </w:p>
        </w:tc>
        <w:tc>
          <w:tcPr>
            <w:tcW w:w="2721" w:type="dxa"/>
          </w:tcPr>
          <w:p w14:paraId="35C79434" w14:textId="77777777" w:rsidR="007E3FF8" w:rsidRDefault="00000000">
            <w:pPr>
              <w:jc w:val="center"/>
              <w:rPr>
                <w:rFonts w:hint="eastAsia"/>
              </w:rPr>
            </w:pPr>
            <w:r>
              <w:rPr>
                <w:sz w:val="20"/>
              </w:rPr>
              <w:t>IEC 61970 (CIM) + 调控中心</w:t>
            </w:r>
          </w:p>
        </w:tc>
        <w:tc>
          <w:tcPr>
            <w:tcW w:w="2721" w:type="dxa"/>
          </w:tcPr>
          <w:p w14:paraId="448D70BF" w14:textId="77777777" w:rsidR="007E3FF8" w:rsidRDefault="00000000">
            <w:pPr>
              <w:jc w:val="center"/>
              <w:rPr>
                <w:rFonts w:hint="eastAsia"/>
                <w:lang w:eastAsia="zh-CN"/>
              </w:rPr>
            </w:pPr>
            <w:r>
              <w:rPr>
                <w:sz w:val="20"/>
                <w:lang w:eastAsia="zh-CN"/>
              </w:rPr>
              <w:t>缺统一语义模型与互操作</w:t>
            </w:r>
          </w:p>
        </w:tc>
      </w:tr>
      <w:tr w:rsidR="007E3FF8" w14:paraId="662FA016" w14:textId="77777777">
        <w:trPr>
          <w:jc w:val="center"/>
        </w:trPr>
        <w:tc>
          <w:tcPr>
            <w:tcW w:w="1020" w:type="dxa"/>
            <w:shd w:val="clear" w:color="auto" w:fill="F2F7FB"/>
          </w:tcPr>
          <w:p w14:paraId="712118FF" w14:textId="77777777" w:rsidR="007E3FF8" w:rsidRDefault="00000000">
            <w:pPr>
              <w:jc w:val="center"/>
              <w:rPr>
                <w:rFonts w:hint="eastAsia"/>
              </w:rPr>
            </w:pPr>
            <w:proofErr w:type="spellStart"/>
            <w:r>
              <w:rPr>
                <w:sz w:val="20"/>
              </w:rPr>
              <w:t>水利</w:t>
            </w:r>
            <w:proofErr w:type="spellEnd"/>
          </w:p>
        </w:tc>
        <w:tc>
          <w:tcPr>
            <w:tcW w:w="1587" w:type="dxa"/>
            <w:shd w:val="clear" w:color="auto" w:fill="F2F7FB"/>
          </w:tcPr>
          <w:p w14:paraId="1DC8E4F4" w14:textId="77777777" w:rsidR="007E3FF8" w:rsidRDefault="00000000">
            <w:pPr>
              <w:jc w:val="center"/>
              <w:rPr>
                <w:rFonts w:hint="eastAsia"/>
              </w:rPr>
            </w:pPr>
            <w:r>
              <w:rPr>
                <w:sz w:val="20"/>
              </w:rPr>
              <w:t>项目堆砌</w:t>
            </w:r>
          </w:p>
        </w:tc>
        <w:tc>
          <w:tcPr>
            <w:tcW w:w="2721" w:type="dxa"/>
            <w:shd w:val="clear" w:color="auto" w:fill="F2F7FB"/>
          </w:tcPr>
          <w:p w14:paraId="3F041C76" w14:textId="77777777" w:rsidR="007E3FF8" w:rsidRDefault="00000000">
            <w:pPr>
              <w:jc w:val="center"/>
              <w:rPr>
                <w:rFonts w:hint="eastAsia"/>
              </w:rPr>
            </w:pPr>
            <w:r>
              <w:rPr>
                <w:sz w:val="20"/>
              </w:rPr>
              <w:t>工程实体 + 规程 + 平台</w:t>
            </w:r>
          </w:p>
        </w:tc>
        <w:tc>
          <w:tcPr>
            <w:tcW w:w="2721" w:type="dxa"/>
            <w:shd w:val="clear" w:color="auto" w:fill="F2F7FB"/>
          </w:tcPr>
          <w:p w14:paraId="1BC4C112" w14:textId="77777777" w:rsidR="007E3FF8" w:rsidRDefault="00000000">
            <w:pPr>
              <w:jc w:val="center"/>
              <w:rPr>
                <w:rFonts w:hint="eastAsia"/>
              </w:rPr>
            </w:pPr>
            <w:r>
              <w:rPr>
                <w:sz w:val="20"/>
              </w:rPr>
              <w:t>缺ODD、场景库、SIL/HIL、证据链</w:t>
            </w:r>
          </w:p>
        </w:tc>
      </w:tr>
    </w:tbl>
    <w:p w14:paraId="4C1D4FF2" w14:textId="77777777" w:rsidR="007E3FF8" w:rsidRDefault="00000000">
      <w:pPr>
        <w:spacing w:after="120"/>
        <w:jc w:val="center"/>
        <w:rPr>
          <w:rFonts w:hint="eastAsia"/>
          <w:lang w:eastAsia="zh-CN"/>
        </w:rPr>
      </w:pPr>
      <w:r>
        <w:rPr>
          <w:i/>
          <w:color w:val="555555"/>
          <w:sz w:val="20"/>
          <w:lang w:eastAsia="zh-CN"/>
        </w:rPr>
        <w:t>表3-2  跨行业工程准入范式对标</w:t>
      </w:r>
    </w:p>
    <w:p w14:paraId="1B90DC98" w14:textId="77777777" w:rsidR="007E3FF8" w:rsidRDefault="00000000">
      <w:pPr>
        <w:ind w:firstLine="482"/>
        <w:rPr>
          <w:rFonts w:hint="eastAsia"/>
          <w:lang w:eastAsia="zh-CN"/>
        </w:rPr>
      </w:pPr>
      <w:proofErr w:type="spellStart"/>
      <w:r>
        <w:t>上表清晰地展示了差距所在</w:t>
      </w:r>
      <w:proofErr w:type="spellEnd"/>
      <w:r>
        <w:t>。</w:t>
      </w:r>
      <w:r>
        <w:rPr>
          <w:lang w:eastAsia="zh-CN"/>
        </w:rPr>
        <w:t>汽车行业的自动驾驶系统必须通过ISO 26262功能安全标准认证，从概念设计到退役的全生命周期每个阶段都有明确的安全活动要求和交付物[23]。航空行业的机载软件必须通过DO-178C认证，根据失效后果的严重程度确定设计保证等级，最高等级（A级）要求修改条件判定覆盖率（MC/DC）达到100%[22]。电力行业基于IEC 61970建立了公共信息模型（CIM），不同厂商的调度系统可以在统一的语义框架下实现互操作[25]。而水利行业在上述三个维度——功能安全认证、软件安全分级、统一信息模型——都处于空白状态。</w:t>
      </w:r>
    </w:p>
    <w:p w14:paraId="1F6B795B" w14:textId="77777777" w:rsidR="007E3FF8" w:rsidRDefault="00000000">
      <w:pPr>
        <w:spacing w:before="200" w:after="160"/>
        <w:rPr>
          <w:rFonts w:hint="eastAsia"/>
          <w:lang w:eastAsia="zh-CN"/>
        </w:rPr>
      </w:pPr>
      <w:r>
        <w:rPr>
          <w:b/>
          <w:lang w:eastAsia="zh-CN"/>
        </w:rPr>
        <w:t>3.4.2 荷兰：运河自动化控制的全球标杆</w:t>
      </w:r>
    </w:p>
    <w:p w14:paraId="791B4C21" w14:textId="77777777" w:rsidR="007E3FF8" w:rsidRDefault="00000000">
      <w:pPr>
        <w:ind w:firstLine="482"/>
        <w:rPr>
          <w:rFonts w:hint="eastAsia"/>
          <w:lang w:eastAsia="zh-CN"/>
        </w:rPr>
      </w:pPr>
      <w:r>
        <w:rPr>
          <w:lang w:eastAsia="zh-CN"/>
        </w:rPr>
        <w:t>荷兰是全球水系统自动化控制的先驱。荷兰国家水利局（Rijkswaterstaat）管理着超过6000公里的运河和水道网络，其中</w:t>
      </w:r>
      <w:proofErr w:type="spellStart"/>
      <w:r>
        <w:rPr>
          <w:lang w:eastAsia="zh-CN"/>
        </w:rPr>
        <w:t>Maeslantkering</w:t>
      </w:r>
      <w:proofErr w:type="spellEnd"/>
      <w:r>
        <w:rPr>
          <w:lang w:eastAsia="zh-CN"/>
        </w:rPr>
        <w:t>风暴潮屏障是全球最大的自动控制水利设施[26]。该屏障在北海风暴潮超过+3.0m NAP时自动关闭，整个决策-执行链完全自动化，关闭时间约2小时。</w:t>
      </w:r>
      <w:proofErr w:type="spellStart"/>
      <w:r>
        <w:rPr>
          <w:lang w:eastAsia="zh-CN"/>
        </w:rPr>
        <w:t>Maeslantkering</w:t>
      </w:r>
      <w:proofErr w:type="spellEnd"/>
      <w:r>
        <w:rPr>
          <w:lang w:eastAsia="zh-CN"/>
        </w:rPr>
        <w:t>的控制系统采用“双重冗余+独立校验”架构，故障容忍目标为每次关闭的失败概率低于1/100，系统自1997年投入运行以来已通过了多次实战考验。</w:t>
      </w:r>
    </w:p>
    <w:p w14:paraId="27449769" w14:textId="77777777" w:rsidR="007E3FF8" w:rsidRDefault="00000000">
      <w:pPr>
        <w:ind w:firstLine="482"/>
        <w:rPr>
          <w:rFonts w:hint="eastAsia"/>
          <w:lang w:eastAsia="zh-CN"/>
        </w:rPr>
      </w:pPr>
      <w:r>
        <w:rPr>
          <w:lang w:eastAsia="zh-CN"/>
        </w:rPr>
        <w:t xml:space="preserve">荷兰TU Delft大学在明渠MPC控制领域处于世界领先地位。van </w:t>
      </w:r>
      <w:proofErr w:type="spellStart"/>
      <w:r>
        <w:rPr>
          <w:lang w:eastAsia="zh-CN"/>
        </w:rPr>
        <w:t>Overloop</w:t>
      </w:r>
      <w:proofErr w:type="spellEnd"/>
      <w:r>
        <w:rPr>
          <w:lang w:eastAsia="zh-CN"/>
        </w:rPr>
        <w:t>等人在荷兰灌溉渠道和主排水系统上成功实施了集中式和分布式MPC[27]，实测结果表明：与传统PID控制相比，MPC可将水位波动标准差降低40%至60%，输水效率提升5%至8%。其研究成果已推广至美国加州中央河谷灌区和澳大利亚Murray-Darling流域。荷兰经验</w:t>
      </w:r>
      <w:r>
        <w:rPr>
          <w:lang w:eastAsia="zh-CN"/>
        </w:rPr>
        <w:lastRenderedPageBreak/>
        <w:t>的核心启示在于：水系统的自动化控制是切实可行的，但前提是拥有精准的水力模型、可靠的传感器网络和严格的安全冗余设计。</w:t>
      </w:r>
    </w:p>
    <w:p w14:paraId="0D714FB8" w14:textId="77777777" w:rsidR="007E3FF8" w:rsidRDefault="00000000">
      <w:pPr>
        <w:spacing w:before="200" w:after="160"/>
        <w:rPr>
          <w:rFonts w:hint="eastAsia"/>
          <w:lang w:eastAsia="zh-CN"/>
        </w:rPr>
      </w:pPr>
      <w:r>
        <w:rPr>
          <w:b/>
          <w:lang w:eastAsia="zh-CN"/>
        </w:rPr>
        <w:t>3.4.3 以色列</w:t>
      </w:r>
      <w:proofErr w:type="spellStart"/>
      <w:r>
        <w:rPr>
          <w:b/>
          <w:lang w:eastAsia="zh-CN"/>
        </w:rPr>
        <w:t>Mekorot</w:t>
      </w:r>
      <w:proofErr w:type="spellEnd"/>
      <w:r>
        <w:rPr>
          <w:b/>
          <w:lang w:eastAsia="zh-CN"/>
        </w:rPr>
        <w:t>：全国水网的集中优化调度</w:t>
      </w:r>
    </w:p>
    <w:p w14:paraId="4F0BFEA4" w14:textId="77777777" w:rsidR="007E3FF8" w:rsidRDefault="00000000">
      <w:pPr>
        <w:ind w:firstLine="482"/>
        <w:rPr>
          <w:rFonts w:hint="eastAsia"/>
          <w:lang w:eastAsia="zh-CN"/>
        </w:rPr>
      </w:pPr>
      <w:r>
        <w:rPr>
          <w:lang w:eastAsia="zh-CN"/>
        </w:rPr>
        <w:t>以色列国家水务公司</w:t>
      </w:r>
      <w:proofErr w:type="spellStart"/>
      <w:r>
        <w:rPr>
          <w:lang w:eastAsia="zh-CN"/>
        </w:rPr>
        <w:t>Mekorot</w:t>
      </w:r>
      <w:proofErr w:type="spellEnd"/>
      <w:r>
        <w:rPr>
          <w:lang w:eastAsia="zh-CN"/>
        </w:rPr>
        <w:t>运营着全球最复杂的跨区域供水系统之一，将北部加利利湖和海水淡化厂的水源输送至南部内盖夫沙漠[28]。该系统包含超过10000公里管线、130座泵站和3000个传感器。</w:t>
      </w:r>
      <w:proofErr w:type="spellStart"/>
      <w:r>
        <w:rPr>
          <w:lang w:eastAsia="zh-CN"/>
        </w:rPr>
        <w:t>Mekorot</w:t>
      </w:r>
      <w:proofErr w:type="spellEnd"/>
      <w:r>
        <w:rPr>
          <w:lang w:eastAsia="zh-CN"/>
        </w:rPr>
        <w:t>的“</w:t>
      </w:r>
      <w:proofErr w:type="spellStart"/>
      <w:r>
        <w:rPr>
          <w:lang w:eastAsia="zh-CN"/>
        </w:rPr>
        <w:t>AquaOptima</w:t>
      </w:r>
      <w:proofErr w:type="spellEnd"/>
      <w:r>
        <w:rPr>
          <w:lang w:eastAsia="zh-CN"/>
        </w:rPr>
        <w:t>”调度优化平台实现了全网实时优化，核心功能包括：基于EPANET和自有水力模型的实时仿真、72小时滚动需水预测、泵站群能耗最优调度。据公开报告，该平台上线后系统能耗降低了约15%，漏损率从12%降至8%。</w:t>
      </w:r>
    </w:p>
    <w:p w14:paraId="1A34A748" w14:textId="77777777" w:rsidR="007E3FF8" w:rsidRDefault="00000000">
      <w:pPr>
        <w:ind w:firstLine="482"/>
        <w:rPr>
          <w:rFonts w:hint="eastAsia"/>
          <w:lang w:eastAsia="zh-CN"/>
        </w:rPr>
      </w:pPr>
      <w:proofErr w:type="spellStart"/>
      <w:r>
        <w:rPr>
          <w:lang w:eastAsia="zh-CN"/>
        </w:rPr>
        <w:t>Mekorot</w:t>
      </w:r>
      <w:proofErr w:type="spellEnd"/>
      <w:r>
        <w:rPr>
          <w:lang w:eastAsia="zh-CN"/>
        </w:rPr>
        <w:t>的经验对中国水网的核心启示在于：全网集中优化调度是可行的，但前提是具备三个基础条件——完善的SCADA系统覆盖（传感器密度约每3公里一个）、精准的水力模型校核（每月一次全网校核）、以及强有力的组织保障（调度中心拥有全网控制权）。特别值得关注的是</w:t>
      </w:r>
      <w:proofErr w:type="spellStart"/>
      <w:r>
        <w:rPr>
          <w:lang w:eastAsia="zh-CN"/>
        </w:rPr>
        <w:t>Mekorot</w:t>
      </w:r>
      <w:proofErr w:type="spellEnd"/>
      <w:r>
        <w:rPr>
          <w:lang w:eastAsia="zh-CN"/>
        </w:rPr>
        <w:t>的模型校核频率——每月一次全网模型校核在水利行业是极为罕见的高标准，它确保了模型预测的准确性和控制决策的可靠性。</w:t>
      </w:r>
    </w:p>
    <w:p w14:paraId="7102367E" w14:textId="77777777" w:rsidR="007E3FF8" w:rsidRDefault="00000000">
      <w:pPr>
        <w:spacing w:before="200" w:after="160"/>
        <w:rPr>
          <w:rFonts w:hint="eastAsia"/>
          <w:lang w:eastAsia="zh-CN"/>
        </w:rPr>
      </w:pPr>
      <w:r>
        <w:rPr>
          <w:b/>
          <w:lang w:eastAsia="zh-CN"/>
        </w:rPr>
        <w:t>3.4.4 新加坡PUB：“四大水龙头”的智慧协同</w:t>
      </w:r>
    </w:p>
    <w:p w14:paraId="7CF16898" w14:textId="77777777" w:rsidR="007E3FF8" w:rsidRDefault="00000000">
      <w:pPr>
        <w:ind w:firstLine="482"/>
        <w:rPr>
          <w:rFonts w:hint="eastAsia"/>
          <w:lang w:eastAsia="zh-CN"/>
        </w:rPr>
      </w:pPr>
      <w:r>
        <w:rPr>
          <w:lang w:eastAsia="zh-CN"/>
        </w:rPr>
        <w:t>新加坡公用事业局（PUB）构建了覆盖“进口水—集水—NEWater—海水淡化”四大水源的智慧水网[29]。PUB的数字孪生平台整合了GIS、水力模型、SCADA和AI分析模块，实现了从水源到用户的全链路可视化与优化。其核心成效包括：无收益水（NRW）率降至全球领先的5%以下；管网泄漏检测响应时间缩短至4小时以内；能耗强度（kWh/m³）持续降低。</w:t>
      </w:r>
    </w:p>
    <w:p w14:paraId="544693EA" w14:textId="77777777" w:rsidR="007E3FF8" w:rsidRDefault="00000000">
      <w:pPr>
        <w:ind w:firstLine="482"/>
        <w:rPr>
          <w:rFonts w:hint="eastAsia"/>
          <w:lang w:eastAsia="zh-CN"/>
        </w:rPr>
      </w:pPr>
      <w:r>
        <w:rPr>
          <w:lang w:eastAsia="zh-CN"/>
        </w:rPr>
        <w:t>PUB在AI应用方面的“Smart Water Grid”项目值得关注：利用机器学习进行管网爆管预测（准确率达85%以上）、通过声学传感器阵列进行实时泄漏定位（定位精度±2m）、基于强化学习优化水处理工艺参数。但PUB的经验也表明，AI应用的成功高度依赖于底层数据质量和模型校核体系的完善程度——没有可靠的物理模型作为基座，纯数据驱动的AI应用在安全关键场景中是不可信的[30]。</w:t>
      </w:r>
    </w:p>
    <w:p w14:paraId="32A56C39" w14:textId="77777777" w:rsidR="007E3FF8" w:rsidRDefault="00000000">
      <w:pPr>
        <w:spacing w:before="200" w:after="160"/>
        <w:rPr>
          <w:rFonts w:hint="eastAsia"/>
          <w:lang w:eastAsia="zh-CN"/>
        </w:rPr>
      </w:pPr>
      <w:r>
        <w:rPr>
          <w:b/>
          <w:lang w:eastAsia="zh-CN"/>
        </w:rPr>
        <w:t>3.4.5 英国Thames Water：老化管网的反面教训</w:t>
      </w:r>
    </w:p>
    <w:p w14:paraId="77E123BF" w14:textId="77777777" w:rsidR="00E73DEA" w:rsidRDefault="00E73DEA" w:rsidP="00E73DEA">
      <w:pPr>
        <w:ind w:firstLine="482"/>
        <w:rPr>
          <w:rFonts w:hint="eastAsia"/>
          <w:lang w:eastAsia="zh-CN"/>
        </w:rPr>
      </w:pPr>
      <w:r>
        <w:rPr>
          <w:lang w:eastAsia="zh-CN"/>
        </w:rPr>
        <w:t>英国泰晤士水务（Thames Water）的案例提供了重要的反面教训。作为英国最大的水务公司，Thames Water面临着严重的基础设施老化问题：部分管网运营超过150年，漏损率约为24%（2023年数据），远高于行业先进水平[31]。Thames Water的困境揭示了一个深层教训：如果长期忽视运行维护投入和智能化升级，基础设施将不可避免地走向退化。这与中国水利行业“重建轻管”的结构性问题高度相似。</w:t>
      </w:r>
    </w:p>
    <w:p w14:paraId="13254954" w14:textId="77777777" w:rsidR="00E73DEA" w:rsidRDefault="00E73DEA" w:rsidP="00E73DEA">
      <w:pPr>
        <w:ind w:firstLine="482"/>
        <w:rPr>
          <w:rFonts w:hint="eastAsia"/>
          <w:lang w:eastAsia="zh-CN"/>
        </w:rPr>
      </w:pPr>
      <w:r>
        <w:lastRenderedPageBreak/>
        <w:t xml:space="preserve">Thames </w:t>
      </w:r>
      <w:proofErr w:type="spellStart"/>
      <w:r>
        <w:t>Water当前正在推行“Smart</w:t>
      </w:r>
      <w:proofErr w:type="spellEnd"/>
      <w:r>
        <w:t xml:space="preserve"> Metering Programme”，计划在2030年前安装370万只智能水表，将漏损率降至16%以下。这一投资规模（约16亿英镑）凸显了事后补课的高昂代价——远不如在建设初期就将智能化纳入系统设计。</w:t>
      </w:r>
      <w:r>
        <w:rPr>
          <w:lang w:eastAsia="zh-CN"/>
        </w:rPr>
        <w:t>Thames Water的教训对中国水利行业的警示是：当前正处于大规模水利工程建设的窗口期，如果不在建设阶段就将“运行控制”能力纳入工程设计，未来的补课成本将远超当前的增量投入。</w:t>
      </w:r>
    </w:p>
    <w:p w14:paraId="187AE792" w14:textId="77777777" w:rsidR="00E73DEA" w:rsidRDefault="00E73DEA" w:rsidP="00E73DEA">
      <w:pPr>
        <w:spacing w:before="200" w:after="160"/>
        <w:rPr>
          <w:rFonts w:hint="eastAsia"/>
        </w:rPr>
      </w:pPr>
      <w:r>
        <w:rPr>
          <w:b/>
        </w:rPr>
        <w:t xml:space="preserve">3.4.6 </w:t>
      </w:r>
      <w:proofErr w:type="spellStart"/>
      <w:r>
        <w:rPr>
          <w:b/>
        </w:rPr>
        <w:t>澳大利亚Murray-Darling流域：多目标协调的先行者</w:t>
      </w:r>
      <w:proofErr w:type="spellEnd"/>
    </w:p>
    <w:p w14:paraId="3E128D87" w14:textId="77777777" w:rsidR="00E73DEA" w:rsidRDefault="00E73DEA" w:rsidP="00E73DEA">
      <w:pPr>
        <w:ind w:firstLine="482"/>
        <w:rPr>
          <w:rFonts w:hint="eastAsia"/>
        </w:rPr>
      </w:pPr>
      <w:r>
        <w:t xml:space="preserve">Murray-Darling流域是全球多目标水资源管理的典型案例[32]。该流域覆盖澳大利亚东南部100万平方公里，涉及4个州和1个领地的水权分配。Murray-Darling Basin </w:t>
      </w:r>
      <w:proofErr w:type="spellStart"/>
      <w:r>
        <w:t>Authority（MDBA）实施的“Basin</w:t>
      </w:r>
      <w:proofErr w:type="spellEnd"/>
      <w:r>
        <w:t xml:space="preserve"> Plan 2012”首次将环境用水权纳入法定框架，要求从灌溉用水中回收2750GL/</w:t>
      </w:r>
      <w:proofErr w:type="spellStart"/>
      <w:r>
        <w:t>年用于生态恢复</w:t>
      </w:r>
      <w:proofErr w:type="spellEnd"/>
      <w:r>
        <w:t>。</w:t>
      </w:r>
    </w:p>
    <w:p w14:paraId="68CC4470" w14:textId="77777777" w:rsidR="00E73DEA" w:rsidRDefault="00E73DEA" w:rsidP="00E73DEA">
      <w:pPr>
        <w:ind w:firstLine="482"/>
        <w:rPr>
          <w:rFonts w:hint="eastAsia"/>
          <w:lang w:eastAsia="zh-CN"/>
        </w:rPr>
      </w:pPr>
      <w:r>
        <w:rPr>
          <w:lang w:eastAsia="zh-CN"/>
        </w:rPr>
        <w:t>MDBA的运行优化系统面临的核心挑战与中国国家水网高度相似：极长的水力传输时滞（Murray River从源头到河口的传输时间约30天）、多利益主体间的水权博弈、气候变化导致的极端干旱与洪水交替。MDBA采用的“渐进式自动化”策略值得借鉴：从人工调度辅以模型建议起步，逐步扩大自动控制范围，每次扩展都经过严格的利益相关方协商和安全评审。这与本报告提出的“最小可行ODD”渐进扩展策略高度一致。</w:t>
      </w:r>
    </w:p>
    <w:p w14:paraId="32B36F19" w14:textId="1486F87C" w:rsidR="00E73DEA" w:rsidRDefault="00E73DEA" w:rsidP="00E73DEA">
      <w:pPr>
        <w:spacing w:before="200" w:after="160"/>
        <w:rPr>
          <w:rFonts w:hint="eastAsia"/>
        </w:rPr>
      </w:pPr>
      <w:r>
        <w:rPr>
          <w:b/>
        </w:rPr>
        <w:t>3.4.</w:t>
      </w:r>
      <w:r>
        <w:rPr>
          <w:rFonts w:hint="eastAsia"/>
          <w:b/>
          <w:lang w:eastAsia="zh-CN"/>
        </w:rPr>
        <w:t>7</w:t>
      </w:r>
      <w:r>
        <w:rPr>
          <w:b/>
        </w:rPr>
        <w:t xml:space="preserve"> </w:t>
      </w:r>
      <w:r>
        <w:rPr>
          <w:rFonts w:hint="eastAsia"/>
          <w:b/>
          <w:lang w:eastAsia="zh-CN"/>
        </w:rPr>
        <w:t>国际案例核心启示</w:t>
      </w:r>
    </w:p>
    <w:p w14:paraId="0F3595FC" w14:textId="7EE98724" w:rsidR="007E3FF8" w:rsidRDefault="00000000">
      <w:pPr>
        <w:ind w:firstLine="482"/>
        <w:rPr>
          <w:rFonts w:hint="eastAsia"/>
          <w:lang w:eastAsia="zh-CN"/>
        </w:rPr>
      </w:pPr>
      <w:r>
        <w:rPr>
          <w:lang w:eastAsia="zh-CN"/>
        </w:rPr>
        <w:t>综合以上五个国际案例，可以提炼出三条核心启示。第一，“技术可行性已被证明”——荷兰的MPC闭环控制、以色列的全网优化调度、新加坡的AI应用等案例证明，水系统的自动化和智能化控制在技术上是完全可行的。中国水利行业面临的不是“能不能做”的问题，而是“如何系统性地做”的问题。</w:t>
      </w:r>
    </w:p>
    <w:p w14:paraId="15C79EC5" w14:textId="77777777" w:rsidR="007E3FF8" w:rsidRDefault="00000000">
      <w:pPr>
        <w:ind w:firstLine="482"/>
        <w:rPr>
          <w:rFonts w:hint="eastAsia"/>
          <w:lang w:eastAsia="zh-CN"/>
        </w:rPr>
      </w:pPr>
      <w:r>
        <w:rPr>
          <w:lang w:eastAsia="zh-CN"/>
        </w:rPr>
        <w:t>第二，“成功要素是模型+数据+制度”——所有成功案例都具备三个共同要素：精准的水力模型（支撑预测和控制）、完善的传感器网络（提供实时反馈）、强有力的组织保障（确保执行力）。缺失任何一个要素，智能化都难以成功。以色列</w:t>
      </w:r>
      <w:proofErr w:type="spellStart"/>
      <w:r>
        <w:rPr>
          <w:lang w:eastAsia="zh-CN"/>
        </w:rPr>
        <w:t>Mekorot</w:t>
      </w:r>
      <w:proofErr w:type="spellEnd"/>
      <w:r>
        <w:rPr>
          <w:lang w:eastAsia="zh-CN"/>
        </w:rPr>
        <w:t>的每月模型校核制度和新加坡PUB的“从水源到龙头”全链路管控，都体现了制度保障的关键作用。</w:t>
      </w:r>
    </w:p>
    <w:p w14:paraId="2622A437" w14:textId="77777777" w:rsidR="007E3FF8" w:rsidRDefault="00000000">
      <w:pPr>
        <w:ind w:firstLine="482"/>
        <w:rPr>
          <w:rFonts w:hint="eastAsia"/>
          <w:lang w:eastAsia="zh-CN"/>
        </w:rPr>
      </w:pPr>
      <w:r>
        <w:rPr>
          <w:lang w:eastAsia="zh-CN"/>
        </w:rPr>
        <w:t>第三，“反面教训同样宝贵”——英国Thames Water的案例深刻说明，忽视运行维护和智能化升级的代价是资产退化和事后补课的高昂成本。中国当前正处于大规模水利工程建设的窗口期，必须吸取这一教训，在建设阶段就将“运行控制”能力纳入工程设计，避免重蹈“先建后补”的覆辙。</w:t>
      </w:r>
    </w:p>
    <w:p w14:paraId="1A0291BF" w14:textId="77777777" w:rsidR="007E3FF8" w:rsidRDefault="00000000">
      <w:pPr>
        <w:spacing w:before="200" w:after="160"/>
        <w:rPr>
          <w:rFonts w:hint="eastAsia"/>
          <w:lang w:eastAsia="zh-CN"/>
        </w:rPr>
      </w:pPr>
      <w:r>
        <w:rPr>
          <w:b/>
          <w:lang w:eastAsia="zh-CN"/>
        </w:rPr>
        <w:t>3.4.8 从国际经验到中国实践的转化路径</w:t>
      </w:r>
    </w:p>
    <w:p w14:paraId="6F9E15F7" w14:textId="77777777" w:rsidR="007E3FF8" w:rsidRDefault="00000000">
      <w:pPr>
        <w:ind w:firstLine="482"/>
        <w:rPr>
          <w:rFonts w:hint="eastAsia"/>
          <w:lang w:eastAsia="zh-CN"/>
        </w:rPr>
      </w:pPr>
      <w:r>
        <w:rPr>
          <w:lang w:eastAsia="zh-CN"/>
        </w:rPr>
        <w:lastRenderedPageBreak/>
        <w:t>将国际先进经验转化为中国水利行业的实际应用，需要考虑三个层面的适应性。在规模层面，中国国家水网的规模远超任何一个国际案例——南水北调中线全长1432公里，涉及64座节制闸、97座分水口门和54座退水闸，其控制复杂度是荷兰运河系统的数十倍。这要求在算法层面发展大规模分布式控制技术，在工程层面建立多层级的调度协同体系。</w:t>
      </w:r>
    </w:p>
    <w:p w14:paraId="1EBD8CCF" w14:textId="77777777" w:rsidR="007E3FF8" w:rsidRDefault="00000000">
      <w:pPr>
        <w:ind w:firstLine="482"/>
        <w:rPr>
          <w:rFonts w:hint="eastAsia"/>
          <w:lang w:eastAsia="zh-CN"/>
        </w:rPr>
      </w:pPr>
      <w:r>
        <w:rPr>
          <w:lang w:eastAsia="zh-CN"/>
        </w:rPr>
        <w:t>在体制层面，中国水利工程的管理体制与国际案例存在显著差异。以色列</w:t>
      </w:r>
      <w:proofErr w:type="spellStart"/>
      <w:r>
        <w:rPr>
          <w:lang w:eastAsia="zh-CN"/>
        </w:rPr>
        <w:t>Mekorot</w:t>
      </w:r>
      <w:proofErr w:type="spellEnd"/>
      <w:r>
        <w:rPr>
          <w:lang w:eastAsia="zh-CN"/>
        </w:rPr>
        <w:t>作为国有独资公司拥有全国水网的统一控制权，而中国水利工程涉及中央和地方多级管理、多个职能部门的协调。因此，技术方案的设计必须充分考虑体制特征，在“统一调度、分级管理”的框架下寻找最优的技术-管理匹配方案。在技术生态层面，中国在AI、物联网、云计算等使能技术领域已具备全球领先的产业基础，这为水利智能化提供了独特的技术优势——关键在于如何将这些通用技术与水利专业知识深度融合，形成具有自主知识产权的水利控制技术体系。</w:t>
      </w:r>
    </w:p>
    <w:p w14:paraId="60F941F2" w14:textId="77777777" w:rsidR="007E3FF8" w:rsidRDefault="00000000">
      <w:pPr>
        <w:spacing w:before="280" w:after="200"/>
        <w:rPr>
          <w:rFonts w:hint="eastAsia"/>
          <w:lang w:eastAsia="zh-CN"/>
        </w:rPr>
      </w:pPr>
      <w:r>
        <w:rPr>
          <w:b/>
          <w:sz w:val="28"/>
          <w:lang w:eastAsia="zh-CN"/>
        </w:rPr>
        <w:t>3.5 涉水行业内部对比分析</w:t>
      </w:r>
    </w:p>
    <w:p w14:paraId="5563BE20" w14:textId="77777777" w:rsidR="007E3FF8" w:rsidRDefault="00000000">
      <w:pPr>
        <w:spacing w:before="200" w:after="160"/>
        <w:rPr>
          <w:rFonts w:hint="eastAsia"/>
          <w:lang w:eastAsia="zh-CN"/>
        </w:rPr>
      </w:pPr>
      <w:r>
        <w:rPr>
          <w:b/>
          <w:lang w:eastAsia="zh-CN"/>
        </w:rPr>
        <w:t>3.5.1 水电行业：闭环控制基因的天然优势</w:t>
      </w:r>
    </w:p>
    <w:p w14:paraId="6E81A9F7" w14:textId="77777777" w:rsidR="007E3FF8" w:rsidRDefault="00000000">
      <w:pPr>
        <w:ind w:firstLine="482"/>
        <w:rPr>
          <w:rFonts w:hint="eastAsia"/>
          <w:lang w:eastAsia="zh-CN"/>
        </w:rPr>
      </w:pPr>
      <w:r>
        <w:rPr>
          <w:lang w:eastAsia="zh-CN"/>
        </w:rPr>
        <w:t>水电行业在涉水领域中智能化水平最高。其核心优势在于：资产高度集中（单座水电站），边界清晰（库区-坝体-厂房），电网调度体系成熟，天然具备闭环控制基因[33]。水电站的自动发电控制（AGC）系统已经实现了从电网调度指令到机组功率调整的全自动闭环，响应时间达到秒级。三峡水电站的梯级调度系统集成了来水预报、库容优化、机组出力分配等功能，实现了发电效益的持续优化。</w:t>
      </w:r>
    </w:p>
    <w:p w14:paraId="08252090" w14:textId="77777777" w:rsidR="008774BA" w:rsidRDefault="00000000">
      <w:pPr>
        <w:ind w:firstLine="482"/>
        <w:rPr>
          <w:lang w:eastAsia="zh-CN"/>
        </w:rPr>
      </w:pPr>
      <w:r>
        <w:rPr>
          <w:lang w:eastAsia="zh-CN"/>
        </w:rPr>
        <w:t>水电行业成功的关键因素可以总结为三点：</w:t>
      </w:r>
    </w:p>
    <w:p w14:paraId="38A77C4F" w14:textId="77777777" w:rsidR="008774BA" w:rsidRDefault="00000000">
      <w:pPr>
        <w:ind w:firstLine="482"/>
        <w:rPr>
          <w:lang w:eastAsia="zh-CN"/>
        </w:rPr>
      </w:pPr>
      <w:r>
        <w:rPr>
          <w:lang w:eastAsia="zh-CN"/>
        </w:rPr>
        <w:t>第一，物理边界清晰——水库作为控制对象，其输入（入库流量）、输出（出库流量和发电量）、状态（库水位）都可以准确测量。</w:t>
      </w:r>
    </w:p>
    <w:p w14:paraId="425EFF20" w14:textId="77777777" w:rsidR="008774BA" w:rsidRDefault="00000000">
      <w:pPr>
        <w:ind w:firstLine="482"/>
        <w:rPr>
          <w:lang w:eastAsia="zh-CN"/>
        </w:rPr>
      </w:pPr>
      <w:r>
        <w:rPr>
          <w:lang w:eastAsia="zh-CN"/>
        </w:rPr>
        <w:t>第二，商业模式清晰——发电收益直接与控制效果挂钩，优化控制每提升1%的发电效率都意味着可观的经济收益。</w:t>
      </w:r>
    </w:p>
    <w:p w14:paraId="7F62487C" w14:textId="3401C13D" w:rsidR="007E3FF8" w:rsidRDefault="00000000">
      <w:pPr>
        <w:ind w:firstLine="482"/>
        <w:rPr>
          <w:rFonts w:hint="eastAsia"/>
          <w:lang w:eastAsia="zh-CN"/>
        </w:rPr>
      </w:pPr>
      <w:r>
        <w:rPr>
          <w:lang w:eastAsia="zh-CN"/>
        </w:rPr>
        <w:t>第三，调度体系成熟——电力系统的调度自动化经历了50年以上的持续迭代，积累了丰富的工程经验和标准规范。</w:t>
      </w:r>
    </w:p>
    <w:p w14:paraId="7883C2A4" w14:textId="77777777" w:rsidR="007E3FF8" w:rsidRDefault="00000000">
      <w:pPr>
        <w:spacing w:before="200" w:after="160"/>
        <w:rPr>
          <w:rFonts w:hint="eastAsia"/>
          <w:lang w:eastAsia="zh-CN"/>
        </w:rPr>
      </w:pPr>
      <w:r>
        <w:rPr>
          <w:b/>
          <w:lang w:eastAsia="zh-CN"/>
        </w:rPr>
        <w:t>3.5.2 城市水务：商业驱动的智能化先行者</w:t>
      </w:r>
    </w:p>
    <w:p w14:paraId="71CF08AF" w14:textId="77777777" w:rsidR="007E3FF8" w:rsidRDefault="00000000">
      <w:pPr>
        <w:ind w:firstLine="482"/>
        <w:rPr>
          <w:rFonts w:hint="eastAsia"/>
          <w:lang w:eastAsia="zh-CN"/>
        </w:rPr>
      </w:pPr>
      <w:r>
        <w:rPr>
          <w:lang w:eastAsia="zh-CN"/>
        </w:rPr>
        <w:t>水务行业的智能化水平处于中等偏上，商业化程度高，运营企业有直接的经济动力去降低运行成本。以深圳水务集团为例，其智慧水务平台覆盖了从原水输送、水厂处理到管网配送的全流程，实现了水厂自动化运行率超过95%、管网漏损率降至8%以下的先进水平[34]。</w:t>
      </w:r>
    </w:p>
    <w:p w14:paraId="2E8D0C33" w14:textId="77777777" w:rsidR="007E3FF8" w:rsidRDefault="00000000">
      <w:pPr>
        <w:ind w:firstLine="482"/>
        <w:rPr>
          <w:rFonts w:hint="eastAsia"/>
          <w:lang w:eastAsia="zh-CN"/>
        </w:rPr>
      </w:pPr>
      <w:r>
        <w:rPr>
          <w:lang w:eastAsia="zh-CN"/>
        </w:rPr>
        <w:lastRenderedPageBreak/>
        <w:t>但水务行业也面临全球共性挑战：管网资产老化严重，更新投资不足。全球城市供水管网的平均年龄已超过50年，每年的管网更新率仅约0.5%至1%，远低于维持资产健康所需的2%至3%[35]。在智能化方面，水务行业的主要进展集中在水厂自动化和管网监测领域，而在多水源协调调度、全网实时优化等系统级智能化方面仍处于探索阶段。</w:t>
      </w:r>
    </w:p>
    <w:p w14:paraId="7419C648" w14:textId="77777777" w:rsidR="007E3FF8" w:rsidRDefault="00000000">
      <w:pPr>
        <w:spacing w:before="200" w:after="160"/>
        <w:rPr>
          <w:rFonts w:hint="eastAsia"/>
          <w:lang w:eastAsia="zh-CN"/>
        </w:rPr>
      </w:pPr>
      <w:r>
        <w:rPr>
          <w:b/>
          <w:lang w:eastAsia="zh-CN"/>
        </w:rPr>
        <w:t>3.5.3 水利行业：最严峻的挑战与最大的外溢价值</w:t>
      </w:r>
    </w:p>
    <w:p w14:paraId="1BD8BC7B" w14:textId="77777777" w:rsidR="007E3FF8" w:rsidRDefault="00000000">
      <w:pPr>
        <w:ind w:firstLine="482"/>
        <w:rPr>
          <w:rFonts w:hint="eastAsia"/>
          <w:lang w:eastAsia="zh-CN"/>
        </w:rPr>
      </w:pPr>
      <w:r>
        <w:rPr>
          <w:lang w:eastAsia="zh-CN"/>
        </w:rPr>
        <w:t>水利行业在涉水领域中面临的挑战最为严峻。从复杂性角度分析，水利系统具有“四最”特征：</w:t>
      </w:r>
      <w:r w:rsidRPr="00F45D60">
        <w:rPr>
          <w:b/>
          <w:bCs/>
          <w:lang w:eastAsia="zh-CN"/>
        </w:rPr>
        <w:t>对象最大</w:t>
      </w:r>
      <w:r>
        <w:rPr>
          <w:lang w:eastAsia="zh-CN"/>
        </w:rPr>
        <w:t>（国家水网、跨流域调水）、</w:t>
      </w:r>
      <w:r w:rsidRPr="00F45D60">
        <w:rPr>
          <w:b/>
          <w:bCs/>
          <w:lang w:eastAsia="zh-CN"/>
        </w:rPr>
        <w:t>耦合最多</w:t>
      </w:r>
      <w:r>
        <w:rPr>
          <w:lang w:eastAsia="zh-CN"/>
        </w:rPr>
        <w:t>（水量-水质-生态-防洪多目标）、</w:t>
      </w:r>
      <w:r w:rsidRPr="00F45D60">
        <w:rPr>
          <w:b/>
          <w:bCs/>
          <w:lang w:eastAsia="zh-CN"/>
        </w:rPr>
        <w:t>权责最碎</w:t>
      </w:r>
      <w:r>
        <w:rPr>
          <w:lang w:eastAsia="zh-CN"/>
        </w:rPr>
        <w:t>（多部门、多层级、多利益主体）、</w:t>
      </w:r>
      <w:r w:rsidRPr="00F45D60">
        <w:rPr>
          <w:b/>
          <w:bCs/>
          <w:lang w:eastAsia="zh-CN"/>
        </w:rPr>
        <w:t>约束最复杂</w:t>
      </w:r>
      <w:r>
        <w:rPr>
          <w:lang w:eastAsia="zh-CN"/>
        </w:rPr>
        <w:t>（安全红线、民生保障、生态流量、经济效益多重约束）[36]。</w:t>
      </w:r>
    </w:p>
    <w:p w14:paraId="64C38C21" w14:textId="77777777" w:rsidR="007E3FF8" w:rsidRDefault="00000000">
      <w:pPr>
        <w:ind w:firstLine="482"/>
        <w:rPr>
          <w:rFonts w:hint="eastAsia"/>
          <w:lang w:eastAsia="zh-CN"/>
        </w:rPr>
      </w:pPr>
      <w:r>
        <w:rPr>
          <w:lang w:eastAsia="zh-CN"/>
        </w:rPr>
        <w:t>但反过来看，一旦攻克“水网自主运行”的关键技术，其外溢价值也最大。水利系统的技术方案天然可以向水电、水务、水环境等关联领域扩展。例如，为国家水网开发的分布式MPC技术可以直接应用于城市供水管网优化；为跨流域调水设计的多目标协调框架可以扩展至区域水资源综合调配。因此，水利行业的智能化升级不仅是行业自身的需求，更是带动整个涉水领域技术进步的“牛鼻子”。</w:t>
      </w:r>
    </w:p>
    <w:p w14:paraId="3CE3B8D6" w14:textId="77777777" w:rsidR="007E3FF8" w:rsidRDefault="00000000">
      <w:pPr>
        <w:ind w:firstLine="482"/>
        <w:rPr>
          <w:rFonts w:hint="eastAsia"/>
          <w:lang w:eastAsia="zh-CN"/>
        </w:rPr>
      </w:pPr>
      <w:r>
        <w:rPr>
          <w:lang w:eastAsia="zh-CN"/>
        </w:rPr>
        <w:t>从投资回报率角度分析，水利智能化的投入产出比具有独特优势。据测算，南水北调中线工程若实现L3级自主运行，仅年均节水收益（按1%至3%的节水率、95亿m³年调水量、3元/m³的水资源综合价值计算）即可达2.85亿至8.55亿元，远超自主运行系统的研发和运维成本。更重要的是，自主运行带来的安全效益——避免一次重大水安全事故的价值——难以用货币衡量。水利系统的“公益性”特征决定了其价值评估不能仅依赖传统的商业回报率指标，还需要纳入社会效益和安全效益的综合考量。</w:t>
      </w:r>
    </w:p>
    <w:p w14:paraId="0736C456" w14:textId="77777777" w:rsidR="007E3FF8" w:rsidRDefault="00000000">
      <w:pPr>
        <w:ind w:firstLine="482"/>
        <w:rPr>
          <w:rFonts w:hint="eastAsia"/>
          <w:lang w:eastAsia="zh-CN"/>
        </w:rPr>
      </w:pPr>
      <w:r>
        <w:rPr>
          <w:lang w:eastAsia="zh-CN"/>
        </w:rPr>
        <w:t>从技术复杂性角度分析，水利系统恰恰因为其高度复杂性，为控制理论和系统工程的发展提供了独特的“试验田”。水网系统的时空尺度跨度（从秒级的水锤到月级的来水预报）、多物理场耦合（水力-水质-热力-冰动力）、多目标冲突（安全-效率-生态-经济）等特征，使其成为分布式控制、鲁棒优化、多智能体协同等前沿理论的理想应用场景。在这一场景中取得突破的技术方案，不仅可以解决水利行业自身的问题，还可以为其他大型基础设施系统（如综合能源系统、智慧交通系统）提供可迁移的方法论。</w:t>
      </w:r>
    </w:p>
    <w:tbl>
      <w:tblPr>
        <w:tblW w:w="0" w:type="auto"/>
        <w:jc w:val="center"/>
        <w:tblLook w:val="04A0" w:firstRow="1" w:lastRow="0" w:firstColumn="1" w:lastColumn="0" w:noHBand="0" w:noVBand="1"/>
      </w:tblPr>
      <w:tblGrid>
        <w:gridCol w:w="1247"/>
        <w:gridCol w:w="2041"/>
        <w:gridCol w:w="2041"/>
        <w:gridCol w:w="2721"/>
      </w:tblGrid>
      <w:tr w:rsidR="007E3FF8" w14:paraId="5AF50F02" w14:textId="77777777">
        <w:trPr>
          <w:jc w:val="center"/>
        </w:trPr>
        <w:tc>
          <w:tcPr>
            <w:tcW w:w="1247" w:type="dxa"/>
            <w:shd w:val="clear" w:color="auto" w:fill="1F4E79"/>
          </w:tcPr>
          <w:p w14:paraId="5B16BB82" w14:textId="77777777" w:rsidR="007E3FF8" w:rsidRDefault="00000000">
            <w:pPr>
              <w:jc w:val="center"/>
              <w:rPr>
                <w:rFonts w:hint="eastAsia"/>
              </w:rPr>
            </w:pPr>
            <w:proofErr w:type="spellStart"/>
            <w:r>
              <w:rPr>
                <w:b/>
                <w:color w:val="FFFFFF"/>
                <w:sz w:val="21"/>
              </w:rPr>
              <w:t>维度</w:t>
            </w:r>
            <w:proofErr w:type="spellEnd"/>
          </w:p>
        </w:tc>
        <w:tc>
          <w:tcPr>
            <w:tcW w:w="2041" w:type="dxa"/>
            <w:shd w:val="clear" w:color="auto" w:fill="1F4E79"/>
          </w:tcPr>
          <w:p w14:paraId="122440C6" w14:textId="77777777" w:rsidR="007E3FF8" w:rsidRDefault="00000000">
            <w:pPr>
              <w:jc w:val="center"/>
              <w:rPr>
                <w:rFonts w:hint="eastAsia"/>
              </w:rPr>
            </w:pPr>
            <w:r>
              <w:rPr>
                <w:b/>
                <w:color w:val="FFFFFF"/>
                <w:sz w:val="21"/>
              </w:rPr>
              <w:t>水电</w:t>
            </w:r>
          </w:p>
        </w:tc>
        <w:tc>
          <w:tcPr>
            <w:tcW w:w="2041" w:type="dxa"/>
            <w:shd w:val="clear" w:color="auto" w:fill="1F4E79"/>
          </w:tcPr>
          <w:p w14:paraId="13D5978A" w14:textId="77777777" w:rsidR="007E3FF8" w:rsidRDefault="00000000">
            <w:pPr>
              <w:jc w:val="center"/>
              <w:rPr>
                <w:rFonts w:hint="eastAsia"/>
              </w:rPr>
            </w:pPr>
            <w:r>
              <w:rPr>
                <w:b/>
                <w:color w:val="FFFFFF"/>
                <w:sz w:val="21"/>
              </w:rPr>
              <w:t>城市水务</w:t>
            </w:r>
          </w:p>
        </w:tc>
        <w:tc>
          <w:tcPr>
            <w:tcW w:w="2721" w:type="dxa"/>
            <w:shd w:val="clear" w:color="auto" w:fill="1F4E79"/>
          </w:tcPr>
          <w:p w14:paraId="04235809" w14:textId="77777777" w:rsidR="007E3FF8" w:rsidRDefault="00000000">
            <w:pPr>
              <w:jc w:val="center"/>
              <w:rPr>
                <w:rFonts w:hint="eastAsia"/>
              </w:rPr>
            </w:pPr>
            <w:r>
              <w:rPr>
                <w:b/>
                <w:color w:val="FFFFFF"/>
                <w:sz w:val="21"/>
              </w:rPr>
              <w:t>水利</w:t>
            </w:r>
          </w:p>
        </w:tc>
      </w:tr>
      <w:tr w:rsidR="007E3FF8" w14:paraId="793C4BE1" w14:textId="77777777">
        <w:trPr>
          <w:jc w:val="center"/>
        </w:trPr>
        <w:tc>
          <w:tcPr>
            <w:tcW w:w="1247" w:type="dxa"/>
          </w:tcPr>
          <w:p w14:paraId="064DB358" w14:textId="77777777" w:rsidR="007E3FF8" w:rsidRDefault="00000000">
            <w:pPr>
              <w:jc w:val="center"/>
              <w:rPr>
                <w:rFonts w:hint="eastAsia"/>
              </w:rPr>
            </w:pPr>
            <w:r>
              <w:rPr>
                <w:sz w:val="20"/>
              </w:rPr>
              <w:t>系统边界</w:t>
            </w:r>
          </w:p>
        </w:tc>
        <w:tc>
          <w:tcPr>
            <w:tcW w:w="2041" w:type="dxa"/>
          </w:tcPr>
          <w:p w14:paraId="6DE5F4DB" w14:textId="77777777" w:rsidR="007E3FF8" w:rsidRDefault="00000000">
            <w:pPr>
              <w:jc w:val="center"/>
              <w:rPr>
                <w:rFonts w:hint="eastAsia"/>
              </w:rPr>
            </w:pPr>
            <w:r>
              <w:rPr>
                <w:sz w:val="20"/>
              </w:rPr>
              <w:t>清晰（单座电站）</w:t>
            </w:r>
          </w:p>
        </w:tc>
        <w:tc>
          <w:tcPr>
            <w:tcW w:w="2041" w:type="dxa"/>
          </w:tcPr>
          <w:p w14:paraId="29EF771C" w14:textId="77777777" w:rsidR="007E3FF8" w:rsidRDefault="00000000">
            <w:pPr>
              <w:jc w:val="center"/>
              <w:rPr>
                <w:rFonts w:hint="eastAsia"/>
              </w:rPr>
            </w:pPr>
            <w:r>
              <w:rPr>
                <w:sz w:val="20"/>
              </w:rPr>
              <w:t>较清晰（供水区域）</w:t>
            </w:r>
          </w:p>
        </w:tc>
        <w:tc>
          <w:tcPr>
            <w:tcW w:w="2721" w:type="dxa"/>
          </w:tcPr>
          <w:p w14:paraId="62B94942" w14:textId="77777777" w:rsidR="007E3FF8" w:rsidRDefault="00000000">
            <w:pPr>
              <w:jc w:val="center"/>
              <w:rPr>
                <w:rFonts w:hint="eastAsia"/>
              </w:rPr>
            </w:pPr>
            <w:r>
              <w:rPr>
                <w:sz w:val="20"/>
              </w:rPr>
              <w:t>模糊（跨流域）</w:t>
            </w:r>
          </w:p>
        </w:tc>
      </w:tr>
      <w:tr w:rsidR="007E3FF8" w14:paraId="11E73C61" w14:textId="77777777">
        <w:trPr>
          <w:jc w:val="center"/>
        </w:trPr>
        <w:tc>
          <w:tcPr>
            <w:tcW w:w="1247" w:type="dxa"/>
            <w:shd w:val="clear" w:color="auto" w:fill="F2F7FB"/>
          </w:tcPr>
          <w:p w14:paraId="1937EDF4" w14:textId="77777777" w:rsidR="007E3FF8" w:rsidRDefault="00000000">
            <w:pPr>
              <w:jc w:val="center"/>
              <w:rPr>
                <w:rFonts w:hint="eastAsia"/>
              </w:rPr>
            </w:pPr>
            <w:r>
              <w:rPr>
                <w:sz w:val="20"/>
              </w:rPr>
              <w:t>控制基因</w:t>
            </w:r>
          </w:p>
        </w:tc>
        <w:tc>
          <w:tcPr>
            <w:tcW w:w="2041" w:type="dxa"/>
            <w:shd w:val="clear" w:color="auto" w:fill="F2F7FB"/>
          </w:tcPr>
          <w:p w14:paraId="11B05CD2" w14:textId="77777777" w:rsidR="007E3FF8" w:rsidRDefault="00000000">
            <w:pPr>
              <w:jc w:val="center"/>
              <w:rPr>
                <w:rFonts w:hint="eastAsia"/>
              </w:rPr>
            </w:pPr>
            <w:r>
              <w:rPr>
                <w:sz w:val="20"/>
              </w:rPr>
              <w:t>强（AGC成熟）</w:t>
            </w:r>
          </w:p>
        </w:tc>
        <w:tc>
          <w:tcPr>
            <w:tcW w:w="2041" w:type="dxa"/>
            <w:shd w:val="clear" w:color="auto" w:fill="F2F7FB"/>
          </w:tcPr>
          <w:p w14:paraId="35E59A17" w14:textId="77777777" w:rsidR="007E3FF8" w:rsidRDefault="00000000">
            <w:pPr>
              <w:jc w:val="center"/>
              <w:rPr>
                <w:rFonts w:hint="eastAsia"/>
              </w:rPr>
            </w:pPr>
            <w:r>
              <w:rPr>
                <w:sz w:val="20"/>
              </w:rPr>
              <w:t>中（水厂自动化）</w:t>
            </w:r>
          </w:p>
        </w:tc>
        <w:tc>
          <w:tcPr>
            <w:tcW w:w="2721" w:type="dxa"/>
            <w:shd w:val="clear" w:color="auto" w:fill="F2F7FB"/>
          </w:tcPr>
          <w:p w14:paraId="445527DE" w14:textId="77777777" w:rsidR="007E3FF8" w:rsidRDefault="00000000">
            <w:pPr>
              <w:jc w:val="center"/>
              <w:rPr>
                <w:rFonts w:hint="eastAsia"/>
              </w:rPr>
            </w:pPr>
            <w:r>
              <w:rPr>
                <w:sz w:val="20"/>
              </w:rPr>
              <w:t>弱（人工调度为主）</w:t>
            </w:r>
          </w:p>
        </w:tc>
      </w:tr>
      <w:tr w:rsidR="007E3FF8" w14:paraId="590DE0E1" w14:textId="77777777">
        <w:trPr>
          <w:jc w:val="center"/>
        </w:trPr>
        <w:tc>
          <w:tcPr>
            <w:tcW w:w="1247" w:type="dxa"/>
          </w:tcPr>
          <w:p w14:paraId="6F0408B6" w14:textId="77777777" w:rsidR="007E3FF8" w:rsidRDefault="00000000">
            <w:pPr>
              <w:jc w:val="center"/>
              <w:rPr>
                <w:rFonts w:hint="eastAsia"/>
              </w:rPr>
            </w:pPr>
            <w:r>
              <w:rPr>
                <w:sz w:val="20"/>
              </w:rPr>
              <w:t>商业模式</w:t>
            </w:r>
          </w:p>
        </w:tc>
        <w:tc>
          <w:tcPr>
            <w:tcW w:w="2041" w:type="dxa"/>
          </w:tcPr>
          <w:p w14:paraId="08CF2628" w14:textId="77777777" w:rsidR="007E3FF8" w:rsidRDefault="00000000">
            <w:pPr>
              <w:jc w:val="center"/>
              <w:rPr>
                <w:rFonts w:hint="eastAsia"/>
              </w:rPr>
            </w:pPr>
            <w:r>
              <w:rPr>
                <w:sz w:val="20"/>
              </w:rPr>
              <w:t>清晰（电价）</w:t>
            </w:r>
          </w:p>
        </w:tc>
        <w:tc>
          <w:tcPr>
            <w:tcW w:w="2041" w:type="dxa"/>
          </w:tcPr>
          <w:p w14:paraId="0DF77FB6" w14:textId="77777777" w:rsidR="007E3FF8" w:rsidRDefault="00000000">
            <w:pPr>
              <w:jc w:val="center"/>
              <w:rPr>
                <w:rFonts w:hint="eastAsia"/>
              </w:rPr>
            </w:pPr>
            <w:r>
              <w:rPr>
                <w:sz w:val="20"/>
              </w:rPr>
              <w:t>较清晰（水价）</w:t>
            </w:r>
          </w:p>
        </w:tc>
        <w:tc>
          <w:tcPr>
            <w:tcW w:w="2721" w:type="dxa"/>
          </w:tcPr>
          <w:p w14:paraId="6AEB1EEA" w14:textId="77777777" w:rsidR="007E3FF8" w:rsidRDefault="00000000">
            <w:pPr>
              <w:jc w:val="center"/>
              <w:rPr>
                <w:rFonts w:hint="eastAsia"/>
              </w:rPr>
            </w:pPr>
            <w:r>
              <w:rPr>
                <w:sz w:val="20"/>
              </w:rPr>
              <w:t>不清晰（公益为主）</w:t>
            </w:r>
          </w:p>
        </w:tc>
      </w:tr>
      <w:tr w:rsidR="007E3FF8" w14:paraId="0D206F40" w14:textId="77777777">
        <w:trPr>
          <w:jc w:val="center"/>
        </w:trPr>
        <w:tc>
          <w:tcPr>
            <w:tcW w:w="1247" w:type="dxa"/>
            <w:shd w:val="clear" w:color="auto" w:fill="F2F7FB"/>
          </w:tcPr>
          <w:p w14:paraId="04790AE8" w14:textId="77777777" w:rsidR="007E3FF8" w:rsidRDefault="00000000">
            <w:pPr>
              <w:jc w:val="center"/>
              <w:rPr>
                <w:rFonts w:hint="eastAsia"/>
              </w:rPr>
            </w:pPr>
            <w:r>
              <w:rPr>
                <w:sz w:val="20"/>
              </w:rPr>
              <w:t>标准体系</w:t>
            </w:r>
          </w:p>
        </w:tc>
        <w:tc>
          <w:tcPr>
            <w:tcW w:w="2041" w:type="dxa"/>
            <w:shd w:val="clear" w:color="auto" w:fill="F2F7FB"/>
          </w:tcPr>
          <w:p w14:paraId="32A420BA" w14:textId="77777777" w:rsidR="007E3FF8" w:rsidRDefault="00000000">
            <w:pPr>
              <w:jc w:val="center"/>
              <w:rPr>
                <w:rFonts w:hint="eastAsia"/>
              </w:rPr>
            </w:pPr>
            <w:r>
              <w:rPr>
                <w:sz w:val="20"/>
              </w:rPr>
              <w:t>成熟（IEC系列）</w:t>
            </w:r>
          </w:p>
        </w:tc>
        <w:tc>
          <w:tcPr>
            <w:tcW w:w="2041" w:type="dxa"/>
            <w:shd w:val="clear" w:color="auto" w:fill="F2F7FB"/>
          </w:tcPr>
          <w:p w14:paraId="5D884D1F" w14:textId="77777777" w:rsidR="007E3FF8" w:rsidRDefault="00000000">
            <w:pPr>
              <w:jc w:val="center"/>
              <w:rPr>
                <w:rFonts w:hint="eastAsia"/>
              </w:rPr>
            </w:pPr>
            <w:r>
              <w:rPr>
                <w:sz w:val="20"/>
              </w:rPr>
              <w:t>较完善（行业标准）</w:t>
            </w:r>
          </w:p>
        </w:tc>
        <w:tc>
          <w:tcPr>
            <w:tcW w:w="2721" w:type="dxa"/>
            <w:shd w:val="clear" w:color="auto" w:fill="F2F7FB"/>
          </w:tcPr>
          <w:p w14:paraId="51037806" w14:textId="77777777" w:rsidR="007E3FF8" w:rsidRDefault="00000000">
            <w:pPr>
              <w:jc w:val="center"/>
              <w:rPr>
                <w:rFonts w:hint="eastAsia"/>
              </w:rPr>
            </w:pPr>
            <w:r>
              <w:rPr>
                <w:sz w:val="20"/>
              </w:rPr>
              <w:t>薄弱（缺统一标准）</w:t>
            </w:r>
          </w:p>
        </w:tc>
      </w:tr>
      <w:tr w:rsidR="007E3FF8" w14:paraId="092C22A2" w14:textId="77777777">
        <w:trPr>
          <w:jc w:val="center"/>
        </w:trPr>
        <w:tc>
          <w:tcPr>
            <w:tcW w:w="1247" w:type="dxa"/>
          </w:tcPr>
          <w:p w14:paraId="3058A166" w14:textId="77777777" w:rsidR="007E3FF8" w:rsidRDefault="00000000">
            <w:pPr>
              <w:jc w:val="center"/>
              <w:rPr>
                <w:rFonts w:hint="eastAsia"/>
              </w:rPr>
            </w:pPr>
            <w:r>
              <w:rPr>
                <w:sz w:val="20"/>
              </w:rPr>
              <w:lastRenderedPageBreak/>
              <w:t>智能化等级</w:t>
            </w:r>
          </w:p>
        </w:tc>
        <w:tc>
          <w:tcPr>
            <w:tcW w:w="2041" w:type="dxa"/>
          </w:tcPr>
          <w:p w14:paraId="533493E8" w14:textId="77777777" w:rsidR="007E3FF8" w:rsidRDefault="00000000">
            <w:pPr>
              <w:jc w:val="center"/>
              <w:rPr>
                <w:rFonts w:hint="eastAsia"/>
              </w:rPr>
            </w:pPr>
            <w:r>
              <w:rPr>
                <w:sz w:val="20"/>
              </w:rPr>
              <w:t>L2~L3</w:t>
            </w:r>
          </w:p>
        </w:tc>
        <w:tc>
          <w:tcPr>
            <w:tcW w:w="2041" w:type="dxa"/>
          </w:tcPr>
          <w:p w14:paraId="231AFA8F" w14:textId="77777777" w:rsidR="007E3FF8" w:rsidRDefault="00000000">
            <w:pPr>
              <w:jc w:val="center"/>
              <w:rPr>
                <w:rFonts w:hint="eastAsia"/>
              </w:rPr>
            </w:pPr>
            <w:r>
              <w:rPr>
                <w:sz w:val="20"/>
              </w:rPr>
              <w:t>L1~L2</w:t>
            </w:r>
          </w:p>
        </w:tc>
        <w:tc>
          <w:tcPr>
            <w:tcW w:w="2721" w:type="dxa"/>
          </w:tcPr>
          <w:p w14:paraId="5D0AFA2B" w14:textId="77777777" w:rsidR="007E3FF8" w:rsidRDefault="00000000">
            <w:pPr>
              <w:jc w:val="center"/>
              <w:rPr>
                <w:rFonts w:hint="eastAsia"/>
              </w:rPr>
            </w:pPr>
            <w:r>
              <w:rPr>
                <w:sz w:val="20"/>
              </w:rPr>
              <w:t>L0~L1</w:t>
            </w:r>
          </w:p>
        </w:tc>
      </w:tr>
      <w:tr w:rsidR="007E3FF8" w14:paraId="1D26BF93" w14:textId="77777777">
        <w:trPr>
          <w:jc w:val="center"/>
        </w:trPr>
        <w:tc>
          <w:tcPr>
            <w:tcW w:w="1247" w:type="dxa"/>
            <w:shd w:val="clear" w:color="auto" w:fill="F2F7FB"/>
          </w:tcPr>
          <w:p w14:paraId="7D39609D" w14:textId="77777777" w:rsidR="007E3FF8" w:rsidRDefault="00000000">
            <w:pPr>
              <w:jc w:val="center"/>
              <w:rPr>
                <w:rFonts w:hint="eastAsia"/>
              </w:rPr>
            </w:pPr>
            <w:r>
              <w:rPr>
                <w:sz w:val="20"/>
              </w:rPr>
              <w:t>外溢价值</w:t>
            </w:r>
          </w:p>
        </w:tc>
        <w:tc>
          <w:tcPr>
            <w:tcW w:w="2041" w:type="dxa"/>
            <w:shd w:val="clear" w:color="auto" w:fill="F2F7FB"/>
          </w:tcPr>
          <w:p w14:paraId="1D3C56FB" w14:textId="77777777" w:rsidR="007E3FF8" w:rsidRDefault="00000000">
            <w:pPr>
              <w:jc w:val="center"/>
              <w:rPr>
                <w:rFonts w:hint="eastAsia"/>
              </w:rPr>
            </w:pPr>
            <w:r>
              <w:rPr>
                <w:sz w:val="20"/>
              </w:rPr>
              <w:t>中</w:t>
            </w:r>
          </w:p>
        </w:tc>
        <w:tc>
          <w:tcPr>
            <w:tcW w:w="2041" w:type="dxa"/>
            <w:shd w:val="clear" w:color="auto" w:fill="F2F7FB"/>
          </w:tcPr>
          <w:p w14:paraId="2EE19D0C" w14:textId="77777777" w:rsidR="007E3FF8" w:rsidRDefault="00000000">
            <w:pPr>
              <w:jc w:val="center"/>
              <w:rPr>
                <w:rFonts w:hint="eastAsia"/>
              </w:rPr>
            </w:pPr>
            <w:r>
              <w:rPr>
                <w:sz w:val="20"/>
              </w:rPr>
              <w:t>中</w:t>
            </w:r>
          </w:p>
        </w:tc>
        <w:tc>
          <w:tcPr>
            <w:tcW w:w="2721" w:type="dxa"/>
            <w:shd w:val="clear" w:color="auto" w:fill="F2F7FB"/>
          </w:tcPr>
          <w:p w14:paraId="2052A23D" w14:textId="77777777" w:rsidR="007E3FF8" w:rsidRDefault="00000000">
            <w:pPr>
              <w:jc w:val="center"/>
              <w:rPr>
                <w:rFonts w:hint="eastAsia"/>
              </w:rPr>
            </w:pPr>
            <w:r>
              <w:rPr>
                <w:sz w:val="20"/>
              </w:rPr>
              <w:t>最大</w:t>
            </w:r>
          </w:p>
        </w:tc>
      </w:tr>
    </w:tbl>
    <w:p w14:paraId="729033D4" w14:textId="77777777" w:rsidR="007E3FF8" w:rsidRDefault="00000000">
      <w:pPr>
        <w:spacing w:after="120"/>
        <w:jc w:val="center"/>
        <w:rPr>
          <w:rFonts w:hint="eastAsia"/>
          <w:lang w:eastAsia="zh-CN"/>
        </w:rPr>
      </w:pPr>
      <w:r>
        <w:rPr>
          <w:i/>
          <w:color w:val="555555"/>
          <w:sz w:val="20"/>
          <w:lang w:eastAsia="zh-CN"/>
        </w:rPr>
        <w:t>表3-3  涉水行业智能化水平横向对比</w:t>
      </w:r>
    </w:p>
    <w:p w14:paraId="21214C85" w14:textId="77777777" w:rsidR="007E3FF8" w:rsidRDefault="00000000">
      <w:pPr>
        <w:spacing w:before="280" w:after="200"/>
        <w:rPr>
          <w:rFonts w:hint="eastAsia"/>
          <w:lang w:eastAsia="zh-CN"/>
        </w:rPr>
      </w:pPr>
      <w:r>
        <w:rPr>
          <w:b/>
          <w:sz w:val="28"/>
          <w:lang w:eastAsia="zh-CN"/>
        </w:rPr>
        <w:t>3.6 落后成因“四维根因图谱”</w:t>
      </w:r>
    </w:p>
    <w:p w14:paraId="15815193" w14:textId="77777777" w:rsidR="007E3FF8" w:rsidRDefault="00000000">
      <w:pPr>
        <w:spacing w:before="200" w:after="160"/>
        <w:rPr>
          <w:rFonts w:hint="eastAsia"/>
          <w:lang w:eastAsia="zh-CN"/>
        </w:rPr>
      </w:pPr>
      <w:r>
        <w:rPr>
          <w:b/>
          <w:lang w:eastAsia="zh-CN"/>
        </w:rPr>
        <w:t>3.6.1 体制维度：多头管理与目标函数碎片化</w:t>
      </w:r>
    </w:p>
    <w:p w14:paraId="1D234447" w14:textId="77777777" w:rsidR="007E3FF8" w:rsidRDefault="00000000">
      <w:pPr>
        <w:ind w:firstLine="482"/>
        <w:rPr>
          <w:rFonts w:hint="eastAsia"/>
          <w:lang w:eastAsia="zh-CN"/>
        </w:rPr>
      </w:pPr>
      <w:r>
        <w:rPr>
          <w:lang w:eastAsia="zh-CN"/>
        </w:rPr>
        <w:t>综合以上分析，水利行业智能化落后的根因可以从体制、机制、技术、政策四个维度进行系统归纳，构成“四维根因图谱”。</w:t>
      </w:r>
    </w:p>
    <w:p w14:paraId="6CFF2365" w14:textId="77777777" w:rsidR="007E3FF8" w:rsidRDefault="00000000">
      <w:pPr>
        <w:ind w:firstLine="482"/>
        <w:rPr>
          <w:rFonts w:hint="eastAsia"/>
          <w:lang w:eastAsia="zh-CN"/>
        </w:rPr>
      </w:pPr>
      <w:r>
        <w:rPr>
          <w:lang w:eastAsia="zh-CN"/>
        </w:rPr>
        <w:t>体制维度的核心问题是多头管理。水资源管理涉及水利、住建、生态环境、自然资源等多个部门，每个部门有不同的管理目标和考核指标。这种“目标函数碎片化”使得系统层面的全局优化缺乏制度基础[37]。以城市防洪排涝为例，水库调度归水利部门管理，城市排水归住建部门管理，河道治理归水利部门管理，生态流量归生态环境部门管理——当暴雨来临时，各部门各自为战，难以形成统一的水系统响应。</w:t>
      </w:r>
    </w:p>
    <w:p w14:paraId="12FDBE19" w14:textId="77777777" w:rsidR="007E3FF8" w:rsidRDefault="00000000">
      <w:pPr>
        <w:ind w:firstLine="482"/>
        <w:rPr>
          <w:rFonts w:hint="eastAsia"/>
          <w:lang w:eastAsia="zh-CN"/>
        </w:rPr>
      </w:pPr>
      <w:r>
        <w:rPr>
          <w:lang w:eastAsia="zh-CN"/>
        </w:rPr>
        <w:t>更深层的问题是责任边界难闭环。当一个自动化系统做出调度决策并产生后果时，责任应由谁承担？在多部门管理体制下，这一问题变得尤为复杂。缺乏清晰的责任归属机制，使得各方都倾向于保守——宁可维持人工操作，也不愿承担自动化带来的未知风险。</w:t>
      </w:r>
    </w:p>
    <w:p w14:paraId="2B7287D8" w14:textId="77777777" w:rsidR="007E3FF8" w:rsidRDefault="00000000">
      <w:pPr>
        <w:spacing w:before="200" w:after="160"/>
        <w:rPr>
          <w:rFonts w:hint="eastAsia"/>
          <w:lang w:eastAsia="zh-CN"/>
        </w:rPr>
      </w:pPr>
      <w:r>
        <w:rPr>
          <w:b/>
          <w:lang w:eastAsia="zh-CN"/>
        </w:rPr>
        <w:t>3.6.2 机制维度：项目制交付与能力断裂</w:t>
      </w:r>
    </w:p>
    <w:p w14:paraId="63D23D3D" w14:textId="77777777" w:rsidR="007E3FF8" w:rsidRDefault="00000000">
      <w:pPr>
        <w:ind w:firstLine="482"/>
        <w:rPr>
          <w:rFonts w:hint="eastAsia"/>
          <w:lang w:eastAsia="zh-CN"/>
        </w:rPr>
      </w:pPr>
      <w:r>
        <w:rPr>
          <w:lang w:eastAsia="zh-CN"/>
        </w:rPr>
        <w:t>机制维度的核心问题是项目制交付模式与持续运营需求之间的根本矛盾。水利信息化项目通常以“建设期—验收—移交”为生命周期，建设期结束后项目团队解散，积累的技术知识随之流失。这种“一次性交付”模式与自主运行系统所需的“持续迭代”需求存在根本冲突[38]。</w:t>
      </w:r>
    </w:p>
    <w:p w14:paraId="138429D9" w14:textId="77777777" w:rsidR="007E3FF8" w:rsidRDefault="00000000">
      <w:pPr>
        <w:ind w:firstLine="482"/>
        <w:rPr>
          <w:rFonts w:hint="eastAsia"/>
          <w:lang w:eastAsia="zh-CN"/>
        </w:rPr>
      </w:pPr>
      <w:r>
        <w:rPr>
          <w:lang w:eastAsia="zh-CN"/>
        </w:rPr>
        <w:t>项目制模式还导致了“模型不可复用”的问题。每个项目都从头开发模型和算法，缺乏标准化的模型库和接口规范，不同项目之间的技术资产无法共享和复用。据估算，全国水利信息化项目中有超过70%的工作量是重复性的基础开发[39]，这既浪费了有限的技术资源，也限制了技术水平的持续提升。</w:t>
      </w:r>
    </w:p>
    <w:p w14:paraId="504637C2" w14:textId="77777777" w:rsidR="007E3FF8" w:rsidRDefault="00000000">
      <w:pPr>
        <w:ind w:firstLine="482"/>
        <w:rPr>
          <w:rFonts w:hint="eastAsia"/>
          <w:lang w:eastAsia="zh-CN"/>
        </w:rPr>
      </w:pPr>
      <w:r>
        <w:rPr>
          <w:lang w:eastAsia="zh-CN"/>
        </w:rPr>
        <w:t>更深层的问题在于“版本治理”的缺失。自主运行系统的模型和算法是持续演进的——模型参数需要根据运行数据定期校核，算法策略需要根据新的运行场景持续优化。这要求建立完善的版本管理、回归测试和灰度发布机制。然而，项目制模式下，系统在“验收”后就进入了“维护态”，仅进行bug修复而非功能迭代。这种模式无法支撑自主运行系统对持续演进的需求。对比互联网行业的“持续集成/持续部署（CI/CD）”实践，水利信息化项目的软件工程成熟度至少落后10至15年。</w:t>
      </w:r>
    </w:p>
    <w:p w14:paraId="30D5E3B8" w14:textId="77777777" w:rsidR="007E3FF8" w:rsidRDefault="00000000">
      <w:pPr>
        <w:ind w:firstLine="482"/>
        <w:rPr>
          <w:rFonts w:hint="eastAsia"/>
          <w:lang w:eastAsia="zh-CN"/>
        </w:rPr>
      </w:pPr>
      <w:r>
        <w:rPr>
          <w:lang w:eastAsia="zh-CN"/>
        </w:rPr>
        <w:lastRenderedPageBreak/>
        <w:t>项目制模式的第三个弊端是“人才梯队断裂”。建设期的项目团队通常包含水利、控制、软件等多学科人才，这种跨学科的团队配置是实现智能化的关键。但项目结束后团队解散，运维期通常仅保留少量IT运维人员，缺乏具备水利工程和控制理论双重背景的核心技术人才。这种人才断裂使得系统在运维期无法进行深层次的优化和改进，只能“勉强维持”而非“持续进化”。解决这一问题需要从根本上变革商业模式——从一次性的项目建设费向持续性的运营服务费转型，为长期技术团队的存续提供经济基础。</w:t>
      </w:r>
    </w:p>
    <w:p w14:paraId="188DE64F" w14:textId="77777777" w:rsidR="007E3FF8" w:rsidRDefault="00000000">
      <w:pPr>
        <w:spacing w:before="200" w:after="160"/>
        <w:rPr>
          <w:rFonts w:hint="eastAsia"/>
          <w:lang w:eastAsia="zh-CN"/>
        </w:rPr>
      </w:pPr>
      <w:r>
        <w:rPr>
          <w:b/>
          <w:lang w:eastAsia="zh-CN"/>
        </w:rPr>
        <w:t>3.6.3 技术维度：状态不可知与约束不一致</w:t>
      </w:r>
    </w:p>
    <w:p w14:paraId="16C91DB9" w14:textId="77777777" w:rsidR="007E3FF8" w:rsidRDefault="00000000">
      <w:pPr>
        <w:ind w:firstLine="482"/>
        <w:rPr>
          <w:rFonts w:hint="eastAsia"/>
          <w:lang w:eastAsia="zh-CN"/>
        </w:rPr>
      </w:pPr>
      <w:r>
        <w:rPr>
          <w:lang w:eastAsia="zh-CN"/>
        </w:rPr>
        <w:t>技术维度的核心问题包括两个方面。第一，同化能力弱导致“状态不可知”。数据同化（Data Assimilation）技术——将观测数据与模型预测融合以获得最优状态估计——在气象预报中已经取得了革命性的成功（ECMWF的同化系统将全球天气预报准确期从3天延长到10天以上[18]），但在水利工程中的应用极为有限。缺乏数据同化能力，意味着系统无法准确知道“当前状态是什么”，自然也就无法做出可靠的控制决策。</w:t>
      </w:r>
    </w:p>
    <w:p w14:paraId="3C85FE73" w14:textId="77777777" w:rsidR="007E3FF8" w:rsidRDefault="00000000">
      <w:pPr>
        <w:ind w:firstLine="482"/>
        <w:rPr>
          <w:rFonts w:hint="eastAsia"/>
          <w:lang w:eastAsia="zh-CN"/>
        </w:rPr>
      </w:pPr>
      <w:r>
        <w:rPr>
          <w:lang w:eastAsia="zh-CN"/>
        </w:rPr>
        <w:t>第二，约束执行不一致导致“遇事失控”。不同层级、不同来源的运行约束（法规约束、设计约束、管理约束）之间可能存在矛盾，且缺乏统一的约束管理框架来处理优先级冲突。当多个约束同时活跃时，系统可能无法找到可行解，或者不同操作者对约束优先级的理解不同导致决策不一致[40]。</w:t>
      </w:r>
    </w:p>
    <w:p w14:paraId="7B7F5D1D" w14:textId="77777777" w:rsidR="007E3FF8" w:rsidRDefault="00000000">
      <w:pPr>
        <w:spacing w:before="200" w:after="160"/>
        <w:rPr>
          <w:rFonts w:hint="eastAsia"/>
          <w:lang w:eastAsia="zh-CN"/>
        </w:rPr>
      </w:pPr>
      <w:r>
        <w:rPr>
          <w:b/>
          <w:lang w:eastAsia="zh-CN"/>
        </w:rPr>
        <w:t>3.6.4 政策维度：准入机制的缺失</w:t>
      </w:r>
    </w:p>
    <w:p w14:paraId="60240B7B" w14:textId="77777777" w:rsidR="007E3FF8" w:rsidRDefault="00000000">
      <w:pPr>
        <w:ind w:firstLine="482"/>
        <w:rPr>
          <w:rFonts w:hint="eastAsia"/>
          <w:lang w:eastAsia="zh-CN"/>
        </w:rPr>
      </w:pPr>
      <w:r>
        <w:rPr>
          <w:lang w:eastAsia="zh-CN"/>
        </w:rPr>
        <w:t>政策维度的核心问题是缺乏针对智能算法和策略的强制准入机制。在汽车行业，一个自动驾驶系统必须通过第三方测试机构的评测才能上路[15]；在航空行业，一个飞行控制软件必须通过适航认证才能上天[22]。而在水利行业，一个智能调度系统的“上线许可”通常仅需要通过甲方组织的功能验收，没有独立的第三方评测、没有标准化的测试场景库、没有安全性证明的要求。</w:t>
      </w:r>
    </w:p>
    <w:p w14:paraId="61D967E4" w14:textId="77777777" w:rsidR="007E3FF8" w:rsidRDefault="00000000">
      <w:pPr>
        <w:ind w:firstLine="482"/>
        <w:rPr>
          <w:rFonts w:hint="eastAsia"/>
          <w:lang w:eastAsia="zh-CN"/>
        </w:rPr>
      </w:pPr>
      <w:r>
        <w:rPr>
          <w:lang w:eastAsia="zh-CN"/>
        </w:rPr>
        <w:t>准入机制的缺失带来两个后果。第一，“劣币驱逐良币”——由于缺乏客观的质量评估标准，市场竞争主要基于价格而非质量，导致“能演示即合格”的低质量产品占据市场。第二，安全风险累积——未经充分验证的智能系统在运行中可能产生不可预知的行为，而缺乏事后审计机制使得问题难以被发现和追溯。随着水利智能化程度的提升，准入机制的缺失将成为越来越突出的安全隐患[41]。</w:t>
      </w:r>
    </w:p>
    <w:tbl>
      <w:tblPr>
        <w:tblW w:w="0" w:type="auto"/>
        <w:jc w:val="center"/>
        <w:tblLook w:val="04A0" w:firstRow="1" w:lastRow="0" w:firstColumn="1" w:lastColumn="0" w:noHBand="0" w:noVBand="1"/>
      </w:tblPr>
      <w:tblGrid>
        <w:gridCol w:w="850"/>
        <w:gridCol w:w="1417"/>
        <w:gridCol w:w="1814"/>
        <w:gridCol w:w="1701"/>
        <w:gridCol w:w="2268"/>
      </w:tblGrid>
      <w:tr w:rsidR="007E3FF8" w14:paraId="6B167742" w14:textId="77777777">
        <w:trPr>
          <w:jc w:val="center"/>
        </w:trPr>
        <w:tc>
          <w:tcPr>
            <w:tcW w:w="850" w:type="dxa"/>
            <w:shd w:val="clear" w:color="auto" w:fill="1F4E79"/>
          </w:tcPr>
          <w:p w14:paraId="6C73797B" w14:textId="77777777" w:rsidR="007E3FF8" w:rsidRDefault="00000000">
            <w:pPr>
              <w:jc w:val="center"/>
              <w:rPr>
                <w:rFonts w:hint="eastAsia"/>
              </w:rPr>
            </w:pPr>
            <w:proofErr w:type="spellStart"/>
            <w:r>
              <w:rPr>
                <w:b/>
                <w:color w:val="FFFFFF"/>
                <w:sz w:val="21"/>
              </w:rPr>
              <w:t>维度</w:t>
            </w:r>
            <w:proofErr w:type="spellEnd"/>
          </w:p>
        </w:tc>
        <w:tc>
          <w:tcPr>
            <w:tcW w:w="1417" w:type="dxa"/>
            <w:shd w:val="clear" w:color="auto" w:fill="1F4E79"/>
          </w:tcPr>
          <w:p w14:paraId="250853DA" w14:textId="77777777" w:rsidR="007E3FF8" w:rsidRDefault="00000000">
            <w:pPr>
              <w:jc w:val="center"/>
              <w:rPr>
                <w:rFonts w:hint="eastAsia"/>
              </w:rPr>
            </w:pPr>
            <w:r>
              <w:rPr>
                <w:b/>
                <w:color w:val="FFFFFF"/>
                <w:sz w:val="21"/>
              </w:rPr>
              <w:t>核心问题</w:t>
            </w:r>
          </w:p>
        </w:tc>
        <w:tc>
          <w:tcPr>
            <w:tcW w:w="1814" w:type="dxa"/>
            <w:shd w:val="clear" w:color="auto" w:fill="1F4E79"/>
          </w:tcPr>
          <w:p w14:paraId="4B85A8E3" w14:textId="77777777" w:rsidR="007E3FF8" w:rsidRDefault="00000000">
            <w:pPr>
              <w:jc w:val="center"/>
              <w:rPr>
                <w:rFonts w:hint="eastAsia"/>
              </w:rPr>
            </w:pPr>
            <w:r>
              <w:rPr>
                <w:b/>
                <w:color w:val="FFFFFF"/>
                <w:sz w:val="21"/>
              </w:rPr>
              <w:t>表现形式</w:t>
            </w:r>
          </w:p>
        </w:tc>
        <w:tc>
          <w:tcPr>
            <w:tcW w:w="1701" w:type="dxa"/>
            <w:shd w:val="clear" w:color="auto" w:fill="1F4E79"/>
          </w:tcPr>
          <w:p w14:paraId="61ACEC5F" w14:textId="77777777" w:rsidR="007E3FF8" w:rsidRDefault="00000000">
            <w:pPr>
              <w:jc w:val="center"/>
              <w:rPr>
                <w:rFonts w:hint="eastAsia"/>
              </w:rPr>
            </w:pPr>
            <w:r>
              <w:rPr>
                <w:b/>
                <w:color w:val="FFFFFF"/>
                <w:sz w:val="21"/>
              </w:rPr>
              <w:t>根因</w:t>
            </w:r>
          </w:p>
        </w:tc>
        <w:tc>
          <w:tcPr>
            <w:tcW w:w="2268" w:type="dxa"/>
            <w:shd w:val="clear" w:color="auto" w:fill="1F4E79"/>
          </w:tcPr>
          <w:p w14:paraId="41F4E588" w14:textId="77777777" w:rsidR="007E3FF8" w:rsidRDefault="00000000">
            <w:pPr>
              <w:jc w:val="center"/>
              <w:rPr>
                <w:rFonts w:hint="eastAsia"/>
              </w:rPr>
            </w:pPr>
            <w:r>
              <w:rPr>
                <w:b/>
                <w:color w:val="FFFFFF"/>
                <w:sz w:val="21"/>
              </w:rPr>
              <w:t>弥合路径</w:t>
            </w:r>
          </w:p>
        </w:tc>
      </w:tr>
      <w:tr w:rsidR="007E3FF8" w14:paraId="7D3D0F79" w14:textId="77777777">
        <w:trPr>
          <w:jc w:val="center"/>
        </w:trPr>
        <w:tc>
          <w:tcPr>
            <w:tcW w:w="850" w:type="dxa"/>
          </w:tcPr>
          <w:p w14:paraId="57EA0B8C" w14:textId="77777777" w:rsidR="007E3FF8" w:rsidRDefault="00000000">
            <w:pPr>
              <w:jc w:val="center"/>
              <w:rPr>
                <w:rFonts w:hint="eastAsia"/>
              </w:rPr>
            </w:pPr>
            <w:r>
              <w:rPr>
                <w:sz w:val="20"/>
              </w:rPr>
              <w:t>体制</w:t>
            </w:r>
          </w:p>
        </w:tc>
        <w:tc>
          <w:tcPr>
            <w:tcW w:w="1417" w:type="dxa"/>
          </w:tcPr>
          <w:p w14:paraId="48C9DB57" w14:textId="77777777" w:rsidR="007E3FF8" w:rsidRDefault="00000000">
            <w:pPr>
              <w:jc w:val="center"/>
              <w:rPr>
                <w:rFonts w:hint="eastAsia"/>
              </w:rPr>
            </w:pPr>
            <w:r>
              <w:rPr>
                <w:sz w:val="20"/>
              </w:rPr>
              <w:t>多头管理</w:t>
            </w:r>
          </w:p>
        </w:tc>
        <w:tc>
          <w:tcPr>
            <w:tcW w:w="1814" w:type="dxa"/>
          </w:tcPr>
          <w:p w14:paraId="02F07E83" w14:textId="77777777" w:rsidR="007E3FF8" w:rsidRDefault="00000000">
            <w:pPr>
              <w:jc w:val="center"/>
              <w:rPr>
                <w:rFonts w:hint="eastAsia"/>
                <w:lang w:eastAsia="zh-CN"/>
              </w:rPr>
            </w:pPr>
            <w:r>
              <w:rPr>
                <w:sz w:val="20"/>
                <w:lang w:eastAsia="zh-CN"/>
              </w:rPr>
              <w:t>目标碎片化、责任模糊</w:t>
            </w:r>
          </w:p>
        </w:tc>
        <w:tc>
          <w:tcPr>
            <w:tcW w:w="1701" w:type="dxa"/>
          </w:tcPr>
          <w:p w14:paraId="5F321C43" w14:textId="77777777" w:rsidR="007E3FF8" w:rsidRDefault="00000000">
            <w:pPr>
              <w:jc w:val="center"/>
              <w:rPr>
                <w:rFonts w:hint="eastAsia"/>
              </w:rPr>
            </w:pPr>
            <w:proofErr w:type="spellStart"/>
            <w:r>
              <w:rPr>
                <w:sz w:val="20"/>
              </w:rPr>
              <w:t>部门分割</w:t>
            </w:r>
            <w:proofErr w:type="spellEnd"/>
          </w:p>
        </w:tc>
        <w:tc>
          <w:tcPr>
            <w:tcW w:w="2268" w:type="dxa"/>
          </w:tcPr>
          <w:p w14:paraId="20732AC8" w14:textId="77777777" w:rsidR="007E3FF8" w:rsidRDefault="00000000">
            <w:pPr>
              <w:jc w:val="center"/>
              <w:rPr>
                <w:rFonts w:hint="eastAsia"/>
              </w:rPr>
            </w:pPr>
            <w:r>
              <w:rPr>
                <w:sz w:val="20"/>
              </w:rPr>
              <w:t>建立跨部门协调机制</w:t>
            </w:r>
          </w:p>
        </w:tc>
      </w:tr>
      <w:tr w:rsidR="007E3FF8" w14:paraId="31A1A58A" w14:textId="77777777">
        <w:trPr>
          <w:jc w:val="center"/>
        </w:trPr>
        <w:tc>
          <w:tcPr>
            <w:tcW w:w="850" w:type="dxa"/>
            <w:shd w:val="clear" w:color="auto" w:fill="F2F7FB"/>
          </w:tcPr>
          <w:p w14:paraId="2A87867A" w14:textId="77777777" w:rsidR="007E3FF8" w:rsidRDefault="00000000">
            <w:pPr>
              <w:jc w:val="center"/>
              <w:rPr>
                <w:rFonts w:hint="eastAsia"/>
              </w:rPr>
            </w:pPr>
            <w:r>
              <w:rPr>
                <w:sz w:val="20"/>
              </w:rPr>
              <w:t>机制</w:t>
            </w:r>
          </w:p>
        </w:tc>
        <w:tc>
          <w:tcPr>
            <w:tcW w:w="1417" w:type="dxa"/>
            <w:shd w:val="clear" w:color="auto" w:fill="F2F7FB"/>
          </w:tcPr>
          <w:p w14:paraId="2C3EB0FE" w14:textId="77777777" w:rsidR="007E3FF8" w:rsidRDefault="00000000">
            <w:pPr>
              <w:jc w:val="center"/>
              <w:rPr>
                <w:rFonts w:hint="eastAsia"/>
              </w:rPr>
            </w:pPr>
            <w:r>
              <w:rPr>
                <w:sz w:val="20"/>
              </w:rPr>
              <w:t>项目制交付</w:t>
            </w:r>
          </w:p>
        </w:tc>
        <w:tc>
          <w:tcPr>
            <w:tcW w:w="1814" w:type="dxa"/>
            <w:shd w:val="clear" w:color="auto" w:fill="F2F7FB"/>
          </w:tcPr>
          <w:p w14:paraId="7C18BC5D" w14:textId="77777777" w:rsidR="007E3FF8" w:rsidRDefault="00000000">
            <w:pPr>
              <w:jc w:val="center"/>
              <w:rPr>
                <w:rFonts w:hint="eastAsia"/>
                <w:lang w:eastAsia="zh-CN"/>
              </w:rPr>
            </w:pPr>
            <w:r>
              <w:rPr>
                <w:sz w:val="20"/>
                <w:lang w:eastAsia="zh-CN"/>
              </w:rPr>
              <w:t>知识断裂、模型</w:t>
            </w:r>
            <w:r>
              <w:rPr>
                <w:sz w:val="20"/>
                <w:lang w:eastAsia="zh-CN"/>
              </w:rPr>
              <w:lastRenderedPageBreak/>
              <w:t>不复用</w:t>
            </w:r>
          </w:p>
        </w:tc>
        <w:tc>
          <w:tcPr>
            <w:tcW w:w="1701" w:type="dxa"/>
            <w:shd w:val="clear" w:color="auto" w:fill="F2F7FB"/>
          </w:tcPr>
          <w:p w14:paraId="5BFF2F8C" w14:textId="77777777" w:rsidR="007E3FF8" w:rsidRDefault="00000000">
            <w:pPr>
              <w:jc w:val="center"/>
              <w:rPr>
                <w:rFonts w:hint="eastAsia"/>
              </w:rPr>
            </w:pPr>
            <w:proofErr w:type="spellStart"/>
            <w:r>
              <w:rPr>
                <w:sz w:val="20"/>
              </w:rPr>
              <w:lastRenderedPageBreak/>
              <w:t>一次性交付模式</w:t>
            </w:r>
            <w:proofErr w:type="spellEnd"/>
          </w:p>
        </w:tc>
        <w:tc>
          <w:tcPr>
            <w:tcW w:w="2268" w:type="dxa"/>
            <w:shd w:val="clear" w:color="auto" w:fill="F2F7FB"/>
          </w:tcPr>
          <w:p w14:paraId="67D0001F" w14:textId="77777777" w:rsidR="007E3FF8" w:rsidRDefault="00000000">
            <w:pPr>
              <w:jc w:val="center"/>
              <w:rPr>
                <w:rFonts w:hint="eastAsia"/>
              </w:rPr>
            </w:pPr>
            <w:r>
              <w:rPr>
                <w:sz w:val="20"/>
              </w:rPr>
              <w:t>推行持续运营模式</w:t>
            </w:r>
          </w:p>
        </w:tc>
      </w:tr>
      <w:tr w:rsidR="007E3FF8" w14:paraId="20F4A106" w14:textId="77777777">
        <w:trPr>
          <w:jc w:val="center"/>
        </w:trPr>
        <w:tc>
          <w:tcPr>
            <w:tcW w:w="850" w:type="dxa"/>
          </w:tcPr>
          <w:p w14:paraId="215877C6" w14:textId="77777777" w:rsidR="007E3FF8" w:rsidRDefault="00000000">
            <w:pPr>
              <w:jc w:val="center"/>
              <w:rPr>
                <w:rFonts w:hint="eastAsia"/>
              </w:rPr>
            </w:pPr>
            <w:r>
              <w:rPr>
                <w:sz w:val="20"/>
              </w:rPr>
              <w:t>技术</w:t>
            </w:r>
          </w:p>
        </w:tc>
        <w:tc>
          <w:tcPr>
            <w:tcW w:w="1417" w:type="dxa"/>
          </w:tcPr>
          <w:p w14:paraId="59F7BC32" w14:textId="77777777" w:rsidR="007E3FF8" w:rsidRDefault="00000000">
            <w:pPr>
              <w:jc w:val="center"/>
              <w:rPr>
                <w:rFonts w:hint="eastAsia"/>
              </w:rPr>
            </w:pPr>
            <w:r>
              <w:rPr>
                <w:sz w:val="20"/>
              </w:rPr>
              <w:t>状态不可知</w:t>
            </w:r>
          </w:p>
        </w:tc>
        <w:tc>
          <w:tcPr>
            <w:tcW w:w="1814" w:type="dxa"/>
          </w:tcPr>
          <w:p w14:paraId="0FFBBF21" w14:textId="77777777" w:rsidR="007E3FF8" w:rsidRDefault="00000000">
            <w:pPr>
              <w:jc w:val="center"/>
              <w:rPr>
                <w:rFonts w:hint="eastAsia"/>
              </w:rPr>
            </w:pPr>
            <w:r>
              <w:rPr>
                <w:sz w:val="20"/>
              </w:rPr>
              <w:t>同化缺失、约束冲突</w:t>
            </w:r>
          </w:p>
        </w:tc>
        <w:tc>
          <w:tcPr>
            <w:tcW w:w="1701" w:type="dxa"/>
          </w:tcPr>
          <w:p w14:paraId="47E01D38" w14:textId="77777777" w:rsidR="007E3FF8" w:rsidRDefault="00000000">
            <w:pPr>
              <w:jc w:val="center"/>
              <w:rPr>
                <w:rFonts w:hint="eastAsia"/>
              </w:rPr>
            </w:pPr>
            <w:r>
              <w:rPr>
                <w:sz w:val="20"/>
              </w:rPr>
              <w:t>学科短板</w:t>
            </w:r>
          </w:p>
        </w:tc>
        <w:tc>
          <w:tcPr>
            <w:tcW w:w="2268" w:type="dxa"/>
          </w:tcPr>
          <w:p w14:paraId="7BCDCB13" w14:textId="77777777" w:rsidR="007E3FF8" w:rsidRDefault="00000000">
            <w:pPr>
              <w:jc w:val="center"/>
              <w:rPr>
                <w:rFonts w:hint="eastAsia"/>
              </w:rPr>
            </w:pPr>
            <w:r>
              <w:rPr>
                <w:sz w:val="20"/>
              </w:rPr>
              <w:t>补齐控制科学课程</w:t>
            </w:r>
          </w:p>
        </w:tc>
      </w:tr>
      <w:tr w:rsidR="007E3FF8" w14:paraId="70C4AB13" w14:textId="77777777">
        <w:trPr>
          <w:jc w:val="center"/>
        </w:trPr>
        <w:tc>
          <w:tcPr>
            <w:tcW w:w="850" w:type="dxa"/>
            <w:shd w:val="clear" w:color="auto" w:fill="F2F7FB"/>
          </w:tcPr>
          <w:p w14:paraId="63D2263D" w14:textId="77777777" w:rsidR="007E3FF8" w:rsidRDefault="00000000">
            <w:pPr>
              <w:jc w:val="center"/>
              <w:rPr>
                <w:rFonts w:hint="eastAsia"/>
              </w:rPr>
            </w:pPr>
            <w:r>
              <w:rPr>
                <w:sz w:val="20"/>
              </w:rPr>
              <w:t>政策</w:t>
            </w:r>
          </w:p>
        </w:tc>
        <w:tc>
          <w:tcPr>
            <w:tcW w:w="1417" w:type="dxa"/>
            <w:shd w:val="clear" w:color="auto" w:fill="F2F7FB"/>
          </w:tcPr>
          <w:p w14:paraId="1011E1CE" w14:textId="77777777" w:rsidR="007E3FF8" w:rsidRDefault="00000000">
            <w:pPr>
              <w:jc w:val="center"/>
              <w:rPr>
                <w:rFonts w:hint="eastAsia"/>
              </w:rPr>
            </w:pPr>
            <w:r>
              <w:rPr>
                <w:sz w:val="20"/>
              </w:rPr>
              <w:t>准入缺失</w:t>
            </w:r>
          </w:p>
        </w:tc>
        <w:tc>
          <w:tcPr>
            <w:tcW w:w="1814" w:type="dxa"/>
            <w:shd w:val="clear" w:color="auto" w:fill="F2F7FB"/>
          </w:tcPr>
          <w:p w14:paraId="1910680A" w14:textId="77777777" w:rsidR="007E3FF8" w:rsidRDefault="00000000">
            <w:pPr>
              <w:jc w:val="center"/>
              <w:rPr>
                <w:rFonts w:hint="eastAsia"/>
                <w:lang w:eastAsia="zh-CN"/>
              </w:rPr>
            </w:pPr>
            <w:r>
              <w:rPr>
                <w:sz w:val="20"/>
                <w:lang w:eastAsia="zh-CN"/>
              </w:rPr>
              <w:t>无第三方评测、无安全证明</w:t>
            </w:r>
          </w:p>
        </w:tc>
        <w:tc>
          <w:tcPr>
            <w:tcW w:w="1701" w:type="dxa"/>
            <w:shd w:val="clear" w:color="auto" w:fill="F2F7FB"/>
          </w:tcPr>
          <w:p w14:paraId="2574170F" w14:textId="77777777" w:rsidR="007E3FF8" w:rsidRDefault="00000000">
            <w:pPr>
              <w:jc w:val="center"/>
              <w:rPr>
                <w:rFonts w:hint="eastAsia"/>
              </w:rPr>
            </w:pPr>
            <w:proofErr w:type="spellStart"/>
            <w:r>
              <w:rPr>
                <w:sz w:val="20"/>
              </w:rPr>
              <w:t>标准空白</w:t>
            </w:r>
            <w:proofErr w:type="spellEnd"/>
          </w:p>
        </w:tc>
        <w:tc>
          <w:tcPr>
            <w:tcW w:w="2268" w:type="dxa"/>
            <w:shd w:val="clear" w:color="auto" w:fill="F2F7FB"/>
          </w:tcPr>
          <w:p w14:paraId="71A5629A" w14:textId="77777777" w:rsidR="007E3FF8" w:rsidRDefault="00000000">
            <w:pPr>
              <w:jc w:val="center"/>
              <w:rPr>
                <w:rFonts w:hint="eastAsia"/>
              </w:rPr>
            </w:pPr>
            <w:r>
              <w:rPr>
                <w:sz w:val="20"/>
              </w:rPr>
              <w:t>建立工程准入制度</w:t>
            </w:r>
          </w:p>
        </w:tc>
      </w:tr>
    </w:tbl>
    <w:p w14:paraId="43E3DEEE" w14:textId="77777777" w:rsidR="007E3FF8" w:rsidRDefault="00000000">
      <w:pPr>
        <w:spacing w:after="120"/>
        <w:jc w:val="center"/>
        <w:rPr>
          <w:rFonts w:hint="eastAsia"/>
          <w:lang w:eastAsia="zh-CN"/>
        </w:rPr>
      </w:pPr>
      <w:r>
        <w:rPr>
          <w:i/>
          <w:color w:val="555555"/>
          <w:sz w:val="20"/>
          <w:lang w:eastAsia="zh-CN"/>
        </w:rPr>
        <w:t>表3-4  水利行业智能化落后的四维根因图谱</w:t>
      </w:r>
    </w:p>
    <w:p w14:paraId="17EC2103" w14:textId="77777777" w:rsidR="007E3FF8" w:rsidRDefault="00000000">
      <w:pPr>
        <w:spacing w:before="280" w:after="200"/>
        <w:rPr>
          <w:rFonts w:hint="eastAsia"/>
          <w:lang w:eastAsia="zh-CN"/>
        </w:rPr>
      </w:pPr>
      <w:r>
        <w:rPr>
          <w:b/>
          <w:sz w:val="28"/>
          <w:lang w:eastAsia="zh-CN"/>
        </w:rPr>
        <w:t>3.7 迎头赶上的机遇与战略路径</w:t>
      </w:r>
    </w:p>
    <w:p w14:paraId="58BB2DAE" w14:textId="77777777" w:rsidR="007E3FF8" w:rsidRDefault="00000000">
      <w:pPr>
        <w:spacing w:before="200" w:after="160"/>
        <w:rPr>
          <w:rFonts w:hint="eastAsia"/>
          <w:lang w:eastAsia="zh-CN"/>
        </w:rPr>
      </w:pPr>
      <w:r>
        <w:rPr>
          <w:b/>
          <w:lang w:eastAsia="zh-CN"/>
        </w:rPr>
        <w:t>3.7.1 历史性机遇窗口</w:t>
      </w:r>
    </w:p>
    <w:p w14:paraId="1FD451E4" w14:textId="77777777" w:rsidR="007E3FF8" w:rsidRDefault="00000000">
      <w:pPr>
        <w:ind w:firstLine="482"/>
        <w:rPr>
          <w:rFonts w:hint="eastAsia"/>
          <w:lang w:eastAsia="zh-CN"/>
        </w:rPr>
      </w:pPr>
      <w:r>
        <w:rPr>
          <w:lang w:eastAsia="zh-CN"/>
        </w:rPr>
        <w:t>尽管面临诸多挑战，当前正是水利行业实现智能化跨越的最佳机遇窗口。《国家水网建设规划纲要》与数字孪生水利建设已进入“怎么做、怎么验收”的关键阶段[42]。三个有利条件正在汇聚：第一，国家战略层面的高度重视——数字孪生水利被列为水利高质量发展的六大实施路径之一；第二，技术条件的成熟——AI、云计算、物联网等使能技术已进入规模化应用阶段；第三，行业认知的转变——越来越多的水利从业者认识到“有数字无智能”的困境，改变的内生动力正在形成。</w:t>
      </w:r>
    </w:p>
    <w:p w14:paraId="2F565DF6" w14:textId="77777777" w:rsidR="007E3FF8" w:rsidRDefault="00000000">
      <w:pPr>
        <w:ind w:firstLine="482"/>
        <w:rPr>
          <w:rFonts w:hint="eastAsia"/>
          <w:lang w:eastAsia="zh-CN"/>
        </w:rPr>
      </w:pPr>
      <w:r>
        <w:rPr>
          <w:lang w:eastAsia="zh-CN"/>
        </w:rPr>
        <w:t>然而，机遇窗口是有时限的。如果在当前这一轮大规模水利工程建设中仍然延续“重建轻管”的路径——建了大量的传感器和平台但没有建成闭环控制能力——那么未来的补课成本将成倍增加，而且可能错失借助新一代AI技术实现跨越式发展的最佳时机。</w:t>
      </w:r>
    </w:p>
    <w:p w14:paraId="1F5F80CF" w14:textId="77777777" w:rsidR="007E3FF8" w:rsidRDefault="00000000">
      <w:pPr>
        <w:ind w:firstLine="482"/>
        <w:rPr>
          <w:rFonts w:hint="eastAsia"/>
          <w:lang w:eastAsia="zh-CN"/>
        </w:rPr>
      </w:pPr>
      <w:r>
        <w:rPr>
          <w:lang w:eastAsia="zh-CN"/>
        </w:rPr>
        <w:t>从国际竞争视角看，全球主要国家正在加速推进水利智能化。荷兰已经在多个运河系统中实现了MPC闭环控制，以色列</w:t>
      </w:r>
      <w:proofErr w:type="spellStart"/>
      <w:r>
        <w:rPr>
          <w:lang w:eastAsia="zh-CN"/>
        </w:rPr>
        <w:t>Mekorot</w:t>
      </w:r>
      <w:proofErr w:type="spellEnd"/>
      <w:r>
        <w:rPr>
          <w:lang w:eastAsia="zh-CN"/>
        </w:rPr>
        <w:t>实现了全国水网的集中优化调度，新加坡PUB建成了覆盖全流程的智慧水网。如果中国水利行业不能在未来5至10年内完成从“数字化”到“自主化”的跨越，将面临技术上受制于人的风险——特别是在水利控制软件、调度优化算法等核心技术领域。自主可控的水网智能调控技术不仅是工程需要，更是国家安全的重要组成部分。</w:t>
      </w:r>
    </w:p>
    <w:p w14:paraId="2DDD41E4" w14:textId="77777777" w:rsidR="007E3FF8" w:rsidRDefault="00000000">
      <w:pPr>
        <w:spacing w:before="200" w:after="160"/>
        <w:rPr>
          <w:rFonts w:hint="eastAsia"/>
          <w:lang w:eastAsia="zh-CN"/>
        </w:rPr>
      </w:pPr>
      <w:r>
        <w:rPr>
          <w:b/>
          <w:lang w:eastAsia="zh-CN"/>
        </w:rPr>
        <w:t>3.7.2 “工程准入包”作为核心抓手</w:t>
      </w:r>
    </w:p>
    <w:p w14:paraId="1C35A69D" w14:textId="77777777" w:rsidR="007E3FF8" w:rsidRDefault="00000000">
      <w:pPr>
        <w:ind w:firstLine="482"/>
        <w:rPr>
          <w:rFonts w:hint="eastAsia"/>
          <w:lang w:eastAsia="zh-CN"/>
        </w:rPr>
      </w:pPr>
      <w:r>
        <w:rPr>
          <w:lang w:eastAsia="zh-CN"/>
        </w:rPr>
        <w:t>战略路径的核心是以“工程准入包”作为硬交付，替代当前以“功能点清单”为主的软验收。“工程准入包”包含四大核心要素[43]：</w:t>
      </w:r>
    </w:p>
    <w:p w14:paraId="5145A642" w14:textId="77777777" w:rsidR="007E3FF8" w:rsidRDefault="00000000">
      <w:pPr>
        <w:ind w:firstLine="482"/>
        <w:rPr>
          <w:rFonts w:hint="eastAsia"/>
          <w:lang w:eastAsia="zh-CN"/>
        </w:rPr>
      </w:pPr>
      <w:r>
        <w:rPr>
          <w:lang w:eastAsia="zh-CN"/>
        </w:rPr>
        <w:t>要素一：ODD承诺书——明确智能系统的能力边界。每个上线的智能系统必须提交经过评审的ODD定义文件，明确系统在什么条件下可以安全运行、什么条件下需要人工接管、什么条件下必须紧急停机。ODD承诺书是安全责任划分的法律基础。</w:t>
      </w:r>
    </w:p>
    <w:p w14:paraId="780807EB" w14:textId="77777777" w:rsidR="007E3FF8" w:rsidRDefault="00000000">
      <w:pPr>
        <w:ind w:firstLine="482"/>
        <w:rPr>
          <w:rFonts w:hint="eastAsia"/>
          <w:lang w:eastAsia="zh-CN"/>
        </w:rPr>
      </w:pPr>
      <w:r>
        <w:rPr>
          <w:lang w:eastAsia="zh-CN"/>
        </w:rPr>
        <w:lastRenderedPageBreak/>
        <w:t>要素二：约束模板库——一致化执行硬约束和软约束。所有运行约束必须以机器可读的格式编码，建立统一的约束管理框架，明确各约束的优先级关系和冲突处理规则。约束模板库确保不同操作者和不同系统对同一约束的理解和执行完全一致。</w:t>
      </w:r>
    </w:p>
    <w:p w14:paraId="6724A952" w14:textId="77777777" w:rsidR="007E3FF8" w:rsidRDefault="00000000">
      <w:pPr>
        <w:ind w:firstLine="482"/>
        <w:rPr>
          <w:rFonts w:hint="eastAsia"/>
          <w:lang w:eastAsia="zh-CN"/>
        </w:rPr>
      </w:pPr>
      <w:r>
        <w:rPr>
          <w:lang w:eastAsia="zh-CN"/>
        </w:rPr>
        <w:t>要素三：场景库加覆盖度报告——把组合风险工程化。建立覆盖正常工况、边界工况、故障工况和极端组合工况的标准化场景库，并出具场景覆盖度报告，明确已测试场景占ODD全场景的比例。场景库是安全性验证的核心工具。</w:t>
      </w:r>
    </w:p>
    <w:p w14:paraId="04809ED0" w14:textId="77777777" w:rsidR="007E3FF8" w:rsidRDefault="00000000">
      <w:pPr>
        <w:ind w:firstLine="482"/>
        <w:rPr>
          <w:rFonts w:hint="eastAsia"/>
          <w:lang w:eastAsia="zh-CN"/>
        </w:rPr>
      </w:pPr>
      <w:r>
        <w:rPr>
          <w:lang w:eastAsia="zh-CN"/>
        </w:rPr>
        <w:t>要素四：SIL/HIL加证据链——把算法变成可审计的产品。所有核心控制算法必须通过SIL（软件在环）和HIL（硬件在环）测试[44]，测试过程和结果形成完整的证据链，支持事后审计和版本追溯。证据链是系统可信度的客观证明。</w:t>
      </w:r>
    </w:p>
    <w:p w14:paraId="555933E1" w14:textId="77777777" w:rsidR="007E3FF8" w:rsidRDefault="00000000">
      <w:pPr>
        <w:spacing w:before="280" w:after="200"/>
        <w:rPr>
          <w:rFonts w:hint="eastAsia"/>
          <w:lang w:eastAsia="zh-CN"/>
        </w:rPr>
      </w:pPr>
      <w:r>
        <w:rPr>
          <w:b/>
          <w:sz w:val="28"/>
          <w:lang w:eastAsia="zh-CN"/>
        </w:rPr>
        <w:t>3.8 AGI/Agentic AI背景下的“AI增强控制工程”</w:t>
      </w:r>
    </w:p>
    <w:p w14:paraId="5A281FEB" w14:textId="77777777" w:rsidR="007E3FF8" w:rsidRDefault="00000000">
      <w:pPr>
        <w:spacing w:before="200" w:after="160"/>
        <w:rPr>
          <w:rFonts w:hint="eastAsia"/>
          <w:lang w:eastAsia="zh-CN"/>
        </w:rPr>
      </w:pPr>
      <w:r>
        <w:rPr>
          <w:b/>
          <w:lang w:eastAsia="zh-CN"/>
        </w:rPr>
        <w:t>3.8.1 Agentic AI的机遇与风险</w:t>
      </w:r>
    </w:p>
    <w:p w14:paraId="505D6AC3" w14:textId="77777777" w:rsidR="007E3FF8" w:rsidRDefault="00000000">
      <w:pPr>
        <w:ind w:firstLine="482"/>
        <w:rPr>
          <w:rFonts w:hint="eastAsia"/>
          <w:lang w:eastAsia="zh-CN"/>
        </w:rPr>
      </w:pPr>
      <w:r>
        <w:rPr>
          <w:lang w:eastAsia="zh-CN"/>
        </w:rPr>
        <w:t>当前全球正处于人工智能快速演进的历史节点。大语言模型（LLM）的突破性进展催生了“Agentic AI”——具有自主规划、工具调用和环境交互能力的AI智能体[45]。根据Gartner的预测，到2027年超过40%的Agentic AI项目可能因风险控制不足而失败。这一预判提示我们：越是“强智能”的系统，越需要严格的安全框架来约束其行为。</w:t>
      </w:r>
    </w:p>
    <w:p w14:paraId="2AD5A65D" w14:textId="77777777" w:rsidR="007E3FF8" w:rsidRDefault="00000000">
      <w:pPr>
        <w:ind w:firstLine="482"/>
        <w:rPr>
          <w:rFonts w:hint="eastAsia"/>
          <w:lang w:eastAsia="zh-CN"/>
        </w:rPr>
      </w:pPr>
      <w:r>
        <w:rPr>
          <w:lang w:eastAsia="zh-CN"/>
        </w:rPr>
        <w:t>对于水利行业，Agentic AI带来了三重机遇。第一，大幅降低建模和运维的边际成本——LLM可以辅助生成模型代码、编写运维文档、培训操作人员，将原本需要专家才能完成的工作“平民化”。第二，增强人机交互的自然性——操作者可以用自然语言与调度系统交互，降低使用门槛。第三，加速知识发现——AI可以从海量运行数据中发现人类难以察觉的模式和规律。</w:t>
      </w:r>
    </w:p>
    <w:p w14:paraId="615C0A5C" w14:textId="77777777" w:rsidR="007E3FF8" w:rsidRDefault="00000000">
      <w:pPr>
        <w:ind w:firstLine="482"/>
        <w:rPr>
          <w:rFonts w:hint="eastAsia"/>
          <w:lang w:eastAsia="zh-CN"/>
        </w:rPr>
      </w:pPr>
      <w:r>
        <w:rPr>
          <w:lang w:eastAsia="zh-CN"/>
        </w:rPr>
        <w:t>但Agentic AI也带来了前所未有的风险。在安全关键领域（如水利调度），AI的“幻觉”问题——即自信地生成错误输出——可能导致灾难性后果。如果一个AI智能体错误判断了水网状态并据此做出调度决策，后果可能是不可逆的工程事故。因此，Agentic AI在水利领域的应用必须受到严格的安全约束[46]。</w:t>
      </w:r>
    </w:p>
    <w:p w14:paraId="23065DB1" w14:textId="77777777" w:rsidR="007E3FF8" w:rsidRDefault="00000000">
      <w:pPr>
        <w:spacing w:before="200" w:after="160"/>
        <w:rPr>
          <w:rFonts w:hint="eastAsia"/>
          <w:lang w:eastAsia="zh-CN"/>
        </w:rPr>
      </w:pPr>
      <w:r>
        <w:rPr>
          <w:b/>
          <w:lang w:eastAsia="zh-CN"/>
        </w:rPr>
        <w:t>3.8.2 “AI增强控制工程”的正确定位</w:t>
      </w:r>
    </w:p>
    <w:p w14:paraId="464502DA" w14:textId="77777777" w:rsidR="007E3FF8" w:rsidRDefault="00000000">
      <w:pPr>
        <w:ind w:firstLine="482"/>
        <w:rPr>
          <w:rFonts w:hint="eastAsia"/>
          <w:lang w:eastAsia="zh-CN"/>
        </w:rPr>
      </w:pPr>
      <w:r>
        <w:rPr>
          <w:lang w:eastAsia="zh-CN"/>
        </w:rPr>
        <w:t>水利行业的正确姿态应该是“AI增强控制工程（AI-Augmented Control Engineering）”——利用AI的强大能力来增强控制工程的效率和效果，同时严守控制工程的安全底线[47]。这一定位包含三个层面：</w:t>
      </w:r>
    </w:p>
    <w:p w14:paraId="608B3DD5" w14:textId="77777777" w:rsidR="007E3FF8" w:rsidRDefault="00000000">
      <w:pPr>
        <w:ind w:firstLine="482"/>
        <w:rPr>
          <w:rFonts w:hint="eastAsia"/>
          <w:lang w:eastAsia="zh-CN"/>
        </w:rPr>
      </w:pPr>
      <w:r>
        <w:rPr>
          <w:lang w:eastAsia="zh-CN"/>
        </w:rPr>
        <w:t>第一层：利用AI提效。具体包括：利用LLM辅助水力模型的代码生成和文档编写；利用计算机视觉进行水工结构的自动巡检和缺陷识别；利用自然语言处理技术构建智能</w:t>
      </w:r>
      <w:r>
        <w:rPr>
          <w:lang w:eastAsia="zh-CN"/>
        </w:rPr>
        <w:lastRenderedPageBreak/>
        <w:t>化的运行日志分析和知识管理系统；利用生成式AI进行场景扩增——基于历史数据和物理约束生成大量合理的虚拟场景，丰富场景库。</w:t>
      </w:r>
    </w:p>
    <w:p w14:paraId="58D01002" w14:textId="77777777" w:rsidR="007E3FF8" w:rsidRDefault="00000000">
      <w:pPr>
        <w:ind w:firstLine="482"/>
        <w:rPr>
          <w:rFonts w:hint="eastAsia"/>
          <w:lang w:eastAsia="zh-CN"/>
        </w:rPr>
      </w:pPr>
      <w:r>
        <w:rPr>
          <w:lang w:eastAsia="zh-CN"/>
        </w:rPr>
        <w:t>第二层：严守控制底线。越是“强智能”的系统，越需要严格的ODD定义、完备的场景库和规范的SIL/HIL验证。AI的输出在进入闭环控制之前，必须通过物理一致性检验和安全约束过滤。“第二章提出的“四可”原则（机理可信、边界可控、场景可验、运维可溯）在AI增强场景下更加重要，而非相反。</w:t>
      </w:r>
    </w:p>
    <w:p w14:paraId="410311B1" w14:textId="77777777" w:rsidR="007E3FF8" w:rsidRDefault="00000000">
      <w:pPr>
        <w:ind w:firstLine="482"/>
        <w:rPr>
          <w:rFonts w:hint="eastAsia"/>
          <w:lang w:eastAsia="zh-CN"/>
        </w:rPr>
      </w:pPr>
      <w:r>
        <w:rPr>
          <w:lang w:eastAsia="zh-CN"/>
        </w:rPr>
        <w:t>第三层：明确定位。AI是加速器和增强工具，控制工程是安全基座和信任锚点。两者的关系可以类比为航空领域的“飞行员与自动驾驶”——自动驾驶仪大幅提升了飞行效率和安全性，但其行为始终受到飞行控制律和飞行包线保护的严格约束[48]。水利领域的AI应用也应遵循同样的原则：AI可以辅助决策甚至在ODD内自主决策，但其决策空间必须被物理约束和安全规则严格界定。</w:t>
      </w:r>
    </w:p>
    <w:p w14:paraId="2DCA7B88" w14:textId="2F3B67E9" w:rsidR="007E3FF8" w:rsidRDefault="00000000">
      <w:pPr>
        <w:spacing w:before="200" w:after="160"/>
        <w:rPr>
          <w:rFonts w:hint="eastAsia"/>
          <w:lang w:eastAsia="zh-CN"/>
        </w:rPr>
      </w:pPr>
      <w:r>
        <w:rPr>
          <w:b/>
          <w:lang w:eastAsia="zh-CN"/>
        </w:rPr>
        <w:t xml:space="preserve">3.8.3 </w:t>
      </w:r>
      <w:r w:rsidR="005735B9">
        <w:rPr>
          <w:rFonts w:hint="eastAsia"/>
          <w:b/>
          <w:lang w:eastAsia="zh-CN"/>
        </w:rPr>
        <w:t>水网</w:t>
      </w:r>
      <w:r>
        <w:rPr>
          <w:b/>
          <w:lang w:eastAsia="zh-CN"/>
        </w:rPr>
        <w:t>大模型的“物理AI+认知AI”双引擎架构</w:t>
      </w:r>
    </w:p>
    <w:p w14:paraId="4BF1EE24" w14:textId="59AFC0B3" w:rsidR="007E3FF8" w:rsidRDefault="00000000">
      <w:pPr>
        <w:ind w:firstLine="482"/>
        <w:rPr>
          <w:rFonts w:hint="eastAsia"/>
          <w:lang w:eastAsia="zh-CN"/>
        </w:rPr>
      </w:pPr>
      <w:r>
        <w:rPr>
          <w:lang w:eastAsia="zh-CN"/>
        </w:rPr>
        <w:t>基于“AI增强控制工程”的定位，</w:t>
      </w:r>
      <w:r w:rsidR="005735B9">
        <w:rPr>
          <w:rFonts w:hint="eastAsia"/>
          <w:lang w:eastAsia="zh-CN"/>
        </w:rPr>
        <w:t>我们</w:t>
      </w:r>
      <w:r>
        <w:rPr>
          <w:lang w:eastAsia="zh-CN"/>
        </w:rPr>
        <w:t>提出了</w:t>
      </w:r>
      <w:r w:rsidR="005735B9">
        <w:rPr>
          <w:rFonts w:hint="eastAsia"/>
          <w:lang w:eastAsia="zh-CN"/>
        </w:rPr>
        <w:t>水网</w:t>
      </w:r>
      <w:r w:rsidR="005735B9">
        <w:rPr>
          <w:lang w:eastAsia="zh-CN"/>
        </w:rPr>
        <w:t>大模型</w:t>
      </w:r>
      <w:r w:rsidR="005735B9">
        <w:rPr>
          <w:rFonts w:hint="eastAsia"/>
          <w:lang w:eastAsia="zh-CN"/>
        </w:rPr>
        <w:t>需要有</w:t>
      </w:r>
      <w:r>
        <w:rPr>
          <w:lang w:eastAsia="zh-CN"/>
        </w:rPr>
        <w:t>“物理AI引擎+认知AI引擎”的双引擎架构[2]。物理AI引擎以水力学机理模型（Saint-</w:t>
      </w:r>
      <w:proofErr w:type="spellStart"/>
      <w:r>
        <w:rPr>
          <w:lang w:eastAsia="zh-CN"/>
        </w:rPr>
        <w:t>Venant</w:t>
      </w:r>
      <w:proofErr w:type="spellEnd"/>
      <w:r>
        <w:rPr>
          <w:lang w:eastAsia="zh-CN"/>
        </w:rPr>
        <w:t>方程、管网水力方程等）为核心，负责状态重构、预测和闭环控制——其输出具有物理可解释性和约束保证性。认知AI引擎以大语言模型和深度学习为核心，负责知识管理、智能运维、人机交互和场景生成——其输出具有灵活性和创造性，但不直接进入安全关键的控制回路。</w:t>
      </w:r>
    </w:p>
    <w:p w14:paraId="1B49BDD6" w14:textId="77777777" w:rsidR="007E3FF8" w:rsidRDefault="00000000">
      <w:pPr>
        <w:ind w:firstLine="482"/>
        <w:rPr>
          <w:rFonts w:hint="eastAsia"/>
          <w:lang w:eastAsia="zh-CN"/>
        </w:rPr>
      </w:pPr>
      <w:r>
        <w:rPr>
          <w:lang w:eastAsia="zh-CN"/>
        </w:rPr>
        <w:t>双引擎架构的核心设计原则是“安全关键路径与辅助路径的严格分离”。在安全关键路径上，只有经过SIL/HIL验证的物理AI引擎输出才能驱动执行机构；认知AI引擎的输出必须经过物理AI引擎的“安全过滤器”检验后才能影响控制决策。这种架构确保了系统在享受AI技术红利的同时，不会因为AI的不确定性而引入新的安全风险。这一架构思想与自动驾驶领域的“安全核（Safety Kernel）”概念一脉相承[46]，也与航空领域的“多重冗余”设计理念异曲同工。</w:t>
      </w:r>
    </w:p>
    <w:p w14:paraId="77047DA6" w14:textId="77777777" w:rsidR="007E3FF8" w:rsidRDefault="00000000">
      <w:pPr>
        <w:spacing w:before="280" w:after="200"/>
        <w:rPr>
          <w:rFonts w:hint="eastAsia"/>
          <w:lang w:eastAsia="zh-CN"/>
        </w:rPr>
      </w:pPr>
      <w:r>
        <w:rPr>
          <w:b/>
          <w:sz w:val="28"/>
          <w:lang w:eastAsia="zh-CN"/>
        </w:rPr>
        <w:t>3.9 本章小结</w:t>
      </w:r>
    </w:p>
    <w:p w14:paraId="02555161" w14:textId="77777777" w:rsidR="007E3FF8" w:rsidRDefault="00000000">
      <w:pPr>
        <w:ind w:firstLine="482"/>
        <w:rPr>
          <w:rFonts w:hint="eastAsia"/>
          <w:lang w:eastAsia="zh-CN"/>
        </w:rPr>
      </w:pPr>
      <w:r>
        <w:rPr>
          <w:lang w:eastAsia="zh-CN"/>
        </w:rPr>
        <w:t>本章围绕水利行业智能化的学科基础和发展路径，建立了以下核心认识：</w:t>
      </w:r>
    </w:p>
    <w:p w14:paraId="1E1FA452" w14:textId="5DF865ED" w:rsidR="007E3FF8" w:rsidRDefault="00000000">
      <w:pPr>
        <w:ind w:firstLine="482"/>
        <w:rPr>
          <w:rFonts w:hint="eastAsia"/>
          <w:lang w:eastAsia="zh-CN"/>
        </w:rPr>
      </w:pPr>
      <w:r>
        <w:rPr>
          <w:lang w:eastAsia="zh-CN"/>
        </w:rPr>
        <w:t>第一，明确了智慧水利的第一性原理：学科对象是“可控的水系统”而非“水”本身，</w:t>
      </w:r>
      <w:proofErr w:type="spellStart"/>
      <w:r w:rsidR="005735B9">
        <w:t>并在此基础上提出“水系统控制论（Cybernetics</w:t>
      </w:r>
      <w:proofErr w:type="spellEnd"/>
      <w:r w:rsidR="005735B9">
        <w:t xml:space="preserve"> of Hydro Systems）”</w:t>
      </w:r>
      <w:proofErr w:type="spellStart"/>
      <w:r w:rsidR="005735B9">
        <w:t>作为智慧水利的学科基础</w:t>
      </w:r>
      <w:proofErr w:type="spellEnd"/>
      <w:r w:rsidR="005735B9">
        <w:t>。</w:t>
      </w:r>
      <w:r w:rsidR="005735B9">
        <w:rPr>
          <w:lang w:eastAsia="zh-CN"/>
        </w:rPr>
        <w:t>水系统控制论区别于一般意义上的水系统控制实践，它为技术体系的构建提供了理论锚点，其四大基本原理——反馈、解耦、降阶、涌现——在水系统中有着清晰的映射。</w:t>
      </w:r>
    </w:p>
    <w:p w14:paraId="3EEFAC77" w14:textId="77777777" w:rsidR="007E3FF8" w:rsidRDefault="00000000">
      <w:pPr>
        <w:ind w:firstLine="482"/>
        <w:rPr>
          <w:rFonts w:hint="eastAsia"/>
          <w:lang w:eastAsia="zh-CN"/>
        </w:rPr>
      </w:pPr>
      <w:r>
        <w:rPr>
          <w:lang w:eastAsia="zh-CN"/>
        </w:rPr>
        <w:lastRenderedPageBreak/>
        <w:t>第二，深入剖析了“重建轻管”的结构性机制。从系统动力学视角揭示了“建设投资→可见成果→正向评价→更多建设投资”的正反馈循环，以及由此导致的运行约束形式化缺失、状态可知性缺失和验证体系缺失三类关键能力的系统性缺位，其直接后果是“有数字、无智能”的行业困境。</w:t>
      </w:r>
    </w:p>
    <w:p w14:paraId="0BB83770" w14:textId="77777777" w:rsidR="007E3FF8" w:rsidRDefault="00000000">
      <w:pPr>
        <w:ind w:firstLine="482"/>
        <w:rPr>
          <w:rFonts w:hint="eastAsia"/>
          <w:lang w:eastAsia="zh-CN"/>
        </w:rPr>
      </w:pPr>
      <w:r>
        <w:rPr>
          <w:lang w:eastAsia="zh-CN"/>
        </w:rPr>
        <w:t>第三，识别了水利教育体系在“运行科学”方面的系统性空白，提出了涵盖状态估计、系统辨识、模型预测控制、鲁棒优化和安全验证五大模块的课程补齐建议。</w:t>
      </w:r>
    </w:p>
    <w:p w14:paraId="35336DE0" w14:textId="77777777" w:rsidR="007E3FF8" w:rsidRDefault="00000000">
      <w:pPr>
        <w:ind w:firstLine="482"/>
        <w:rPr>
          <w:rFonts w:hint="eastAsia"/>
          <w:lang w:eastAsia="zh-CN"/>
        </w:rPr>
      </w:pPr>
      <w:r>
        <w:rPr>
          <w:lang w:eastAsia="zh-CN"/>
        </w:rPr>
        <w:t>第四，通过与汽车、航空、电力三大行业以及荷兰、以色列、新加坡、英国、澳大利亚五个国际案例的系统性对标，明确了差距的核心在于“工程准入包”的缺失，而非数字化基础设施的不足。同时对涉水领域内部（水电、水务、水利）进行了横向比较，指出水利行业虽然面临最严峻的挑战，但其技术突破的外溢价值也最大。</w:t>
      </w:r>
    </w:p>
    <w:p w14:paraId="110AE7F8" w14:textId="77777777" w:rsidR="007E3FF8" w:rsidRDefault="00000000">
      <w:pPr>
        <w:ind w:firstLine="482"/>
        <w:rPr>
          <w:rFonts w:hint="eastAsia"/>
          <w:lang w:eastAsia="zh-CN"/>
        </w:rPr>
      </w:pPr>
      <w:r>
        <w:rPr>
          <w:lang w:eastAsia="zh-CN"/>
        </w:rPr>
        <w:t>第五，构建了水利行业智能化落后的“四维根因图谱”（体制-机制-技术-政策），提出以“工程准入包”（ODD承诺书+约束模板库+场景库+SIL/HIL证据链）作为核心抓手的战略路径。</w:t>
      </w:r>
    </w:p>
    <w:p w14:paraId="6A71D468" w14:textId="77777777" w:rsidR="007E3FF8" w:rsidRDefault="00000000">
      <w:pPr>
        <w:ind w:firstLine="482"/>
        <w:rPr>
          <w:rFonts w:hint="eastAsia"/>
          <w:lang w:eastAsia="zh-CN"/>
        </w:rPr>
      </w:pPr>
      <w:r>
        <w:rPr>
          <w:lang w:eastAsia="zh-CN"/>
        </w:rPr>
        <w:t>第六，在AGI/Agentic AI快速发展的背景下，提出了“AI增强控制工程”的定位框架——AI是加速器和增强工具，控制工程是安全基座和信任锚点。这一定位确保水利行业既能充分利用AI技术红利，又不因激进采用未经验证的AI技术而引入新的安全风险。</w:t>
      </w:r>
    </w:p>
    <w:p w14:paraId="2BEE8647" w14:textId="77777777" w:rsidR="007E3FF8" w:rsidRDefault="00000000">
      <w:pPr>
        <w:ind w:firstLine="482"/>
        <w:rPr>
          <w:rFonts w:hint="eastAsia"/>
          <w:lang w:eastAsia="zh-CN"/>
        </w:rPr>
      </w:pPr>
      <w:r>
        <w:rPr>
          <w:lang w:eastAsia="zh-CN"/>
        </w:rPr>
        <w:t>上述分析为后续各章提供了问题背景和改进方向。第四章将从总体架构角度，阐述天河大模型如何系统性地回应本章识别的各项挑战。</w:t>
      </w:r>
    </w:p>
    <w:p w14:paraId="78A22C3A" w14:textId="77777777" w:rsidR="007E3FF8" w:rsidRDefault="00000000">
      <w:pPr>
        <w:rPr>
          <w:rFonts w:hint="eastAsia"/>
          <w:lang w:eastAsia="zh-CN"/>
        </w:rPr>
      </w:pPr>
      <w:r>
        <w:rPr>
          <w:lang w:eastAsia="zh-CN"/>
        </w:rPr>
        <w:br w:type="page"/>
      </w:r>
    </w:p>
    <w:p w14:paraId="0087B67E" w14:textId="77777777" w:rsidR="007E3FF8" w:rsidRDefault="00000000">
      <w:pPr>
        <w:spacing w:before="280" w:after="200"/>
        <w:rPr>
          <w:rFonts w:hint="eastAsia"/>
        </w:rPr>
      </w:pPr>
      <w:proofErr w:type="spellStart"/>
      <w:r>
        <w:rPr>
          <w:b/>
          <w:sz w:val="28"/>
        </w:rPr>
        <w:lastRenderedPageBreak/>
        <w:t>第三章参考文献</w:t>
      </w:r>
      <w:proofErr w:type="spellEnd"/>
    </w:p>
    <w:p w14:paraId="7170B857" w14:textId="77777777" w:rsidR="007E3FF8" w:rsidRDefault="00000000">
      <w:pPr>
        <w:spacing w:before="30" w:after="30" w:line="360" w:lineRule="exact"/>
        <w:ind w:left="482" w:hanging="482"/>
        <w:rPr>
          <w:rFonts w:hint="eastAsia"/>
        </w:rPr>
      </w:pPr>
      <w:r>
        <w:rPr>
          <w:sz w:val="21"/>
        </w:rPr>
        <w:t>[1] Aristotle. Metaphysics[M]. Trans. W. D. Ross. Oxford: Clarendon Press, 350 BC/1924.</w:t>
      </w:r>
    </w:p>
    <w:p w14:paraId="0C5CE722" w14:textId="77777777" w:rsidR="007E3FF8" w:rsidRDefault="00000000">
      <w:pPr>
        <w:spacing w:before="30" w:after="30" w:line="360" w:lineRule="exact"/>
        <w:ind w:left="482" w:hanging="482"/>
        <w:rPr>
          <w:rFonts w:hint="eastAsia"/>
        </w:rPr>
      </w:pPr>
      <w:r>
        <w:rPr>
          <w:sz w:val="21"/>
        </w:rPr>
        <w:t>[2] 雷晓辉, 蒋云钟, 王浩, 等. 水系统控制论: 从智能调控到自主运行[J]. 中国科学: 技术科学, 2024.</w:t>
      </w:r>
    </w:p>
    <w:p w14:paraId="631BB63A" w14:textId="77777777" w:rsidR="007E3FF8" w:rsidRDefault="00000000">
      <w:pPr>
        <w:spacing w:before="30" w:after="30" w:line="360" w:lineRule="exact"/>
        <w:ind w:left="482" w:hanging="482"/>
        <w:rPr>
          <w:rFonts w:hint="eastAsia"/>
        </w:rPr>
      </w:pPr>
      <w:r>
        <w:rPr>
          <w:sz w:val="21"/>
        </w:rPr>
        <w:t>[3] Wiener N. Cybernetics: Or Control and Communication in the Animal and the Machine[M]. Cambridge: MIT Press, 1948.</w:t>
      </w:r>
    </w:p>
    <w:p w14:paraId="392AB5B9" w14:textId="77777777" w:rsidR="007E3FF8" w:rsidRDefault="00000000">
      <w:pPr>
        <w:spacing w:before="30" w:after="30" w:line="360" w:lineRule="exact"/>
        <w:ind w:left="482" w:hanging="482"/>
        <w:rPr>
          <w:rFonts w:hint="eastAsia"/>
        </w:rPr>
      </w:pPr>
      <w:r>
        <w:rPr>
          <w:sz w:val="21"/>
        </w:rPr>
        <w:t>[4] 钱学森. 工程控制论[M]. 北京: 科学出版社, 1954. (修订版: 上海交通大学出版社, 1980)</w:t>
      </w:r>
    </w:p>
    <w:p w14:paraId="368A4E34" w14:textId="77777777" w:rsidR="007E3FF8" w:rsidRDefault="00000000">
      <w:pPr>
        <w:spacing w:before="30" w:after="30" w:line="360" w:lineRule="exact"/>
        <w:ind w:left="482" w:hanging="482"/>
        <w:rPr>
          <w:rFonts w:hint="eastAsia"/>
        </w:rPr>
      </w:pPr>
      <w:r>
        <w:rPr>
          <w:sz w:val="21"/>
        </w:rPr>
        <w:t>[5] IWA (International Water Association). Digital Water: Industry Leaders Chart the Transformation Journey[R]. London: IWA Publishing, 2019.</w:t>
      </w:r>
    </w:p>
    <w:p w14:paraId="72E6EC1E" w14:textId="77777777" w:rsidR="007E3FF8" w:rsidRDefault="00000000">
      <w:pPr>
        <w:spacing w:before="30" w:after="30" w:line="360" w:lineRule="exact"/>
        <w:ind w:left="482" w:hanging="482"/>
        <w:rPr>
          <w:rFonts w:hint="eastAsia"/>
        </w:rPr>
      </w:pPr>
      <w:r>
        <w:rPr>
          <w:sz w:val="21"/>
        </w:rPr>
        <w:t>[6] Åström K J, Murray R M. Feedback Systems: An Introduction for Scientists and Engineers[M]. 2nd ed. Princeton: Princeton University Press, 2021.</w:t>
      </w:r>
    </w:p>
    <w:p w14:paraId="1FFD22D4" w14:textId="77777777" w:rsidR="007E3FF8" w:rsidRDefault="00000000">
      <w:pPr>
        <w:spacing w:before="30" w:after="30" w:line="360" w:lineRule="exact"/>
        <w:ind w:left="482" w:hanging="482"/>
        <w:rPr>
          <w:rFonts w:hint="eastAsia"/>
        </w:rPr>
      </w:pPr>
      <w:r>
        <w:rPr>
          <w:sz w:val="21"/>
        </w:rPr>
        <w:t>[7] Negenborn R R, van Overloop P J, Keviczky T, et al. Distributed model predictive control of irrigation canals[J]. Networks and Heterogeneous Media, 2009, 4(2): 359-380.</w:t>
      </w:r>
    </w:p>
    <w:p w14:paraId="4D2DD018" w14:textId="77777777" w:rsidR="007E3FF8" w:rsidRDefault="00000000">
      <w:pPr>
        <w:spacing w:before="30" w:after="30" w:line="360" w:lineRule="exact"/>
        <w:ind w:left="482" w:hanging="482"/>
        <w:rPr>
          <w:rFonts w:hint="eastAsia"/>
        </w:rPr>
      </w:pPr>
      <w:r>
        <w:rPr>
          <w:sz w:val="21"/>
        </w:rPr>
        <w:t>[8] Antoulas A C. Approximation of Large-Scale Dynamical Systems[M]. Philadelphia: SIAM, 2005.</w:t>
      </w:r>
    </w:p>
    <w:p w14:paraId="71950195" w14:textId="77777777" w:rsidR="007E3FF8" w:rsidRDefault="00000000">
      <w:pPr>
        <w:spacing w:before="30" w:after="30" w:line="360" w:lineRule="exact"/>
        <w:ind w:left="482" w:hanging="482"/>
        <w:rPr>
          <w:rFonts w:hint="eastAsia"/>
        </w:rPr>
      </w:pPr>
      <w:r>
        <w:rPr>
          <w:sz w:val="21"/>
        </w:rPr>
        <w:t>[9] Holland J H. Emergence: From Chaos to Order[M]. New York: Basic Books, 1998.</w:t>
      </w:r>
    </w:p>
    <w:p w14:paraId="7C6A9B4D" w14:textId="77777777" w:rsidR="007E3FF8" w:rsidRDefault="00000000">
      <w:pPr>
        <w:spacing w:before="30" w:after="30" w:line="360" w:lineRule="exact"/>
        <w:ind w:left="482" w:hanging="482"/>
        <w:rPr>
          <w:rFonts w:hint="eastAsia"/>
        </w:rPr>
      </w:pPr>
      <w:r>
        <w:rPr>
          <w:sz w:val="21"/>
        </w:rPr>
        <w:t>[10] Leveson N G. Engineering a Safer World: Systems Thinking Applied to Safety[M]. Cambridge: MIT Press, 2011.</w:t>
      </w:r>
    </w:p>
    <w:p w14:paraId="20D4C1A6" w14:textId="77777777" w:rsidR="007E3FF8" w:rsidRDefault="00000000">
      <w:pPr>
        <w:spacing w:before="30" w:after="30" w:line="360" w:lineRule="exact"/>
        <w:ind w:left="482" w:hanging="482"/>
        <w:rPr>
          <w:rFonts w:hint="eastAsia"/>
          <w:lang w:eastAsia="zh-CN"/>
        </w:rPr>
      </w:pPr>
      <w:r>
        <w:rPr>
          <w:sz w:val="21"/>
        </w:rPr>
        <w:t xml:space="preserve">[11] Sterman J D. Business Dynamics: Systems Thinking and Modeling for a Complex World[M]. </w:t>
      </w:r>
      <w:r>
        <w:rPr>
          <w:sz w:val="21"/>
          <w:lang w:eastAsia="zh-CN"/>
        </w:rPr>
        <w:t>Boston: McGraw-Hill, 2000.</w:t>
      </w:r>
    </w:p>
    <w:p w14:paraId="1D15CDB5" w14:textId="77777777" w:rsidR="007E3FF8" w:rsidRDefault="00000000">
      <w:pPr>
        <w:spacing w:before="30" w:after="30" w:line="360" w:lineRule="exact"/>
        <w:ind w:left="482" w:hanging="482"/>
        <w:rPr>
          <w:rFonts w:hint="eastAsia"/>
          <w:lang w:eastAsia="zh-CN"/>
        </w:rPr>
      </w:pPr>
      <w:r>
        <w:rPr>
          <w:sz w:val="21"/>
          <w:lang w:eastAsia="zh-CN"/>
        </w:rPr>
        <w:t>[12] 水利部. 全国水利工程运行维护费用调查报告[R]. 北京, 2021.</w:t>
      </w:r>
    </w:p>
    <w:p w14:paraId="68814868" w14:textId="77777777" w:rsidR="007E3FF8" w:rsidRDefault="00000000">
      <w:pPr>
        <w:spacing w:before="30" w:after="30" w:line="360" w:lineRule="exact"/>
        <w:ind w:left="482" w:hanging="482"/>
        <w:rPr>
          <w:rFonts w:hint="eastAsia"/>
          <w:lang w:eastAsia="zh-CN"/>
        </w:rPr>
      </w:pPr>
      <w:r>
        <w:rPr>
          <w:sz w:val="21"/>
          <w:lang w:eastAsia="zh-CN"/>
        </w:rPr>
        <w:t>[13] 雷晓辉, 廖卫红, 蒋云钟, 等. 水利智能化关键技术综述与展望[J]. 水利学报, 2023, 54(1): 1-13.</w:t>
      </w:r>
    </w:p>
    <w:p w14:paraId="42C3ABB4" w14:textId="77777777" w:rsidR="007E3FF8" w:rsidRDefault="00000000">
      <w:pPr>
        <w:spacing w:before="30" w:after="30" w:line="360" w:lineRule="exact"/>
        <w:ind w:left="482" w:hanging="482"/>
        <w:rPr>
          <w:rFonts w:hint="eastAsia"/>
          <w:lang w:eastAsia="zh-CN"/>
        </w:rPr>
      </w:pPr>
      <w:r>
        <w:rPr>
          <w:sz w:val="21"/>
          <w:lang w:eastAsia="zh-CN"/>
        </w:rPr>
        <w:t>[14] 穆祥鹏, 雷晓辉, 蒋云钟, 等. 南水北调中线一期工程自动化调度关键技术[J]. 南水北调与水利科技, 2020, 18(6): 190-198.</w:t>
      </w:r>
    </w:p>
    <w:p w14:paraId="679EDDC6" w14:textId="77777777" w:rsidR="007E3FF8" w:rsidRDefault="00000000">
      <w:pPr>
        <w:spacing w:before="30" w:after="30" w:line="360" w:lineRule="exact"/>
        <w:ind w:left="482" w:hanging="482"/>
        <w:rPr>
          <w:rFonts w:hint="eastAsia"/>
        </w:rPr>
      </w:pPr>
      <w:r>
        <w:rPr>
          <w:sz w:val="21"/>
        </w:rPr>
        <w:t>[15] Kalra N, Paddock S M. Driving to Safety: How Many Miles of Driving Would It Take to Demonstrate Autonomous Vehicle Reliability?[R]. Santa Monica: RAND Corporation, 2016.</w:t>
      </w:r>
    </w:p>
    <w:p w14:paraId="54AED669" w14:textId="77777777" w:rsidR="007E3FF8" w:rsidRDefault="00000000">
      <w:pPr>
        <w:spacing w:before="30" w:after="30" w:line="360" w:lineRule="exact"/>
        <w:ind w:left="482" w:hanging="482"/>
        <w:rPr>
          <w:rFonts w:hint="eastAsia"/>
        </w:rPr>
      </w:pPr>
      <w:r>
        <w:rPr>
          <w:sz w:val="21"/>
        </w:rPr>
        <w:t>[16] 水利部信息中心. 全国水利信息化统计分析报告[R]. 北京, 2023.</w:t>
      </w:r>
    </w:p>
    <w:p w14:paraId="5264600C" w14:textId="77777777" w:rsidR="007E3FF8" w:rsidRDefault="00000000">
      <w:pPr>
        <w:spacing w:before="30" w:after="30" w:line="360" w:lineRule="exact"/>
        <w:ind w:left="482" w:hanging="482"/>
        <w:rPr>
          <w:rFonts w:hint="eastAsia"/>
        </w:rPr>
      </w:pPr>
      <w:r>
        <w:rPr>
          <w:sz w:val="21"/>
        </w:rPr>
        <w:t>[17] Schön D A. The Reflective Practitioner: How Professionals Think in Action[M]. New York: Basic Books, 1983.</w:t>
      </w:r>
    </w:p>
    <w:p w14:paraId="6FC58765" w14:textId="77777777" w:rsidR="007E3FF8" w:rsidRDefault="00000000">
      <w:pPr>
        <w:spacing w:before="30" w:after="30" w:line="360" w:lineRule="exact"/>
        <w:ind w:left="482" w:hanging="482"/>
        <w:rPr>
          <w:rFonts w:hint="eastAsia"/>
        </w:rPr>
      </w:pPr>
      <w:r>
        <w:rPr>
          <w:sz w:val="21"/>
        </w:rPr>
        <w:t>[18] Bauer P, Thorpe A, Brunet G. The quiet revolution of numerical weather prediction[J]. Nature, 2015, 525(7567): 47-55.</w:t>
      </w:r>
    </w:p>
    <w:p w14:paraId="07E82222" w14:textId="77777777" w:rsidR="007E3FF8" w:rsidRDefault="00000000">
      <w:pPr>
        <w:spacing w:before="30" w:after="30" w:line="360" w:lineRule="exact"/>
        <w:ind w:left="482" w:hanging="482"/>
        <w:rPr>
          <w:rFonts w:hint="eastAsia"/>
        </w:rPr>
      </w:pPr>
      <w:r>
        <w:rPr>
          <w:sz w:val="21"/>
        </w:rPr>
        <w:t>[19] Rawlings J B, Mayne D Q, Diehl M. Model Predictive Control: Theory, Computation, and Design[M]. 2nd ed. Santa Barbara: Nob Hill Publishing, 2017.</w:t>
      </w:r>
    </w:p>
    <w:p w14:paraId="6F723051" w14:textId="77777777" w:rsidR="007E3FF8" w:rsidRDefault="00000000">
      <w:pPr>
        <w:spacing w:before="30" w:after="30" w:line="360" w:lineRule="exact"/>
        <w:ind w:left="482" w:hanging="482"/>
        <w:rPr>
          <w:rFonts w:hint="eastAsia"/>
        </w:rPr>
      </w:pPr>
      <w:r>
        <w:rPr>
          <w:sz w:val="21"/>
        </w:rPr>
        <w:lastRenderedPageBreak/>
        <w:t>[20] 教育部高等教育司. 普通高等学校本科专业目录(2024年版)[Z]. 北京, 2024.</w:t>
      </w:r>
    </w:p>
    <w:p w14:paraId="0AB47596" w14:textId="77777777" w:rsidR="007E3FF8" w:rsidRDefault="00000000">
      <w:pPr>
        <w:spacing w:before="30" w:after="30" w:line="360" w:lineRule="exact"/>
        <w:ind w:left="482" w:hanging="482"/>
        <w:rPr>
          <w:rFonts w:hint="eastAsia"/>
        </w:rPr>
      </w:pPr>
      <w:r>
        <w:rPr>
          <w:sz w:val="21"/>
        </w:rPr>
        <w:t>[21] Evensen G. The Ensemble Kalman Filter: theoretical formulation and practical implementation[J]. Ocean Dynamics, 2003, 53(4): 343-367.</w:t>
      </w:r>
    </w:p>
    <w:p w14:paraId="480FAD2B" w14:textId="77777777" w:rsidR="007E3FF8" w:rsidRDefault="00000000">
      <w:pPr>
        <w:spacing w:before="30" w:after="30" w:line="360" w:lineRule="exact"/>
        <w:ind w:left="482" w:hanging="482"/>
        <w:rPr>
          <w:rFonts w:hint="eastAsia"/>
        </w:rPr>
      </w:pPr>
      <w:r>
        <w:rPr>
          <w:sz w:val="21"/>
        </w:rPr>
        <w:t>[22] RTCA. Software Considerations in Airborne Systems and Equipment Certification: DO-178C[S]. Washington DC: RTCA, 2011.</w:t>
      </w:r>
    </w:p>
    <w:p w14:paraId="1C7334DF" w14:textId="77777777" w:rsidR="007E3FF8" w:rsidRDefault="00000000">
      <w:pPr>
        <w:spacing w:before="30" w:after="30" w:line="360" w:lineRule="exact"/>
        <w:ind w:left="482" w:hanging="482"/>
        <w:rPr>
          <w:rFonts w:hint="eastAsia"/>
        </w:rPr>
      </w:pPr>
      <w:r>
        <w:rPr>
          <w:sz w:val="21"/>
        </w:rPr>
        <w:t>[23] ISO. Road vehicles — Functional safety: ISO 26262[S]. Geneva: International Organization for Standardization, 2018.</w:t>
      </w:r>
    </w:p>
    <w:p w14:paraId="0AC01838" w14:textId="77777777" w:rsidR="007E3FF8" w:rsidRDefault="00000000">
      <w:pPr>
        <w:spacing w:before="30" w:after="30" w:line="360" w:lineRule="exact"/>
        <w:ind w:left="482" w:hanging="482"/>
        <w:rPr>
          <w:rFonts w:hint="eastAsia"/>
        </w:rPr>
      </w:pPr>
      <w:r>
        <w:rPr>
          <w:sz w:val="21"/>
        </w:rPr>
        <w:t>[24] Koopman P, Wagner M. Autonomous vehicle safety: An interdisciplinary challenge[J]. IEEE Intelligent Transportation Systems Magazine, 2017, 9(1): 90-96.</w:t>
      </w:r>
    </w:p>
    <w:p w14:paraId="066DE195" w14:textId="77777777" w:rsidR="007E3FF8" w:rsidRDefault="00000000">
      <w:pPr>
        <w:spacing w:before="30" w:after="30" w:line="360" w:lineRule="exact"/>
        <w:ind w:left="482" w:hanging="482"/>
        <w:rPr>
          <w:rFonts w:hint="eastAsia"/>
        </w:rPr>
      </w:pPr>
      <w:r>
        <w:rPr>
          <w:sz w:val="21"/>
        </w:rPr>
        <w:t>[25] IEC. Energy management system application program interface: IEC 61970[S]. Geneva: International Electrotechnical Commission, 2005.</w:t>
      </w:r>
    </w:p>
    <w:p w14:paraId="4073BE50" w14:textId="77777777" w:rsidR="007E3FF8" w:rsidRDefault="00000000">
      <w:pPr>
        <w:spacing w:before="30" w:after="30" w:line="360" w:lineRule="exact"/>
        <w:ind w:left="482" w:hanging="482"/>
        <w:rPr>
          <w:rFonts w:hint="eastAsia"/>
        </w:rPr>
      </w:pPr>
      <w:r>
        <w:rPr>
          <w:sz w:val="21"/>
        </w:rPr>
        <w:t>[26] Rijkswaterstaat. Maeslantkering Storm Surge Barrier: Design and Operation[R]. The Hague: Dutch Ministry of Infrastructure and Water Management, 2012.</w:t>
      </w:r>
    </w:p>
    <w:p w14:paraId="3358CAD8" w14:textId="77777777" w:rsidR="007E3FF8" w:rsidRDefault="00000000">
      <w:pPr>
        <w:spacing w:before="30" w:after="30" w:line="360" w:lineRule="exact"/>
        <w:ind w:left="482" w:hanging="482"/>
        <w:rPr>
          <w:rFonts w:hint="eastAsia"/>
        </w:rPr>
      </w:pPr>
      <w:r>
        <w:rPr>
          <w:sz w:val="21"/>
        </w:rPr>
        <w:t>[27] van Overloop P J, Clemmens A J, Strand R J, et al. Real-time implementation of model predictive control on Maricopa-Stanfield Irrigation and Drainage District’s WM Canal[J]. Journal of Irrigation and Drainage Engineering, 2010, 136(11): 747-756.</w:t>
      </w:r>
    </w:p>
    <w:p w14:paraId="706A9AC1" w14:textId="77777777" w:rsidR="007E3FF8" w:rsidRDefault="00000000">
      <w:pPr>
        <w:spacing w:before="30" w:after="30" w:line="360" w:lineRule="exact"/>
        <w:ind w:left="482" w:hanging="482"/>
        <w:rPr>
          <w:rFonts w:hint="eastAsia"/>
        </w:rPr>
      </w:pPr>
      <w:r>
        <w:rPr>
          <w:sz w:val="21"/>
        </w:rPr>
        <w:t>[28] Mekorot. Annual Report 2022: Innovation in Water Management[R]. Tel Aviv: Mekorot National Water Company, 2023.</w:t>
      </w:r>
    </w:p>
    <w:p w14:paraId="44BFD998" w14:textId="77777777" w:rsidR="007E3FF8" w:rsidRDefault="00000000">
      <w:pPr>
        <w:spacing w:before="30" w:after="30" w:line="360" w:lineRule="exact"/>
        <w:ind w:left="482" w:hanging="482"/>
        <w:rPr>
          <w:rFonts w:hint="eastAsia"/>
        </w:rPr>
      </w:pPr>
      <w:r>
        <w:rPr>
          <w:sz w:val="21"/>
        </w:rPr>
        <w:t>[29] PUB Singapore. Smart Water Grid: Annual Report 2023[R]. Singapore: Public Utilities Board, 2023.</w:t>
      </w:r>
    </w:p>
    <w:p w14:paraId="0F0B8340" w14:textId="77777777" w:rsidR="007E3FF8" w:rsidRDefault="00000000">
      <w:pPr>
        <w:spacing w:before="30" w:after="30" w:line="360" w:lineRule="exact"/>
        <w:ind w:left="482" w:hanging="482"/>
        <w:rPr>
          <w:rFonts w:hint="eastAsia"/>
        </w:rPr>
      </w:pPr>
      <w:r>
        <w:rPr>
          <w:sz w:val="21"/>
        </w:rPr>
        <w:t>[30] Karniadakis G E, Kevrekidis I G, Lu L, et al. Physics-informed machine learning[J]. Nature Reviews Physics, 2021, 3(6): 422-440.</w:t>
      </w:r>
    </w:p>
    <w:p w14:paraId="47B6D85C" w14:textId="77777777" w:rsidR="007E3FF8" w:rsidRDefault="00000000">
      <w:pPr>
        <w:spacing w:before="30" w:after="30" w:line="360" w:lineRule="exact"/>
        <w:ind w:left="482" w:hanging="482"/>
        <w:rPr>
          <w:rFonts w:hint="eastAsia"/>
        </w:rPr>
      </w:pPr>
      <w:r>
        <w:rPr>
          <w:sz w:val="21"/>
        </w:rPr>
        <w:t>[31] Ofwat. Service Delivery Report 2022–23: Thames Water[R]. Birmingham: Water Services Regulation Authority, 2023.</w:t>
      </w:r>
    </w:p>
    <w:p w14:paraId="4C971E68" w14:textId="77777777" w:rsidR="007E3FF8" w:rsidRDefault="00000000">
      <w:pPr>
        <w:spacing w:before="30" w:after="30" w:line="360" w:lineRule="exact"/>
        <w:ind w:left="482" w:hanging="482"/>
        <w:rPr>
          <w:rFonts w:hint="eastAsia"/>
        </w:rPr>
      </w:pPr>
      <w:r>
        <w:rPr>
          <w:sz w:val="21"/>
        </w:rPr>
        <w:t>[32] MDBA (Murray-Darling Basin Authority). Basin Plan Annual Report 2022–23[R]. Canberra: MDBA, 2023.</w:t>
      </w:r>
    </w:p>
    <w:p w14:paraId="5C766594" w14:textId="77777777" w:rsidR="007E3FF8" w:rsidRDefault="00000000">
      <w:pPr>
        <w:spacing w:before="30" w:after="30" w:line="360" w:lineRule="exact"/>
        <w:ind w:left="482" w:hanging="482"/>
        <w:rPr>
          <w:rFonts w:hint="eastAsia"/>
        </w:rPr>
      </w:pPr>
      <w:r>
        <w:rPr>
          <w:sz w:val="21"/>
        </w:rPr>
        <w:t>[33] Kundur P. Power System Stability and Control[M]. New York: McGraw-Hill, 1994.</w:t>
      </w:r>
    </w:p>
    <w:p w14:paraId="4523CAE3" w14:textId="77777777" w:rsidR="007E3FF8" w:rsidRDefault="00000000">
      <w:pPr>
        <w:spacing w:before="30" w:after="30" w:line="360" w:lineRule="exact"/>
        <w:ind w:left="482" w:hanging="482"/>
        <w:rPr>
          <w:rFonts w:hint="eastAsia"/>
        </w:rPr>
      </w:pPr>
      <w:r>
        <w:rPr>
          <w:sz w:val="21"/>
        </w:rPr>
        <w:t>[34] 深圳市水务集团. 智慧水务建设实践报告[R]. 深圳, 2023.</w:t>
      </w:r>
    </w:p>
    <w:p w14:paraId="092B446E" w14:textId="77777777" w:rsidR="007E3FF8" w:rsidRDefault="00000000">
      <w:pPr>
        <w:spacing w:before="30" w:after="30" w:line="360" w:lineRule="exact"/>
        <w:ind w:left="482" w:hanging="482"/>
        <w:rPr>
          <w:rFonts w:hint="eastAsia"/>
        </w:rPr>
      </w:pPr>
      <w:r>
        <w:rPr>
          <w:sz w:val="21"/>
        </w:rPr>
        <w:t>[35] Kingdom B, Liemberger R, Marin P. The Challenge of Reducing Non-Revenue Water in Developing Countries[R]. Washington DC: World Bank, 2006.</w:t>
      </w:r>
    </w:p>
    <w:p w14:paraId="5BECDAE5" w14:textId="77777777" w:rsidR="007E3FF8" w:rsidRDefault="00000000">
      <w:pPr>
        <w:spacing w:before="30" w:after="30" w:line="360" w:lineRule="exact"/>
        <w:ind w:left="482" w:hanging="482"/>
        <w:rPr>
          <w:rFonts w:hint="eastAsia"/>
        </w:rPr>
      </w:pPr>
      <w:r>
        <w:rPr>
          <w:sz w:val="21"/>
        </w:rPr>
        <w:t>[36] 王浩, 雷晓辉. 国家水网智能调控技术体系研究[J]. 中国水利, 2024.</w:t>
      </w:r>
    </w:p>
    <w:p w14:paraId="2896601B" w14:textId="77777777" w:rsidR="007E3FF8" w:rsidRDefault="00000000">
      <w:pPr>
        <w:spacing w:before="30" w:after="30" w:line="360" w:lineRule="exact"/>
        <w:ind w:left="482" w:hanging="482"/>
        <w:rPr>
          <w:rFonts w:hint="eastAsia"/>
        </w:rPr>
      </w:pPr>
      <w:r>
        <w:rPr>
          <w:sz w:val="21"/>
        </w:rPr>
        <w:t>[37] 国务院. 深化党和国家机构改革方案[Z]. 北京, 2023.</w:t>
      </w:r>
    </w:p>
    <w:p w14:paraId="2BF1A847" w14:textId="77777777" w:rsidR="007E3FF8" w:rsidRDefault="00000000">
      <w:pPr>
        <w:spacing w:before="30" w:after="30" w:line="360" w:lineRule="exact"/>
        <w:ind w:left="482" w:hanging="482"/>
        <w:rPr>
          <w:rFonts w:hint="eastAsia"/>
        </w:rPr>
      </w:pPr>
      <w:r>
        <w:rPr>
          <w:sz w:val="21"/>
        </w:rPr>
        <w:t>[38] IWA. Digital Transformation: A Framework for Water Utilities[R]. London: IWA Publishing, 2022.</w:t>
      </w:r>
    </w:p>
    <w:p w14:paraId="70D175AB" w14:textId="77777777" w:rsidR="007E3FF8" w:rsidRDefault="00000000">
      <w:pPr>
        <w:spacing w:before="30" w:after="30" w:line="360" w:lineRule="exact"/>
        <w:ind w:left="482" w:hanging="482"/>
        <w:rPr>
          <w:rFonts w:hint="eastAsia"/>
        </w:rPr>
      </w:pPr>
      <w:r>
        <w:rPr>
          <w:sz w:val="21"/>
        </w:rPr>
        <w:t>[39] 雷晓辉. 水网自主运行技术体系与发展路径[J]. 中国水利, 2024.</w:t>
      </w:r>
    </w:p>
    <w:p w14:paraId="2E9C2512" w14:textId="77777777" w:rsidR="007E3FF8" w:rsidRDefault="00000000">
      <w:pPr>
        <w:spacing w:before="30" w:after="30" w:line="360" w:lineRule="exact"/>
        <w:ind w:left="482" w:hanging="482"/>
        <w:rPr>
          <w:rFonts w:hint="eastAsia"/>
        </w:rPr>
      </w:pPr>
      <w:r>
        <w:rPr>
          <w:sz w:val="21"/>
        </w:rPr>
        <w:t>[40] Ben-Tal A, El Ghaoui L, Nemirovski A. Robust Optimization[M]. Princeton: Princeton University Press, 2009.</w:t>
      </w:r>
    </w:p>
    <w:p w14:paraId="3746F86F" w14:textId="77777777" w:rsidR="007E3FF8" w:rsidRDefault="00000000">
      <w:pPr>
        <w:spacing w:before="30" w:after="30" w:line="360" w:lineRule="exact"/>
        <w:ind w:left="482" w:hanging="482"/>
        <w:rPr>
          <w:rFonts w:hint="eastAsia"/>
        </w:rPr>
      </w:pPr>
      <w:r>
        <w:rPr>
          <w:sz w:val="21"/>
        </w:rPr>
        <w:lastRenderedPageBreak/>
        <w:t>[41] Raji I D, Smart A, White R N, et al. Closing the AI accountability gap: Defining an end-to-end framework for internal algorithmic auditing[C]// FAT* Conference. Barcelona: ACM, 2020: 33-44.</w:t>
      </w:r>
    </w:p>
    <w:p w14:paraId="38B58C72" w14:textId="77777777" w:rsidR="007E3FF8" w:rsidRDefault="00000000">
      <w:pPr>
        <w:spacing w:before="30" w:after="30" w:line="360" w:lineRule="exact"/>
        <w:ind w:left="482" w:hanging="482"/>
        <w:rPr>
          <w:rFonts w:hint="eastAsia"/>
        </w:rPr>
      </w:pPr>
      <w:r>
        <w:rPr>
          <w:sz w:val="21"/>
        </w:rPr>
        <w:t>[42] 国务院. 国家水网建设规划纲要[Z]. 北京, 2023.</w:t>
      </w:r>
    </w:p>
    <w:p w14:paraId="27D9CE41" w14:textId="77777777" w:rsidR="007E3FF8" w:rsidRDefault="00000000">
      <w:pPr>
        <w:spacing w:before="30" w:after="30" w:line="360" w:lineRule="exact"/>
        <w:ind w:left="482" w:hanging="482"/>
        <w:rPr>
          <w:rFonts w:hint="eastAsia"/>
        </w:rPr>
      </w:pPr>
      <w:r>
        <w:rPr>
          <w:sz w:val="21"/>
        </w:rPr>
        <w:t>[43] Koopman P, Wagner M. Challenges in autonomous vehicle testing and validation[J]. SAE International Journal of Transportation Safety, 2016, 4(1): 15-24.</w:t>
      </w:r>
    </w:p>
    <w:p w14:paraId="69CA491C" w14:textId="77777777" w:rsidR="007E3FF8" w:rsidRDefault="00000000">
      <w:pPr>
        <w:spacing w:before="30" w:after="30" w:line="360" w:lineRule="exact"/>
        <w:ind w:left="482" w:hanging="482"/>
        <w:rPr>
          <w:rFonts w:hint="eastAsia"/>
        </w:rPr>
      </w:pPr>
      <w:r>
        <w:rPr>
          <w:sz w:val="21"/>
        </w:rPr>
        <w:t>[44] Isermann R. Fault-Diagnosis Systems: An Introduction from Fault Detection to Fault Tolerance[M]. Berlin: Springer, 2006.</w:t>
      </w:r>
    </w:p>
    <w:p w14:paraId="1063AB8A" w14:textId="77777777" w:rsidR="007E3FF8" w:rsidRDefault="00000000">
      <w:pPr>
        <w:spacing w:before="30" w:after="30" w:line="360" w:lineRule="exact"/>
        <w:ind w:left="482" w:hanging="482"/>
        <w:rPr>
          <w:rFonts w:hint="eastAsia"/>
        </w:rPr>
      </w:pPr>
      <w:r>
        <w:rPr>
          <w:sz w:val="21"/>
        </w:rPr>
        <w:t>[45] Wang L, Jia R, et al. A survey on large language model based autonomous agents[J]. Frontiers of Computer Science, 2024, 18(6): 186345.</w:t>
      </w:r>
    </w:p>
    <w:p w14:paraId="5AB883FB" w14:textId="77777777" w:rsidR="007E3FF8" w:rsidRDefault="00000000">
      <w:pPr>
        <w:spacing w:before="30" w:after="30" w:line="360" w:lineRule="exact"/>
        <w:ind w:left="482" w:hanging="482"/>
        <w:rPr>
          <w:rFonts w:hint="eastAsia"/>
        </w:rPr>
      </w:pPr>
      <w:r>
        <w:rPr>
          <w:sz w:val="21"/>
        </w:rPr>
        <w:t>[46] Amodei D, Olah C, Steinhardt J, et al. Concrete problems in AI safety[J]. arXiv preprint arXiv:1606.06565, 2016.</w:t>
      </w:r>
    </w:p>
    <w:p w14:paraId="73AC0C85" w14:textId="77777777" w:rsidR="007E3FF8" w:rsidRDefault="00000000">
      <w:pPr>
        <w:spacing w:before="30" w:after="30" w:line="360" w:lineRule="exact"/>
        <w:ind w:left="482" w:hanging="482"/>
        <w:rPr>
          <w:rFonts w:hint="eastAsia"/>
        </w:rPr>
      </w:pPr>
      <w:r>
        <w:rPr>
          <w:sz w:val="21"/>
        </w:rPr>
        <w:t>[47] Rawlings J B, Angeli D, Bates C N. Fundamentals of economic model predictive control[C]// IEEE Conference on Decision and Control. Firenze: IEEE, 2013: 3851-3861.</w:t>
      </w:r>
    </w:p>
    <w:p w14:paraId="2A695071" w14:textId="77777777" w:rsidR="007E3FF8" w:rsidRDefault="00000000">
      <w:pPr>
        <w:spacing w:before="30" w:after="30" w:line="360" w:lineRule="exact"/>
        <w:ind w:left="482" w:hanging="482"/>
        <w:rPr>
          <w:rFonts w:hint="eastAsia"/>
        </w:rPr>
      </w:pPr>
      <w:r>
        <w:rPr>
          <w:sz w:val="21"/>
        </w:rPr>
        <w:t>[48] Traverse P, Lacaze I, Souyris J. Airbus fly-by-wire: A total approach to dependability[C]// IFIP International Conference on Dependable Systems and Networks. Berlin: Springer, 2004: 191-212.</w:t>
      </w:r>
    </w:p>
    <w:sectPr w:rsidR="007E3FF8" w:rsidSect="00034616">
      <w:pgSz w:w="11906" w:h="16838"/>
      <w:pgMar w:top="1440" w:right="1304" w:bottom="144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44E9" w14:textId="77777777" w:rsidR="00C13639" w:rsidRDefault="00C13639" w:rsidP="00726BE0">
      <w:pPr>
        <w:spacing w:before="0" w:after="0" w:line="240" w:lineRule="auto"/>
        <w:rPr>
          <w:rFonts w:hint="eastAsia"/>
        </w:rPr>
      </w:pPr>
      <w:r>
        <w:separator/>
      </w:r>
    </w:p>
  </w:endnote>
  <w:endnote w:type="continuationSeparator" w:id="0">
    <w:p w14:paraId="324D21D7" w14:textId="77777777" w:rsidR="00C13639" w:rsidRDefault="00C13639" w:rsidP="00726BE0">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00C5E" w14:textId="77777777" w:rsidR="00C13639" w:rsidRDefault="00C13639" w:rsidP="00726BE0">
      <w:pPr>
        <w:spacing w:before="0" w:after="0" w:line="240" w:lineRule="auto"/>
        <w:rPr>
          <w:rFonts w:hint="eastAsia"/>
        </w:rPr>
      </w:pPr>
      <w:r>
        <w:separator/>
      </w:r>
    </w:p>
  </w:footnote>
  <w:footnote w:type="continuationSeparator" w:id="0">
    <w:p w14:paraId="52F52423" w14:textId="77777777" w:rsidR="00C13639" w:rsidRDefault="00C13639" w:rsidP="00726BE0">
      <w:pPr>
        <w:spacing w:before="0"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7291707">
    <w:abstractNumId w:val="8"/>
  </w:num>
  <w:num w:numId="2" w16cid:durableId="151682572">
    <w:abstractNumId w:val="6"/>
  </w:num>
  <w:num w:numId="3" w16cid:durableId="1952937901">
    <w:abstractNumId w:val="5"/>
  </w:num>
  <w:num w:numId="4" w16cid:durableId="154103684">
    <w:abstractNumId w:val="4"/>
  </w:num>
  <w:num w:numId="5" w16cid:durableId="999430693">
    <w:abstractNumId w:val="7"/>
  </w:num>
  <w:num w:numId="6" w16cid:durableId="864558994">
    <w:abstractNumId w:val="3"/>
  </w:num>
  <w:num w:numId="7" w16cid:durableId="901985495">
    <w:abstractNumId w:val="2"/>
  </w:num>
  <w:num w:numId="8" w16cid:durableId="234435952">
    <w:abstractNumId w:val="1"/>
  </w:num>
  <w:num w:numId="9" w16cid:durableId="1683387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D1B"/>
    <w:rsid w:val="0015074B"/>
    <w:rsid w:val="0029639D"/>
    <w:rsid w:val="00326F90"/>
    <w:rsid w:val="00471C02"/>
    <w:rsid w:val="0051230B"/>
    <w:rsid w:val="005735B9"/>
    <w:rsid w:val="005736B2"/>
    <w:rsid w:val="00677456"/>
    <w:rsid w:val="00726BE0"/>
    <w:rsid w:val="007E3FF8"/>
    <w:rsid w:val="008774BA"/>
    <w:rsid w:val="00AA1D8D"/>
    <w:rsid w:val="00B47730"/>
    <w:rsid w:val="00C13639"/>
    <w:rsid w:val="00CB0664"/>
    <w:rsid w:val="00E73DEA"/>
    <w:rsid w:val="00ED44A3"/>
    <w:rsid w:val="00F45D60"/>
    <w:rsid w:val="00FC693F"/>
    <w:rsid w:val="00FD62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671123"/>
  <w14:defaultImageDpi w14:val="300"/>
  <w15:docId w15:val="{73FE4D9C-49C3-49BB-A91B-5B86315A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60" w:after="60" w:line="40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20</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 Xiaohui</cp:lastModifiedBy>
  <cp:revision>12</cp:revision>
  <dcterms:created xsi:type="dcterms:W3CDTF">2013-12-23T23:15:00Z</dcterms:created>
  <dcterms:modified xsi:type="dcterms:W3CDTF">2026-02-06T08:13:00Z</dcterms:modified>
  <cp:category/>
</cp:coreProperties>
</file>