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left"/>
      </w:pPr>
      <w:r>
        <w:rPr>
          <w:rFonts w:ascii="SimSun" w:hAnsi="SimSun" w:eastAsia="SimSun"/>
          <w:b/>
          <w:sz w:val="32"/>
        </w:rPr>
        <w:t>第九章  关键技术五：场景库驱动的SIL/HIL验证与工程准入</w:t>
      </w:r>
    </w:p>
    <w:p>
      <w:pPr>
        <w:spacing w:line="400" w:lineRule="exact" w:before="60" w:after="60"/>
        <w:ind w:firstLine="482"/>
      </w:pPr>
      <w:r>
        <w:rPr>
          <w:rFonts w:ascii="SimSun" w:hAnsi="SimSun" w:eastAsia="SimSun"/>
          <w:b w:val="0"/>
          <w:sz w:val="24"/>
        </w:rPr>
        <w:t>—— 跨越"仿真完美、上线失灵"的鸿沟</w:t>
      </w:r>
    </w:p>
    <w:p>
      <w:pPr>
        <w:spacing w:before="280" w:after="200"/>
        <w:jc w:val="left"/>
      </w:pPr>
      <w:r>
        <w:rPr>
          <w:rFonts w:ascii="SimSun" w:hAnsi="SimSun" w:eastAsia="SimSun"/>
          <w:b/>
          <w:sz w:val="28"/>
        </w:rPr>
        <w:t>9.1  从"功能演示"到"场景验证"的范式转换</w:t>
      </w:r>
    </w:p>
    <w:p>
      <w:pPr>
        <w:spacing w:before="200" w:after="160"/>
        <w:jc w:val="left"/>
      </w:pPr>
      <w:r>
        <w:rPr>
          <w:rFonts w:ascii="SimSun" w:hAnsi="SimSun" w:eastAsia="SimSun"/>
          <w:b/>
          <w:sz w:val="24"/>
        </w:rPr>
        <w:t>9.1.1  当前水利智能系统验收的局限</w:t>
      </w:r>
    </w:p>
    <w:p>
      <w:pPr>
        <w:spacing w:line="400" w:lineRule="exact" w:before="60" w:after="60"/>
        <w:ind w:firstLine="482"/>
      </w:pPr>
      <w:r>
        <w:rPr>
          <w:rFonts w:ascii="SimSun" w:hAnsi="SimSun" w:eastAsia="SimSun"/>
          <w:b w:val="0"/>
          <w:sz w:val="24"/>
        </w:rPr>
        <w:t>当前水利智能系统的上线验收以"功能演示"为主——在理想条件下展示系统能够完成既定功能，如水位监测显示、流量预报计算、调度方案建议等。这种验收方式只证明了"系统在好天气里能跑"，而没有回答"系统在恶劣条件下能否安全运行"这一更关键的问题[1]。</w:t>
      </w:r>
    </w:p>
    <w:p>
      <w:pPr>
        <w:spacing w:line="400" w:lineRule="exact" w:before="60" w:after="60"/>
        <w:ind w:firstLine="482"/>
      </w:pPr>
      <w:r>
        <w:rPr>
          <w:rFonts w:ascii="SimSun" w:hAnsi="SimSun" w:eastAsia="SimSun"/>
          <w:b w:val="0"/>
          <w:sz w:val="24"/>
        </w:rPr>
        <w:t>功能演示模式的根本缺陷在于其验证覆盖度极低。假设水网运行的场景空间由工况（10种典型水位-流量组合）、扰动（8种典型干扰事件）、设备状态（4种典型故障模式）三个维度构成，则完整场景空间的规模为10 * 8 * 4 = 320种。而典型的功能演示通常仅覆盖3~5种"最佳状态"场景，覆盖率不足2%。更严重的是，被遗漏的恰恰是那些最危险的极端场景和复合故障场景[2]。</w:t>
      </w:r>
    </w:p>
    <w:p>
      <w:pPr>
        <w:spacing w:line="400" w:lineRule="exact" w:before="60" w:after="60"/>
        <w:ind w:firstLine="482"/>
      </w:pPr>
      <w:r>
        <w:rPr>
          <w:rFonts w:ascii="SimSun" w:hAnsi="SimSun" w:eastAsia="SimSun"/>
          <w:b w:val="0"/>
          <w:sz w:val="24"/>
        </w:rPr>
        <w:t>自动驾驶行业的发展历程提供了深刻的教训。2018年Uber自动驾驶测试车在亚利桑那州坦佩市撞死一名行人，事故调查发现系统在"行人横穿未划线道路"这一特定场景下存在严重的感知缺陷——而该场景从未被纳入测试用例集。这一事件直接推动了自动驾驶行业从"里程累积"验证模式向"场景驱动"验证模式的范式转换[3]。</w:t>
      </w:r>
    </w:p>
    <w:p>
      <w:pPr>
        <w:spacing w:before="200" w:after="160"/>
        <w:jc w:val="left"/>
      </w:pPr>
      <w:r>
        <w:rPr>
          <w:rFonts w:ascii="SimSun" w:hAnsi="SimSun" w:eastAsia="SimSun"/>
          <w:b/>
          <w:sz w:val="24"/>
        </w:rPr>
        <w:t>9.1.2  场景驱动验证的核心理念</w:t>
      </w:r>
    </w:p>
    <w:p>
      <w:pPr>
        <w:spacing w:line="400" w:lineRule="exact" w:before="60" w:after="60"/>
        <w:ind w:firstLine="482"/>
      </w:pPr>
      <w:r>
        <w:rPr>
          <w:rFonts w:ascii="SimSun" w:hAnsi="SimSun" w:eastAsia="SimSun"/>
          <w:b w:val="0"/>
          <w:sz w:val="24"/>
        </w:rPr>
        <w:t>场景驱动验证的核心理念可以概括为一句话：不是问"系统能做什么"，而是问"系统在什么情况下会失败"。这一理念的方法论基础来自Karl Popper的"可证伪性"（Falsifiability）哲学——一个科学理论的价值不在于它被多少实验"证实"了，而在于它经受住了多少严格的"证伪"尝试。类比到工程验证，一个控制系统的可靠性不在于它在多少正常场景中表现良好，而在于它能抵御多少极端场景的挑战[4]。</w:t>
      </w:r>
    </w:p>
    <w:p>
      <w:pPr>
        <w:spacing w:line="400" w:lineRule="exact" w:before="60" w:after="60"/>
        <w:ind w:firstLine="482"/>
      </w:pPr>
      <w:r>
        <w:rPr>
          <w:rFonts w:ascii="SimSun" w:hAnsi="SimSun" w:eastAsia="SimSun"/>
          <w:b w:val="0"/>
          <w:sz w:val="24"/>
        </w:rPr>
        <w:t>场景驱动验证的实施框架包括四个步骤。第一步是定义操作设计域（ODD, Operational Design Domain）——明确系统设计意图覆盖的工况范围和能力边界。第二步是构建场景库——基于ODD系统化地生成覆盖正常工况、边界工况、异常工况和极端工况的测试场景集合。第三步是执行分级验证——按照SIL（软件在环）、HIL（硬件在环）、现场试运行、正式上线四个阶段递进式验证。第四步是形成工程准入包——将验证结果组织为结构化的安全论证文档，作为系统上线运行的"电子适航证"[5]。</w:t>
      </w:r>
    </w:p>
    <w:p>
      <w:pPr>
        <w:spacing w:before="200" w:after="160"/>
        <w:jc w:val="left"/>
      </w:pPr>
      <w:r>
        <w:rPr>
          <w:rFonts w:ascii="SimSun" w:hAnsi="SimSun" w:eastAsia="SimSun"/>
          <w:b/>
          <w:sz w:val="24"/>
        </w:rPr>
        <w:t>9.1.3  跨行业对标：验证理念的演进</w:t>
      </w:r>
    </w:p>
    <w:p>
      <w:pPr>
        <w:spacing w:line="400" w:lineRule="exact" w:before="60" w:after="60"/>
        <w:ind w:firstLine="482"/>
      </w:pPr>
      <w:r>
        <w:rPr>
          <w:rFonts w:ascii="SimSun" w:hAnsi="SimSun" w:eastAsia="SimSun"/>
          <w:b w:val="0"/>
          <w:sz w:val="24"/>
        </w:rPr>
        <w:t>高安全要求行业的验证理念经历了三个阶段的演进。</w:t>
      </w:r>
    </w:p>
    <w:p>
      <w:pPr>
        <w:spacing w:line="400" w:lineRule="exact" w:before="60" w:after="60"/>
        <w:ind w:firstLine="482"/>
      </w:pPr>
      <w:r>
        <w:rPr>
          <w:rFonts w:ascii="SimSun" w:hAnsi="SimSun" w:eastAsia="SimSun"/>
          <w:b w:val="0"/>
          <w:sz w:val="24"/>
        </w:rPr>
        <w:t>第一阶段为"测试阶段"（1960~1990年代）：以代码覆盖率为核心指标，关注"每行代码是否被执行过"。航空业的DO-178A/B标准是这一阶段的代表。局限性在于高覆盖率不等于高可靠性——100%的语句覆盖仍可能遗漏关键的条件组合错误[6]。</w:t>
      </w:r>
    </w:p>
    <w:p>
      <w:pPr>
        <w:spacing w:line="400" w:lineRule="exact" w:before="60" w:after="60"/>
        <w:ind w:firstLine="482"/>
      </w:pPr>
      <w:r>
        <w:rPr>
          <w:rFonts w:ascii="SimSun" w:hAnsi="SimSun" w:eastAsia="SimSun"/>
          <w:b w:val="0"/>
          <w:sz w:val="24"/>
        </w:rPr>
        <w:t>第二阶段为"验证与确认阶段"（1990~2010年代）：引入V模型（需求→设计→编码→测试→集成→验收），强调每个设计阶段都有对应的验证活动。ISO 26262和IEC 61508是这一阶段的代表。进步在于将验证从代码层扩展到需求层和系统层[7]。</w:t>
      </w:r>
    </w:p>
    <w:p>
      <w:pPr>
        <w:spacing w:line="400" w:lineRule="exact" w:before="60" w:after="60"/>
        <w:ind w:firstLine="482"/>
      </w:pPr>
      <w:r>
        <w:rPr>
          <w:rFonts w:ascii="SimSun" w:hAnsi="SimSun" w:eastAsia="SimSun"/>
          <w:b w:val="0"/>
          <w:sz w:val="24"/>
        </w:rPr>
        <w:t>第三阶段为"场景驱动阶段"（2010年代至今）：以自动驾驶行业为先驱，认识到传统的代码覆盖和V模型不足以应对开放环境中的复杂交互。ASAM OpenSCENARIO标准定义了场景描述语言，ISO 21448（SOTIF, Safety of the Intended Functionality）将"在预期使用场景中的安全性"提升为独立的安全目标。水利行业可直接借鉴第三阶段的方法论框架[8]。</w:t>
      </w:r>
    </w:p>
    <w:p>
      <w:pPr>
        <w:spacing w:before="280" w:after="200"/>
        <w:jc w:val="left"/>
      </w:pPr>
      <w:r>
        <w:rPr>
          <w:rFonts w:ascii="SimSun" w:hAnsi="SimSun" w:eastAsia="SimSun"/>
          <w:b/>
          <w:sz w:val="28"/>
        </w:rPr>
        <w:t>9.2  场景库构建方法论</w:t>
      </w:r>
    </w:p>
    <w:p>
      <w:pPr>
        <w:spacing w:before="200" w:after="160"/>
        <w:jc w:val="left"/>
      </w:pPr>
      <w:r>
        <w:rPr>
          <w:rFonts w:ascii="SimSun" w:hAnsi="SimSun" w:eastAsia="SimSun"/>
          <w:b/>
          <w:sz w:val="24"/>
        </w:rPr>
        <w:t>9.2.1  场景空间的多维度定义</w:t>
      </w:r>
    </w:p>
    <w:p>
      <w:pPr>
        <w:spacing w:line="400" w:lineRule="exact" w:before="60" w:after="60"/>
        <w:ind w:firstLine="482"/>
      </w:pPr>
      <w:r>
        <w:rPr>
          <w:rFonts w:ascii="SimSun" w:hAnsi="SimSun" w:eastAsia="SimSun"/>
          <w:b w:val="0"/>
          <w:sz w:val="24"/>
        </w:rPr>
        <w:t>场景库构建遵循"ODD导向、风险驱动、组合覆盖"的方法论。场景空间由以下四个维度构成。</w:t>
      </w:r>
    </w:p>
    <w:p>
      <w:pPr>
        <w:spacing w:line="400" w:lineRule="exact" w:before="60" w:after="60"/>
        <w:ind w:firstLine="482"/>
      </w:pPr>
      <w:r>
        <w:rPr>
          <w:rFonts w:ascii="SimSun" w:hAnsi="SimSun" w:eastAsia="SimSun"/>
          <w:b w:val="0"/>
          <w:sz w:val="24"/>
        </w:rPr>
        <w:t>第一个维度为工况维度，描述系统的正常运行状态。关键参数包括基流量（设计流量的20%~100%，分5档）、水位（低水位/正常水位/高水位，分3档）、水质等级（I~V类，分5档）、季节（春夏秋冬/冰期/非冰期，分4档）。工况维度的组合数为5 * 3 * 5 * 4 = 300种[9]。</w:t>
      </w:r>
    </w:p>
    <w:p>
      <w:pPr>
        <w:spacing w:line="400" w:lineRule="exact" w:before="60" w:after="60"/>
        <w:ind w:firstLine="482"/>
      </w:pPr>
      <w:r>
        <w:rPr>
          <w:rFonts w:ascii="SimSun" w:hAnsi="SimSun" w:eastAsia="SimSun"/>
          <w:b w:val="0"/>
          <w:sz w:val="24"/>
        </w:rPr>
        <w:t>第二个维度为扰动维度，描述外部干扰事件。关键参数包括降雨事件（无降雨/小雨/中雨/大雨/暴雨，分5档）、取水突变（计划取水/突增30%/突增50%/突减30%/突减50%，分5档）、上游来流变化（平稳/渐增/渐减/突增/突减，分5档）。扰动维度的组合数为5 * 5 * 5 = 125种。</w:t>
      </w:r>
    </w:p>
    <w:p>
      <w:pPr>
        <w:spacing w:line="400" w:lineRule="exact" w:before="60" w:after="60"/>
        <w:ind w:firstLine="482"/>
      </w:pPr>
      <w:r>
        <w:rPr>
          <w:rFonts w:ascii="SimSun" w:hAnsi="SimSun" w:eastAsia="SimSun"/>
          <w:b w:val="0"/>
          <w:sz w:val="24"/>
        </w:rPr>
        <w:t>第三个维度为设备维度，描述传感器和执行器的健康状态。关键参数包括水位传感器（正常/偏差/失效/噪声增大，分4档）、闸门执行器（正常/响应迟滞/卡阻/全失效，分4档）、通信链路（正常/延迟增大/间歇丢包/中断，分4档）。设备维度的组合数为4 * 4 * 4 = 64种。</w:t>
      </w:r>
    </w:p>
    <w:p>
      <w:pPr>
        <w:spacing w:line="400" w:lineRule="exact" w:before="60" w:after="60"/>
        <w:ind w:firstLine="482"/>
      </w:pPr>
      <w:r>
        <w:rPr>
          <w:rFonts w:ascii="SimSun" w:hAnsi="SimSun" w:eastAsia="SimSun"/>
          <w:b w:val="0"/>
          <w:sz w:val="24"/>
        </w:rPr>
        <w:t>第四个维度为组合维度，即多维交叉的复合场景。例如"暴雨+传感器故障+闸门卡阻"的三重复合场景。完整场景空间的理论规模为300 * 125 * 64 = 2,400,000种，显然不可能全部测试。因此需要通过风险矩阵筛选确定核心测试场景集[10]。</w:t>
      </w:r>
    </w:p>
    <w:p>
      <w:pPr>
        <w:spacing w:before="200" w:after="160"/>
        <w:jc w:val="left"/>
      </w:pPr>
      <w:r>
        <w:rPr>
          <w:rFonts w:ascii="SimSun" w:hAnsi="SimSun" w:eastAsia="SimSun"/>
          <w:b/>
          <w:sz w:val="24"/>
        </w:rPr>
        <w:t>9.2.2  基于风险矩阵的场景筛选</w:t>
      </w:r>
    </w:p>
    <w:p>
      <w:pPr>
        <w:spacing w:line="400" w:lineRule="exact" w:before="60" w:after="60"/>
        <w:ind w:firstLine="482"/>
      </w:pPr>
      <w:r>
        <w:rPr>
          <w:rFonts w:ascii="SimSun" w:hAnsi="SimSun" w:eastAsia="SimSun"/>
          <w:b w:val="0"/>
          <w:sz w:val="24"/>
        </w:rPr>
        <w:t>采用基于风险矩阵的场景筛选方法确定核心测试场景集。每个场景的风险值R按以下公式计算：</w:t>
      </w:r>
    </w:p>
    <w:p>
      <w:pPr>
        <w:spacing w:before="120" w:after="120"/>
        <w:jc w:val="center"/>
      </w:pPr>
      <w:r>
        <w:rPr>
          <w:rFonts w:ascii="SimSun" w:hAnsi="SimSun" w:eastAsia="SimSun"/>
          <w:b w:val="0"/>
          <w:sz w:val="24"/>
        </w:rPr>
        <w:t>R(i) = P(i) * C(i)     （式9-1）</w:t>
      </w:r>
    </w:p>
    <w:p>
      <w:pPr>
        <w:spacing w:line="360" w:lineRule="exact" w:before="40" w:after="40"/>
        <w:ind w:firstLine="482"/>
      </w:pPr>
      <w:r>
        <w:rPr>
          <w:rFonts w:ascii="SimSun" w:hAnsi="SimSun" w:eastAsia="SimSun"/>
          <w:b w:val="0"/>
          <w:sz w:val="21"/>
        </w:rPr>
        <w:t>式中：P(i)为场景i的发生概率等级（1~5，1为极低频、5为高频）；C(i)为场景i的后果严重度等级（1~5，1为可忽略、5为灾难性）。R的取值范围为1~25。</w:t>
      </w:r>
    </w:p>
    <w:p>
      <w:pPr>
        <w:spacing w:line="400" w:lineRule="exact" w:before="60" w:after="60"/>
        <w:ind w:firstLine="482"/>
      </w:pPr>
      <w:r>
        <w:rPr>
          <w:rFonts w:ascii="SimSun" w:hAnsi="SimSun" w:eastAsia="SimSun"/>
          <w:b w:val="0"/>
          <w:sz w:val="24"/>
        </w:rPr>
        <w:t>根据R值将场景分为三级。高风险场景（R &gt;= 15）：必须100%覆盖测试，且每个场景需要至少3次独立运行以验证结果的可重复性。中风险场景（8 &lt;= R &lt; 15）：抽样覆盖率不低于80%，可采用正交实验设计或拉丁超立方抽样方法选取代表性场景。低风险场景（R &lt; 8）：抽样覆盖率不低于30%，主要用于回归测试和统计验证[11]。</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1247"/>
            <w:shd w:fill="D9E2F3" w:val="clear"/>
          </w:tcPr>
          <w:p>
            <w:pPr>
              <w:jc w:val="center"/>
            </w:pPr>
            <w:r/>
            <w:r>
              <w:rPr>
                <w:rFonts w:ascii="SimSun" w:hAnsi="SimSun" w:eastAsia="SimSun"/>
                <w:b/>
                <w:sz w:val="20"/>
              </w:rPr>
              <w:t>后果等级C</w:t>
            </w:r>
          </w:p>
        </w:tc>
        <w:tc>
          <w:tcPr>
            <w:tcW w:type="dxa" w:w="1134"/>
            <w:shd w:fill="D9E2F3" w:val="clear"/>
          </w:tcPr>
          <w:p>
            <w:pPr>
              <w:jc w:val="center"/>
            </w:pPr>
            <w:r/>
            <w:r>
              <w:rPr>
                <w:rFonts w:ascii="SimSun" w:hAnsi="SimSun" w:eastAsia="SimSun"/>
                <w:b/>
                <w:sz w:val="20"/>
              </w:rPr>
              <w:t>概率P=1</w:t>
              <w:br/>
              <w:t>极低频</w:t>
            </w:r>
          </w:p>
        </w:tc>
        <w:tc>
          <w:tcPr>
            <w:tcW w:type="dxa" w:w="1134"/>
            <w:shd w:fill="D9E2F3" w:val="clear"/>
          </w:tcPr>
          <w:p>
            <w:pPr>
              <w:jc w:val="center"/>
            </w:pPr>
            <w:r/>
            <w:r>
              <w:rPr>
                <w:rFonts w:ascii="SimSun" w:hAnsi="SimSun" w:eastAsia="SimSun"/>
                <w:b/>
                <w:sz w:val="20"/>
              </w:rPr>
              <w:t>概率P=2</w:t>
              <w:br/>
              <w:t>低频</w:t>
            </w:r>
          </w:p>
        </w:tc>
        <w:tc>
          <w:tcPr>
            <w:tcW w:type="dxa" w:w="1134"/>
            <w:shd w:fill="D9E2F3" w:val="clear"/>
          </w:tcPr>
          <w:p>
            <w:pPr>
              <w:jc w:val="center"/>
            </w:pPr>
            <w:r/>
            <w:r>
              <w:rPr>
                <w:rFonts w:ascii="SimSun" w:hAnsi="SimSun" w:eastAsia="SimSun"/>
                <w:b/>
                <w:sz w:val="20"/>
              </w:rPr>
              <w:t>概率P=3</w:t>
              <w:br/>
              <w:t>中等</w:t>
            </w:r>
          </w:p>
        </w:tc>
        <w:tc>
          <w:tcPr>
            <w:tcW w:type="dxa" w:w="1134"/>
            <w:shd w:fill="D9E2F3" w:val="clear"/>
          </w:tcPr>
          <w:p>
            <w:pPr>
              <w:jc w:val="center"/>
            </w:pPr>
            <w:r/>
            <w:r>
              <w:rPr>
                <w:rFonts w:ascii="SimSun" w:hAnsi="SimSun" w:eastAsia="SimSun"/>
                <w:b/>
                <w:sz w:val="20"/>
              </w:rPr>
              <w:t>概率P=4</w:t>
              <w:br/>
              <w:t>较高频</w:t>
            </w:r>
          </w:p>
        </w:tc>
        <w:tc>
          <w:tcPr>
            <w:tcW w:type="dxa" w:w="1134"/>
            <w:shd w:fill="D9E2F3" w:val="clear"/>
          </w:tcPr>
          <w:p>
            <w:pPr>
              <w:jc w:val="center"/>
            </w:pPr>
            <w:r/>
            <w:r>
              <w:rPr>
                <w:rFonts w:ascii="SimSun" w:hAnsi="SimSun" w:eastAsia="SimSun"/>
                <w:b/>
                <w:sz w:val="20"/>
              </w:rPr>
              <w:t>概率P=5</w:t>
              <w:br/>
              <w:t>高频</w:t>
            </w:r>
          </w:p>
        </w:tc>
      </w:tr>
      <w:tr>
        <w:tc>
          <w:tcPr>
            <w:tcW w:type="dxa" w:w="1247"/>
          </w:tcPr>
          <w:p>
            <w:pPr>
              <w:jc w:val="center"/>
            </w:pPr>
            <w:r/>
            <w:r>
              <w:rPr>
                <w:rFonts w:ascii="SimSun" w:hAnsi="SimSun" w:eastAsia="SimSun"/>
                <w:b w:val="0"/>
                <w:sz w:val="20"/>
              </w:rPr>
              <w:t>C=5 灾难性</w:t>
            </w:r>
          </w:p>
        </w:tc>
        <w:tc>
          <w:tcPr>
            <w:tcW w:type="dxa" w:w="1134"/>
          </w:tcPr>
          <w:p>
            <w:pPr>
              <w:jc w:val="center"/>
            </w:pPr>
            <w:r/>
            <w:r>
              <w:rPr>
                <w:rFonts w:ascii="SimSun" w:hAnsi="SimSun" w:eastAsia="SimSun"/>
                <w:b w:val="0"/>
                <w:sz w:val="20"/>
              </w:rPr>
              <w:t>R=5</w:t>
              <w:br/>
              <w:t>中风险</w:t>
            </w:r>
          </w:p>
        </w:tc>
        <w:tc>
          <w:tcPr>
            <w:tcW w:type="dxa" w:w="1134"/>
          </w:tcPr>
          <w:p>
            <w:pPr>
              <w:jc w:val="center"/>
            </w:pPr>
            <w:r/>
            <w:r>
              <w:rPr>
                <w:rFonts w:ascii="SimSun" w:hAnsi="SimSun" w:eastAsia="SimSun"/>
                <w:b w:val="0"/>
                <w:sz w:val="20"/>
              </w:rPr>
              <w:t>R=10</w:t>
              <w:br/>
              <w:t>中风险</w:t>
            </w:r>
          </w:p>
        </w:tc>
        <w:tc>
          <w:tcPr>
            <w:tcW w:type="dxa" w:w="1134"/>
          </w:tcPr>
          <w:p>
            <w:pPr>
              <w:jc w:val="center"/>
            </w:pPr>
            <w:r/>
            <w:r>
              <w:rPr>
                <w:rFonts w:ascii="SimSun" w:hAnsi="SimSun" w:eastAsia="SimSun"/>
                <w:b w:val="0"/>
                <w:sz w:val="20"/>
              </w:rPr>
              <w:t>R=15</w:t>
              <w:br/>
              <w:t>高风险</w:t>
            </w:r>
          </w:p>
        </w:tc>
        <w:tc>
          <w:tcPr>
            <w:tcW w:type="dxa" w:w="1134"/>
          </w:tcPr>
          <w:p>
            <w:pPr>
              <w:jc w:val="center"/>
            </w:pPr>
            <w:r/>
            <w:r>
              <w:rPr>
                <w:rFonts w:ascii="SimSun" w:hAnsi="SimSun" w:eastAsia="SimSun"/>
                <w:b w:val="0"/>
                <w:sz w:val="20"/>
              </w:rPr>
              <w:t>R=20</w:t>
              <w:br/>
              <w:t>高风险</w:t>
            </w:r>
          </w:p>
        </w:tc>
        <w:tc>
          <w:tcPr>
            <w:tcW w:type="dxa" w:w="1134"/>
          </w:tcPr>
          <w:p>
            <w:pPr>
              <w:jc w:val="center"/>
            </w:pPr>
            <w:r/>
            <w:r>
              <w:rPr>
                <w:rFonts w:ascii="SimSun" w:hAnsi="SimSun" w:eastAsia="SimSun"/>
                <w:b w:val="0"/>
                <w:sz w:val="20"/>
              </w:rPr>
              <w:t>R=25</w:t>
              <w:br/>
              <w:t>高风险</w:t>
            </w:r>
          </w:p>
        </w:tc>
      </w:tr>
      <w:tr>
        <w:tc>
          <w:tcPr>
            <w:tcW w:type="dxa" w:w="1247"/>
          </w:tcPr>
          <w:p>
            <w:pPr>
              <w:jc w:val="center"/>
            </w:pPr>
            <w:r/>
            <w:r>
              <w:rPr>
                <w:rFonts w:ascii="SimSun" w:hAnsi="SimSun" w:eastAsia="SimSun"/>
                <w:b w:val="0"/>
                <w:sz w:val="20"/>
              </w:rPr>
              <w:t>C=4 严重</w:t>
            </w:r>
          </w:p>
        </w:tc>
        <w:tc>
          <w:tcPr>
            <w:tcW w:type="dxa" w:w="1134"/>
          </w:tcPr>
          <w:p>
            <w:pPr>
              <w:jc w:val="center"/>
            </w:pPr>
            <w:r/>
            <w:r>
              <w:rPr>
                <w:rFonts w:ascii="SimSun" w:hAnsi="SimSun" w:eastAsia="SimSun"/>
                <w:b w:val="0"/>
                <w:sz w:val="20"/>
              </w:rPr>
              <w:t>R=4</w:t>
              <w:br/>
              <w:t>低风险</w:t>
            </w:r>
          </w:p>
        </w:tc>
        <w:tc>
          <w:tcPr>
            <w:tcW w:type="dxa" w:w="1134"/>
          </w:tcPr>
          <w:p>
            <w:pPr>
              <w:jc w:val="center"/>
            </w:pPr>
            <w:r/>
            <w:r>
              <w:rPr>
                <w:rFonts w:ascii="SimSun" w:hAnsi="SimSun" w:eastAsia="SimSun"/>
                <w:b w:val="0"/>
                <w:sz w:val="20"/>
              </w:rPr>
              <w:t>R=8</w:t>
              <w:br/>
              <w:t>中风险</w:t>
            </w:r>
          </w:p>
        </w:tc>
        <w:tc>
          <w:tcPr>
            <w:tcW w:type="dxa" w:w="1134"/>
          </w:tcPr>
          <w:p>
            <w:pPr>
              <w:jc w:val="center"/>
            </w:pPr>
            <w:r/>
            <w:r>
              <w:rPr>
                <w:rFonts w:ascii="SimSun" w:hAnsi="SimSun" w:eastAsia="SimSun"/>
                <w:b w:val="0"/>
                <w:sz w:val="20"/>
              </w:rPr>
              <w:t>R=12</w:t>
              <w:br/>
              <w:t>中风险</w:t>
            </w:r>
          </w:p>
        </w:tc>
        <w:tc>
          <w:tcPr>
            <w:tcW w:type="dxa" w:w="1134"/>
          </w:tcPr>
          <w:p>
            <w:pPr>
              <w:jc w:val="center"/>
            </w:pPr>
            <w:r/>
            <w:r>
              <w:rPr>
                <w:rFonts w:ascii="SimSun" w:hAnsi="SimSun" w:eastAsia="SimSun"/>
                <w:b w:val="0"/>
                <w:sz w:val="20"/>
              </w:rPr>
              <w:t>R=16</w:t>
              <w:br/>
              <w:t>高风险</w:t>
            </w:r>
          </w:p>
        </w:tc>
        <w:tc>
          <w:tcPr>
            <w:tcW w:type="dxa" w:w="1134"/>
          </w:tcPr>
          <w:p>
            <w:pPr>
              <w:jc w:val="center"/>
            </w:pPr>
            <w:r/>
            <w:r>
              <w:rPr>
                <w:rFonts w:ascii="SimSun" w:hAnsi="SimSun" w:eastAsia="SimSun"/>
                <w:b w:val="0"/>
                <w:sz w:val="20"/>
              </w:rPr>
              <w:t>R=20</w:t>
              <w:br/>
              <w:t>高风险</w:t>
            </w:r>
          </w:p>
        </w:tc>
      </w:tr>
      <w:tr>
        <w:tc>
          <w:tcPr>
            <w:tcW w:type="dxa" w:w="1247"/>
          </w:tcPr>
          <w:p>
            <w:pPr>
              <w:jc w:val="center"/>
            </w:pPr>
            <w:r/>
            <w:r>
              <w:rPr>
                <w:rFonts w:ascii="SimSun" w:hAnsi="SimSun" w:eastAsia="SimSun"/>
                <w:b w:val="0"/>
                <w:sz w:val="20"/>
              </w:rPr>
              <w:t>C=3 较大</w:t>
            </w:r>
          </w:p>
        </w:tc>
        <w:tc>
          <w:tcPr>
            <w:tcW w:type="dxa" w:w="1134"/>
          </w:tcPr>
          <w:p>
            <w:pPr>
              <w:jc w:val="center"/>
            </w:pPr>
            <w:r/>
            <w:r>
              <w:rPr>
                <w:rFonts w:ascii="SimSun" w:hAnsi="SimSun" w:eastAsia="SimSun"/>
                <w:b w:val="0"/>
                <w:sz w:val="20"/>
              </w:rPr>
              <w:t>R=3</w:t>
              <w:br/>
              <w:t>低风险</w:t>
            </w:r>
          </w:p>
        </w:tc>
        <w:tc>
          <w:tcPr>
            <w:tcW w:type="dxa" w:w="1134"/>
          </w:tcPr>
          <w:p>
            <w:pPr>
              <w:jc w:val="center"/>
            </w:pPr>
            <w:r/>
            <w:r>
              <w:rPr>
                <w:rFonts w:ascii="SimSun" w:hAnsi="SimSun" w:eastAsia="SimSun"/>
                <w:b w:val="0"/>
                <w:sz w:val="20"/>
              </w:rPr>
              <w:t>R=6</w:t>
              <w:br/>
              <w:t>低风险</w:t>
            </w:r>
          </w:p>
        </w:tc>
        <w:tc>
          <w:tcPr>
            <w:tcW w:type="dxa" w:w="1134"/>
          </w:tcPr>
          <w:p>
            <w:pPr>
              <w:jc w:val="center"/>
            </w:pPr>
            <w:r/>
            <w:r>
              <w:rPr>
                <w:rFonts w:ascii="SimSun" w:hAnsi="SimSun" w:eastAsia="SimSun"/>
                <w:b w:val="0"/>
                <w:sz w:val="20"/>
              </w:rPr>
              <w:t>R=9</w:t>
              <w:br/>
              <w:t>中风险</w:t>
            </w:r>
          </w:p>
        </w:tc>
        <w:tc>
          <w:tcPr>
            <w:tcW w:type="dxa" w:w="1134"/>
          </w:tcPr>
          <w:p>
            <w:pPr>
              <w:jc w:val="center"/>
            </w:pPr>
            <w:r/>
            <w:r>
              <w:rPr>
                <w:rFonts w:ascii="SimSun" w:hAnsi="SimSun" w:eastAsia="SimSun"/>
                <w:b w:val="0"/>
                <w:sz w:val="20"/>
              </w:rPr>
              <w:t>R=12</w:t>
              <w:br/>
              <w:t>中风险</w:t>
            </w:r>
          </w:p>
        </w:tc>
        <w:tc>
          <w:tcPr>
            <w:tcW w:type="dxa" w:w="1134"/>
          </w:tcPr>
          <w:p>
            <w:pPr>
              <w:jc w:val="center"/>
            </w:pPr>
            <w:r/>
            <w:r>
              <w:rPr>
                <w:rFonts w:ascii="SimSun" w:hAnsi="SimSun" w:eastAsia="SimSun"/>
                <w:b w:val="0"/>
                <w:sz w:val="20"/>
              </w:rPr>
              <w:t>R=15</w:t>
              <w:br/>
              <w:t>高风险</w:t>
            </w:r>
          </w:p>
        </w:tc>
      </w:tr>
      <w:tr>
        <w:tc>
          <w:tcPr>
            <w:tcW w:type="dxa" w:w="1247"/>
          </w:tcPr>
          <w:p>
            <w:pPr>
              <w:jc w:val="center"/>
            </w:pPr>
            <w:r/>
            <w:r>
              <w:rPr>
                <w:rFonts w:ascii="SimSun" w:hAnsi="SimSun" w:eastAsia="SimSun"/>
                <w:b w:val="0"/>
                <w:sz w:val="20"/>
              </w:rPr>
              <w:t>C=2 一般</w:t>
            </w:r>
          </w:p>
        </w:tc>
        <w:tc>
          <w:tcPr>
            <w:tcW w:type="dxa" w:w="1134"/>
          </w:tcPr>
          <w:p>
            <w:pPr>
              <w:jc w:val="center"/>
            </w:pPr>
            <w:r/>
            <w:r>
              <w:rPr>
                <w:rFonts w:ascii="SimSun" w:hAnsi="SimSun" w:eastAsia="SimSun"/>
                <w:b w:val="0"/>
                <w:sz w:val="20"/>
              </w:rPr>
              <w:t>R=2</w:t>
              <w:br/>
              <w:t>低风险</w:t>
            </w:r>
          </w:p>
        </w:tc>
        <w:tc>
          <w:tcPr>
            <w:tcW w:type="dxa" w:w="1134"/>
          </w:tcPr>
          <w:p>
            <w:pPr>
              <w:jc w:val="center"/>
            </w:pPr>
            <w:r/>
            <w:r>
              <w:rPr>
                <w:rFonts w:ascii="SimSun" w:hAnsi="SimSun" w:eastAsia="SimSun"/>
                <w:b w:val="0"/>
                <w:sz w:val="20"/>
              </w:rPr>
              <w:t>R=4</w:t>
              <w:br/>
              <w:t>低风险</w:t>
            </w:r>
          </w:p>
        </w:tc>
        <w:tc>
          <w:tcPr>
            <w:tcW w:type="dxa" w:w="1134"/>
          </w:tcPr>
          <w:p>
            <w:pPr>
              <w:jc w:val="center"/>
            </w:pPr>
            <w:r/>
            <w:r>
              <w:rPr>
                <w:rFonts w:ascii="SimSun" w:hAnsi="SimSun" w:eastAsia="SimSun"/>
                <w:b w:val="0"/>
                <w:sz w:val="20"/>
              </w:rPr>
              <w:t>R=6</w:t>
              <w:br/>
              <w:t>低风险</w:t>
            </w:r>
          </w:p>
        </w:tc>
        <w:tc>
          <w:tcPr>
            <w:tcW w:type="dxa" w:w="1134"/>
          </w:tcPr>
          <w:p>
            <w:pPr>
              <w:jc w:val="center"/>
            </w:pPr>
            <w:r/>
            <w:r>
              <w:rPr>
                <w:rFonts w:ascii="SimSun" w:hAnsi="SimSun" w:eastAsia="SimSun"/>
                <w:b w:val="0"/>
                <w:sz w:val="20"/>
              </w:rPr>
              <w:t>R=8</w:t>
              <w:br/>
              <w:t>中风险</w:t>
            </w:r>
          </w:p>
        </w:tc>
        <w:tc>
          <w:tcPr>
            <w:tcW w:type="dxa" w:w="1134"/>
          </w:tcPr>
          <w:p>
            <w:pPr>
              <w:jc w:val="center"/>
            </w:pPr>
            <w:r/>
            <w:r>
              <w:rPr>
                <w:rFonts w:ascii="SimSun" w:hAnsi="SimSun" w:eastAsia="SimSun"/>
                <w:b w:val="0"/>
                <w:sz w:val="20"/>
              </w:rPr>
              <w:t>R=10</w:t>
              <w:br/>
              <w:t>中风险</w:t>
            </w:r>
          </w:p>
        </w:tc>
      </w:tr>
      <w:tr>
        <w:tc>
          <w:tcPr>
            <w:tcW w:type="dxa" w:w="1247"/>
          </w:tcPr>
          <w:p>
            <w:pPr>
              <w:jc w:val="center"/>
            </w:pPr>
            <w:r/>
            <w:r>
              <w:rPr>
                <w:rFonts w:ascii="SimSun" w:hAnsi="SimSun" w:eastAsia="SimSun"/>
                <w:b w:val="0"/>
                <w:sz w:val="20"/>
              </w:rPr>
              <w:t>C=1 可忽略</w:t>
            </w:r>
          </w:p>
        </w:tc>
        <w:tc>
          <w:tcPr>
            <w:tcW w:type="dxa" w:w="1134"/>
          </w:tcPr>
          <w:p>
            <w:pPr>
              <w:jc w:val="center"/>
            </w:pPr>
            <w:r/>
            <w:r>
              <w:rPr>
                <w:rFonts w:ascii="SimSun" w:hAnsi="SimSun" w:eastAsia="SimSun"/>
                <w:b w:val="0"/>
                <w:sz w:val="20"/>
              </w:rPr>
              <w:t>R=1</w:t>
              <w:br/>
              <w:t>低风险</w:t>
            </w:r>
          </w:p>
        </w:tc>
        <w:tc>
          <w:tcPr>
            <w:tcW w:type="dxa" w:w="1134"/>
          </w:tcPr>
          <w:p>
            <w:pPr>
              <w:jc w:val="center"/>
            </w:pPr>
            <w:r/>
            <w:r>
              <w:rPr>
                <w:rFonts w:ascii="SimSun" w:hAnsi="SimSun" w:eastAsia="SimSun"/>
                <w:b w:val="0"/>
                <w:sz w:val="20"/>
              </w:rPr>
              <w:t>R=2</w:t>
              <w:br/>
              <w:t>低风险</w:t>
            </w:r>
          </w:p>
        </w:tc>
        <w:tc>
          <w:tcPr>
            <w:tcW w:type="dxa" w:w="1134"/>
          </w:tcPr>
          <w:p>
            <w:pPr>
              <w:jc w:val="center"/>
            </w:pPr>
            <w:r/>
            <w:r>
              <w:rPr>
                <w:rFonts w:ascii="SimSun" w:hAnsi="SimSun" w:eastAsia="SimSun"/>
                <w:b w:val="0"/>
                <w:sz w:val="20"/>
              </w:rPr>
              <w:t>R=3</w:t>
              <w:br/>
              <w:t>低风险</w:t>
            </w:r>
          </w:p>
        </w:tc>
        <w:tc>
          <w:tcPr>
            <w:tcW w:type="dxa" w:w="1134"/>
          </w:tcPr>
          <w:p>
            <w:pPr>
              <w:jc w:val="center"/>
            </w:pPr>
            <w:r/>
            <w:r>
              <w:rPr>
                <w:rFonts w:ascii="SimSun" w:hAnsi="SimSun" w:eastAsia="SimSun"/>
                <w:b w:val="0"/>
                <w:sz w:val="20"/>
              </w:rPr>
              <w:t>R=4</w:t>
              <w:br/>
              <w:t>低风险</w:t>
            </w:r>
          </w:p>
        </w:tc>
        <w:tc>
          <w:tcPr>
            <w:tcW w:type="dxa" w:w="1134"/>
          </w:tcPr>
          <w:p>
            <w:pPr>
              <w:jc w:val="center"/>
            </w:pPr>
            <w:r/>
            <w:r>
              <w:rPr>
                <w:rFonts w:ascii="SimSun" w:hAnsi="SimSun" w:eastAsia="SimSun"/>
                <w:b w:val="0"/>
                <w:sz w:val="20"/>
              </w:rPr>
              <w:t>R=5</w:t>
              <w:br/>
              <w:t>中风险</w:t>
            </w:r>
          </w:p>
        </w:tc>
      </w:tr>
    </w:tbl>
    <w:p>
      <w:pPr>
        <w:spacing w:line="400" w:lineRule="exact" w:before="60" w:after="60"/>
        <w:ind w:firstLine="482"/>
      </w:pPr>
      <w:r>
        <w:rPr>
          <w:rFonts w:ascii="SimSun" w:hAnsi="SimSun" w:eastAsia="SimSun"/>
          <w:b w:val="0"/>
          <w:sz w:val="24"/>
        </w:rPr>
        <w:t>表9-1  场景风险矩阵（R = P * C）</w:t>
      </w:r>
    </w:p>
    <w:p>
      <w:pPr>
        <w:spacing w:line="400" w:lineRule="exact" w:before="60" w:after="60"/>
        <w:ind w:firstLine="482"/>
      </w:pPr>
      <w:r>
        <w:rPr>
          <w:rFonts w:ascii="SimSun" w:hAnsi="SimSun" w:eastAsia="SimSun"/>
          <w:b w:val="0"/>
          <w:sz w:val="24"/>
        </w:rPr>
        <w:t>建议初始场景库规模不少于200个，其中高风险场景（R &gt;= 15）占比不低于30%。随着系统运行经验的积累，场景库应持续扩展，最终目标规模为1000个以上标准化场景。</w:t>
      </w:r>
    </w:p>
    <w:p>
      <w:pPr>
        <w:spacing w:before="200" w:after="160"/>
        <w:jc w:val="left"/>
      </w:pPr>
      <w:r>
        <w:rPr>
          <w:rFonts w:ascii="SimSun" w:hAnsi="SimSun" w:eastAsia="SimSun"/>
          <w:b/>
          <w:sz w:val="24"/>
        </w:rPr>
        <w:t>9.2.3  场景参数化描述语言</w:t>
      </w:r>
    </w:p>
    <w:p>
      <w:pPr>
        <w:spacing w:line="400" w:lineRule="exact" w:before="60" w:after="60"/>
        <w:ind w:firstLine="482"/>
      </w:pPr>
      <w:r>
        <w:rPr>
          <w:rFonts w:ascii="SimSun" w:hAnsi="SimSun" w:eastAsia="SimSun"/>
          <w:b w:val="0"/>
          <w:sz w:val="24"/>
        </w:rPr>
        <w:t>借鉴自动驾驶领域的ASAM OpenSCENARIO标准[8]，建议为水网系统建立标准化的场景描述语言——暂称为WaterSCENARIO。场景描述包含五个要素：</w:t>
      </w:r>
    </w:p>
    <w:p>
      <w:pPr>
        <w:spacing w:line="400" w:lineRule="exact" w:before="60" w:after="60"/>
        <w:ind w:firstLine="482"/>
      </w:pPr>
      <w:r>
        <w:rPr>
          <w:rFonts w:ascii="SimSun" w:hAnsi="SimSun" w:eastAsia="SimSun"/>
          <w:b w:val="0"/>
          <w:sz w:val="24"/>
        </w:rPr>
        <w:t>第一，初始条件（InitialConditions）——定义仿真开始时刻的系统状态，包括各渠池水位、闸门开度、泵站运行状态等。第二，触发事件（TriggerEvents）——定义仿真过程中发生的外部事件及其时序，如"第30分钟，3号取水口流量从5m^3/s突增至8m^3/s"。第三，设备故障注入（FaultInjection）——定义仿真过程中注入的设备故障，如"第60分钟，7号水位传感器产生+0.2m持续偏差"。第四，评估指标（KPIs）——定义场景通过/失败的判定标准，如"全过程水位偏差不超过正负0.15m"、"红色约束裕度始终大于0"。第五，运行时间（Duration）——定义仿真时长，通常为实际运行时间的1~7天[12]。</w:t>
      </w:r>
    </w:p>
    <w:p>
      <w:pPr>
        <w:spacing w:line="400" w:lineRule="exact" w:before="60" w:after="60"/>
        <w:ind w:firstLine="482"/>
      </w:pPr>
      <w:r>
        <w:rPr>
          <w:rFonts w:ascii="SimSun" w:hAnsi="SimSun" w:eastAsia="SimSun"/>
          <w:b w:val="0"/>
          <w:sz w:val="24"/>
        </w:rPr>
        <w:t>场景描述的形式化表达为：</w:t>
      </w:r>
    </w:p>
    <w:p>
      <w:pPr>
        <w:spacing w:before="120" w:after="120"/>
        <w:jc w:val="center"/>
      </w:pPr>
      <w:r>
        <w:rPr>
          <w:rFonts w:ascii="SimSun" w:hAnsi="SimSun" w:eastAsia="SimSun"/>
          <w:b w:val="0"/>
          <w:sz w:val="24"/>
        </w:rPr>
        <w:t>S(i) = {IC(i), TE(i), FI(i), KPI(i), T(i)}     （式9-2）</w:t>
      </w:r>
    </w:p>
    <w:p>
      <w:pPr>
        <w:spacing w:line="360" w:lineRule="exact" w:before="40" w:after="40"/>
        <w:ind w:firstLine="482"/>
      </w:pPr>
      <w:r>
        <w:rPr>
          <w:rFonts w:ascii="SimSun" w:hAnsi="SimSun" w:eastAsia="SimSun"/>
          <w:b w:val="0"/>
          <w:sz w:val="21"/>
        </w:rPr>
        <w:t>式中：IC(i)为第i个场景的初始条件向量；TE(i)为触发事件序列；FI(i)为故障注入序列；KPI(i)为评估指标集合；T(i)为仿真时长。</w:t>
      </w:r>
    </w:p>
    <w:p>
      <w:pPr>
        <w:spacing w:before="200" w:after="160"/>
        <w:jc w:val="left"/>
      </w:pPr>
      <w:r>
        <w:rPr>
          <w:rFonts w:ascii="SimSun" w:hAnsi="SimSun" w:eastAsia="SimSun"/>
          <w:b/>
          <w:sz w:val="24"/>
        </w:rPr>
        <w:t>9.2.4  典型场景类别设计</w:t>
      </w:r>
    </w:p>
    <w:p>
      <w:pPr>
        <w:spacing w:line="400" w:lineRule="exact" w:before="60" w:after="60"/>
        <w:ind w:firstLine="482"/>
      </w:pPr>
      <w:r>
        <w:rPr>
          <w:rFonts w:ascii="SimSun" w:hAnsi="SimSun" w:eastAsia="SimSun"/>
          <w:b w:val="0"/>
          <w:sz w:val="24"/>
        </w:rPr>
        <w:t>基于南水北调中线工程的运行特征，建议将场景库分为以下八个类别。</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134"/>
            <w:shd w:fill="D9E2F3" w:val="clear"/>
          </w:tcPr>
          <w:p>
            <w:pPr>
              <w:jc w:val="center"/>
            </w:pPr>
            <w:r/>
            <w:r>
              <w:rPr>
                <w:rFonts w:ascii="SimSun" w:hAnsi="SimSun" w:eastAsia="SimSun"/>
                <w:b/>
                <w:sz w:val="20"/>
              </w:rPr>
              <w:t>场景类别</w:t>
            </w:r>
          </w:p>
        </w:tc>
        <w:tc>
          <w:tcPr>
            <w:tcW w:type="dxa" w:w="850"/>
            <w:shd w:fill="D9E2F3" w:val="clear"/>
          </w:tcPr>
          <w:p>
            <w:pPr>
              <w:jc w:val="center"/>
            </w:pPr>
            <w:r/>
            <w:r>
              <w:rPr>
                <w:rFonts w:ascii="SimSun" w:hAnsi="SimSun" w:eastAsia="SimSun"/>
                <w:b/>
                <w:sz w:val="20"/>
              </w:rPr>
              <w:t>场景数量</w:t>
            </w:r>
          </w:p>
        </w:tc>
        <w:tc>
          <w:tcPr>
            <w:tcW w:type="dxa" w:w="850"/>
            <w:shd w:fill="D9E2F3" w:val="clear"/>
          </w:tcPr>
          <w:p>
            <w:pPr>
              <w:jc w:val="center"/>
            </w:pPr>
            <w:r/>
            <w:r>
              <w:rPr>
                <w:rFonts w:ascii="SimSun" w:hAnsi="SimSun" w:eastAsia="SimSun"/>
                <w:b/>
                <w:sz w:val="20"/>
              </w:rPr>
              <w:t>风险级别</w:t>
            </w:r>
          </w:p>
        </w:tc>
        <w:tc>
          <w:tcPr>
            <w:tcW w:type="dxa" w:w="1701"/>
            <w:shd w:fill="D9E2F3" w:val="clear"/>
          </w:tcPr>
          <w:p>
            <w:pPr>
              <w:jc w:val="center"/>
            </w:pPr>
            <w:r/>
            <w:r>
              <w:rPr>
                <w:rFonts w:ascii="SimSun" w:hAnsi="SimSun" w:eastAsia="SimSun"/>
                <w:b/>
                <w:sz w:val="20"/>
              </w:rPr>
              <w:t>典型场景描述</w:t>
            </w:r>
          </w:p>
        </w:tc>
        <w:tc>
          <w:tcPr>
            <w:tcW w:type="dxa" w:w="1417"/>
            <w:shd w:fill="D9E2F3" w:val="clear"/>
          </w:tcPr>
          <w:p>
            <w:pPr>
              <w:jc w:val="center"/>
            </w:pPr>
            <w:r/>
            <w:r>
              <w:rPr>
                <w:rFonts w:ascii="SimSun" w:hAnsi="SimSun" w:eastAsia="SimSun"/>
                <w:b/>
                <w:sz w:val="20"/>
              </w:rPr>
              <w:t>核心评估指标</w:t>
            </w:r>
          </w:p>
        </w:tc>
      </w:tr>
      <w:tr>
        <w:tc>
          <w:tcPr>
            <w:tcW w:type="dxa" w:w="1134"/>
          </w:tcPr>
          <w:p>
            <w:pPr>
              <w:jc w:val="center"/>
            </w:pPr>
            <w:r/>
            <w:r>
              <w:rPr>
                <w:rFonts w:ascii="SimSun" w:hAnsi="SimSun" w:eastAsia="SimSun"/>
                <w:b w:val="0"/>
                <w:sz w:val="20"/>
              </w:rPr>
              <w:t>正常运行</w:t>
            </w:r>
          </w:p>
        </w:tc>
        <w:tc>
          <w:tcPr>
            <w:tcW w:type="dxa" w:w="850"/>
          </w:tcPr>
          <w:p>
            <w:pPr>
              <w:jc w:val="center"/>
            </w:pPr>
            <w:r/>
            <w:r>
              <w:rPr>
                <w:rFonts w:ascii="SimSun" w:hAnsi="SimSun" w:eastAsia="SimSun"/>
                <w:b w:val="0"/>
                <w:sz w:val="20"/>
              </w:rPr>
              <w:t>30+</w:t>
            </w:r>
          </w:p>
        </w:tc>
        <w:tc>
          <w:tcPr>
            <w:tcW w:type="dxa" w:w="850"/>
          </w:tcPr>
          <w:p>
            <w:pPr>
              <w:jc w:val="center"/>
            </w:pPr>
            <w:r/>
            <w:r>
              <w:rPr>
                <w:rFonts w:ascii="SimSun" w:hAnsi="SimSun" w:eastAsia="SimSun"/>
                <w:b w:val="0"/>
                <w:sz w:val="20"/>
              </w:rPr>
              <w:t>低~中</w:t>
            </w:r>
          </w:p>
        </w:tc>
        <w:tc>
          <w:tcPr>
            <w:tcW w:type="dxa" w:w="1701"/>
          </w:tcPr>
          <w:p>
            <w:pPr>
              <w:jc w:val="center"/>
            </w:pPr>
            <w:r/>
            <w:r>
              <w:rPr>
                <w:rFonts w:ascii="SimSun" w:hAnsi="SimSun" w:eastAsia="SimSun"/>
                <w:b w:val="0"/>
                <w:sz w:val="20"/>
              </w:rPr>
              <w:t>稳态输水、计划调流、</w:t>
              <w:br/>
              <w:t>常规取水变化</w:t>
            </w:r>
          </w:p>
        </w:tc>
        <w:tc>
          <w:tcPr>
            <w:tcW w:type="dxa" w:w="1417"/>
          </w:tcPr>
          <w:p>
            <w:pPr>
              <w:jc w:val="center"/>
            </w:pPr>
            <w:r/>
            <w:r>
              <w:rPr>
                <w:rFonts w:ascii="SimSun" w:hAnsi="SimSun" w:eastAsia="SimSun"/>
                <w:b w:val="0"/>
                <w:sz w:val="20"/>
              </w:rPr>
              <w:t>水位偏差、流量</w:t>
              <w:br/>
              <w:t>跟踪精度</w:t>
            </w:r>
          </w:p>
        </w:tc>
      </w:tr>
      <w:tr>
        <w:tc>
          <w:tcPr>
            <w:tcW w:type="dxa" w:w="1134"/>
          </w:tcPr>
          <w:p>
            <w:pPr>
              <w:jc w:val="center"/>
            </w:pPr>
            <w:r/>
            <w:r>
              <w:rPr>
                <w:rFonts w:ascii="SimSun" w:hAnsi="SimSun" w:eastAsia="SimSun"/>
                <w:b w:val="0"/>
                <w:sz w:val="20"/>
              </w:rPr>
              <w:t>大幅调流</w:t>
            </w:r>
          </w:p>
        </w:tc>
        <w:tc>
          <w:tcPr>
            <w:tcW w:type="dxa" w:w="850"/>
          </w:tcPr>
          <w:p>
            <w:pPr>
              <w:jc w:val="center"/>
            </w:pPr>
            <w:r/>
            <w:r>
              <w:rPr>
                <w:rFonts w:ascii="SimSun" w:hAnsi="SimSun" w:eastAsia="SimSun"/>
                <w:b w:val="0"/>
                <w:sz w:val="20"/>
              </w:rPr>
              <w:t>25+</w:t>
            </w:r>
          </w:p>
        </w:tc>
        <w:tc>
          <w:tcPr>
            <w:tcW w:type="dxa" w:w="850"/>
          </w:tcPr>
          <w:p>
            <w:pPr>
              <w:jc w:val="center"/>
            </w:pPr>
            <w:r/>
            <w:r>
              <w:rPr>
                <w:rFonts w:ascii="SimSun" w:hAnsi="SimSun" w:eastAsia="SimSun"/>
                <w:b w:val="0"/>
                <w:sz w:val="20"/>
              </w:rPr>
              <w:t>中</w:t>
            </w:r>
          </w:p>
        </w:tc>
        <w:tc>
          <w:tcPr>
            <w:tcW w:type="dxa" w:w="1701"/>
          </w:tcPr>
          <w:p>
            <w:pPr>
              <w:jc w:val="center"/>
            </w:pPr>
            <w:r/>
            <w:r>
              <w:rPr>
                <w:rFonts w:ascii="SimSun" w:hAnsi="SimSun" w:eastAsia="SimSun"/>
                <w:b w:val="0"/>
                <w:sz w:val="20"/>
              </w:rPr>
              <w:t>流量增减20%~50%</w:t>
              <w:br/>
              <w:t>分段过渡</w:t>
            </w:r>
          </w:p>
        </w:tc>
        <w:tc>
          <w:tcPr>
            <w:tcW w:type="dxa" w:w="1417"/>
          </w:tcPr>
          <w:p>
            <w:pPr>
              <w:jc w:val="center"/>
            </w:pPr>
            <w:r/>
            <w:r>
              <w:rPr>
                <w:rFonts w:ascii="SimSun" w:hAnsi="SimSun" w:eastAsia="SimSun"/>
                <w:b w:val="0"/>
                <w:sz w:val="20"/>
              </w:rPr>
              <w:t>过渡时间、超调</w:t>
              <w:br/>
              <w:t>量、稳态精度</w:t>
            </w:r>
          </w:p>
        </w:tc>
      </w:tr>
      <w:tr>
        <w:tc>
          <w:tcPr>
            <w:tcW w:type="dxa" w:w="1134"/>
          </w:tcPr>
          <w:p>
            <w:pPr>
              <w:jc w:val="center"/>
            </w:pPr>
            <w:r/>
            <w:r>
              <w:rPr>
                <w:rFonts w:ascii="SimSun" w:hAnsi="SimSun" w:eastAsia="SimSun"/>
                <w:b w:val="0"/>
                <w:sz w:val="20"/>
              </w:rPr>
              <w:t>多点同时</w:t>
              <w:br/>
              <w:t>取水变化</w:t>
            </w:r>
          </w:p>
        </w:tc>
        <w:tc>
          <w:tcPr>
            <w:tcW w:type="dxa" w:w="850"/>
          </w:tcPr>
          <w:p>
            <w:pPr>
              <w:jc w:val="center"/>
            </w:pPr>
            <w:r/>
            <w:r>
              <w:rPr>
                <w:rFonts w:ascii="SimSun" w:hAnsi="SimSun" w:eastAsia="SimSun"/>
                <w:b w:val="0"/>
                <w:sz w:val="20"/>
              </w:rPr>
              <w:t>25+</w:t>
            </w:r>
          </w:p>
        </w:tc>
        <w:tc>
          <w:tcPr>
            <w:tcW w:type="dxa" w:w="850"/>
          </w:tcPr>
          <w:p>
            <w:pPr>
              <w:jc w:val="center"/>
            </w:pPr>
            <w:r/>
            <w:r>
              <w:rPr>
                <w:rFonts w:ascii="SimSun" w:hAnsi="SimSun" w:eastAsia="SimSun"/>
                <w:b w:val="0"/>
                <w:sz w:val="20"/>
              </w:rPr>
              <w:t>中~高</w:t>
            </w:r>
          </w:p>
        </w:tc>
        <w:tc>
          <w:tcPr>
            <w:tcW w:type="dxa" w:w="1701"/>
          </w:tcPr>
          <w:p>
            <w:pPr>
              <w:jc w:val="center"/>
            </w:pPr>
            <w:r/>
            <w:r>
              <w:rPr>
                <w:rFonts w:ascii="SimSun" w:hAnsi="SimSun" w:eastAsia="SimSun"/>
                <w:b w:val="0"/>
                <w:sz w:val="20"/>
              </w:rPr>
              <w:t>多个取水口同时</w:t>
              <w:br/>
              <w:t>发生流量变化</w:t>
            </w:r>
          </w:p>
        </w:tc>
        <w:tc>
          <w:tcPr>
            <w:tcW w:type="dxa" w:w="1417"/>
          </w:tcPr>
          <w:p>
            <w:pPr>
              <w:jc w:val="center"/>
            </w:pPr>
            <w:r/>
            <w:r>
              <w:rPr>
                <w:rFonts w:ascii="SimSun" w:hAnsi="SimSun" w:eastAsia="SimSun"/>
                <w:b w:val="0"/>
                <w:sz w:val="20"/>
              </w:rPr>
              <w:t>分布式协调</w:t>
              <w:br/>
              <w:t>效果、耦合影响</w:t>
            </w:r>
          </w:p>
        </w:tc>
      </w:tr>
      <w:tr>
        <w:tc>
          <w:tcPr>
            <w:tcW w:type="dxa" w:w="1134"/>
          </w:tcPr>
          <w:p>
            <w:pPr>
              <w:jc w:val="center"/>
            </w:pPr>
            <w:r/>
            <w:r>
              <w:rPr>
                <w:rFonts w:ascii="SimSun" w:hAnsi="SimSun" w:eastAsia="SimSun"/>
                <w:b w:val="0"/>
                <w:sz w:val="20"/>
              </w:rPr>
              <w:t>极端降雨</w:t>
            </w:r>
          </w:p>
        </w:tc>
        <w:tc>
          <w:tcPr>
            <w:tcW w:type="dxa" w:w="850"/>
          </w:tcPr>
          <w:p>
            <w:pPr>
              <w:jc w:val="center"/>
            </w:pPr>
            <w:r/>
            <w:r>
              <w:rPr>
                <w:rFonts w:ascii="SimSun" w:hAnsi="SimSun" w:eastAsia="SimSun"/>
                <w:b w:val="0"/>
                <w:sz w:val="20"/>
              </w:rPr>
              <w:t>20+</w:t>
            </w:r>
          </w:p>
        </w:tc>
        <w:tc>
          <w:tcPr>
            <w:tcW w:type="dxa" w:w="850"/>
          </w:tcPr>
          <w:p>
            <w:pPr>
              <w:jc w:val="center"/>
            </w:pPr>
            <w:r/>
            <w:r>
              <w:rPr>
                <w:rFonts w:ascii="SimSun" w:hAnsi="SimSun" w:eastAsia="SimSun"/>
                <w:b w:val="0"/>
                <w:sz w:val="20"/>
              </w:rPr>
              <w:t>高</w:t>
            </w:r>
          </w:p>
        </w:tc>
        <w:tc>
          <w:tcPr>
            <w:tcW w:type="dxa" w:w="1701"/>
          </w:tcPr>
          <w:p>
            <w:pPr>
              <w:jc w:val="center"/>
            </w:pPr>
            <w:r/>
            <w:r>
              <w:rPr>
                <w:rFonts w:ascii="SimSun" w:hAnsi="SimSun" w:eastAsia="SimSun"/>
                <w:b w:val="0"/>
                <w:sz w:val="20"/>
              </w:rPr>
              <w:t>暴雨/连续降雨导致</w:t>
              <w:br/>
              <w:t>旁侧入流骤增</w:t>
            </w:r>
          </w:p>
        </w:tc>
        <w:tc>
          <w:tcPr>
            <w:tcW w:type="dxa" w:w="1417"/>
          </w:tcPr>
          <w:p>
            <w:pPr>
              <w:jc w:val="center"/>
            </w:pPr>
            <w:r/>
            <w:r>
              <w:rPr>
                <w:rFonts w:ascii="SimSun" w:hAnsi="SimSun" w:eastAsia="SimSun"/>
                <w:b w:val="0"/>
                <w:sz w:val="20"/>
              </w:rPr>
              <w:t>水位安全、退水</w:t>
              <w:br/>
              <w:t>闸启动时机</w:t>
            </w:r>
          </w:p>
        </w:tc>
      </w:tr>
      <w:tr>
        <w:tc>
          <w:tcPr>
            <w:tcW w:type="dxa" w:w="1134"/>
          </w:tcPr>
          <w:p>
            <w:pPr>
              <w:jc w:val="center"/>
            </w:pPr>
            <w:r/>
            <w:r>
              <w:rPr>
                <w:rFonts w:ascii="SimSun" w:hAnsi="SimSun" w:eastAsia="SimSun"/>
                <w:b w:val="0"/>
                <w:sz w:val="20"/>
              </w:rPr>
              <w:t>传感器故障</w:t>
            </w:r>
          </w:p>
        </w:tc>
        <w:tc>
          <w:tcPr>
            <w:tcW w:type="dxa" w:w="850"/>
          </w:tcPr>
          <w:p>
            <w:pPr>
              <w:jc w:val="center"/>
            </w:pPr>
            <w:r/>
            <w:r>
              <w:rPr>
                <w:rFonts w:ascii="SimSun" w:hAnsi="SimSun" w:eastAsia="SimSun"/>
                <w:b w:val="0"/>
                <w:sz w:val="20"/>
              </w:rPr>
              <w:t>25+</w:t>
            </w:r>
          </w:p>
        </w:tc>
        <w:tc>
          <w:tcPr>
            <w:tcW w:type="dxa" w:w="850"/>
          </w:tcPr>
          <w:p>
            <w:pPr>
              <w:jc w:val="center"/>
            </w:pPr>
            <w:r/>
            <w:r>
              <w:rPr>
                <w:rFonts w:ascii="SimSun" w:hAnsi="SimSun" w:eastAsia="SimSun"/>
                <w:b w:val="0"/>
                <w:sz w:val="20"/>
              </w:rPr>
              <w:t>中~高</w:t>
            </w:r>
          </w:p>
        </w:tc>
        <w:tc>
          <w:tcPr>
            <w:tcW w:type="dxa" w:w="1701"/>
          </w:tcPr>
          <w:p>
            <w:pPr>
              <w:jc w:val="center"/>
            </w:pPr>
            <w:r/>
            <w:r>
              <w:rPr>
                <w:rFonts w:ascii="SimSun" w:hAnsi="SimSun" w:eastAsia="SimSun"/>
                <w:b w:val="0"/>
                <w:sz w:val="20"/>
              </w:rPr>
              <w:t>单点/多点水位传感</w:t>
              <w:br/>
              <w:t>器偏差或失效</w:t>
            </w:r>
          </w:p>
        </w:tc>
        <w:tc>
          <w:tcPr>
            <w:tcW w:type="dxa" w:w="1417"/>
          </w:tcPr>
          <w:p>
            <w:pPr>
              <w:jc w:val="center"/>
            </w:pPr>
            <w:r/>
            <w:r>
              <w:rPr>
                <w:rFonts w:ascii="SimSun" w:hAnsi="SimSun" w:eastAsia="SimSun"/>
                <w:b w:val="0"/>
                <w:sz w:val="20"/>
              </w:rPr>
              <w:t>状态估计降级、</w:t>
              <w:br/>
              <w:t>控制鲁棒性</w:t>
            </w:r>
          </w:p>
        </w:tc>
      </w:tr>
      <w:tr>
        <w:tc>
          <w:tcPr>
            <w:tcW w:type="dxa" w:w="1134"/>
          </w:tcPr>
          <w:p>
            <w:pPr>
              <w:jc w:val="center"/>
            </w:pPr>
            <w:r/>
            <w:r>
              <w:rPr>
                <w:rFonts w:ascii="SimSun" w:hAnsi="SimSun" w:eastAsia="SimSun"/>
                <w:b w:val="0"/>
                <w:sz w:val="20"/>
              </w:rPr>
              <w:t>执行器故障</w:t>
            </w:r>
          </w:p>
        </w:tc>
        <w:tc>
          <w:tcPr>
            <w:tcW w:type="dxa" w:w="850"/>
          </w:tcPr>
          <w:p>
            <w:pPr>
              <w:jc w:val="center"/>
            </w:pPr>
            <w:r/>
            <w:r>
              <w:rPr>
                <w:rFonts w:ascii="SimSun" w:hAnsi="SimSun" w:eastAsia="SimSun"/>
                <w:b w:val="0"/>
                <w:sz w:val="20"/>
              </w:rPr>
              <w:t>20+</w:t>
            </w:r>
          </w:p>
        </w:tc>
        <w:tc>
          <w:tcPr>
            <w:tcW w:type="dxa" w:w="850"/>
          </w:tcPr>
          <w:p>
            <w:pPr>
              <w:jc w:val="center"/>
            </w:pPr>
            <w:r/>
            <w:r>
              <w:rPr>
                <w:rFonts w:ascii="SimSun" w:hAnsi="SimSun" w:eastAsia="SimSun"/>
                <w:b w:val="0"/>
                <w:sz w:val="20"/>
              </w:rPr>
              <w:t>高</w:t>
            </w:r>
          </w:p>
        </w:tc>
        <w:tc>
          <w:tcPr>
            <w:tcW w:type="dxa" w:w="1701"/>
          </w:tcPr>
          <w:p>
            <w:pPr>
              <w:jc w:val="center"/>
            </w:pPr>
            <w:r/>
            <w:r>
              <w:rPr>
                <w:rFonts w:ascii="SimSun" w:hAnsi="SimSun" w:eastAsia="SimSun"/>
                <w:b w:val="0"/>
                <w:sz w:val="20"/>
              </w:rPr>
              <w:t>闸门卡阻、响应</w:t>
              <w:br/>
              <w:t>迟滞、全失效</w:t>
            </w:r>
          </w:p>
        </w:tc>
        <w:tc>
          <w:tcPr>
            <w:tcW w:type="dxa" w:w="1417"/>
          </w:tcPr>
          <w:p>
            <w:pPr>
              <w:jc w:val="center"/>
            </w:pPr>
            <w:r/>
            <w:r>
              <w:rPr>
                <w:rFonts w:ascii="SimSun" w:hAnsi="SimSun" w:eastAsia="SimSun"/>
                <w:b w:val="0"/>
                <w:sz w:val="20"/>
              </w:rPr>
              <w:t>应急切换、备用</w:t>
              <w:br/>
              <w:t>方案效果</w:t>
            </w:r>
          </w:p>
        </w:tc>
      </w:tr>
      <w:tr>
        <w:tc>
          <w:tcPr>
            <w:tcW w:type="dxa" w:w="1134"/>
          </w:tcPr>
          <w:p>
            <w:pPr>
              <w:jc w:val="center"/>
            </w:pPr>
            <w:r/>
            <w:r>
              <w:rPr>
                <w:rFonts w:ascii="SimSun" w:hAnsi="SimSun" w:eastAsia="SimSun"/>
                <w:b w:val="0"/>
                <w:sz w:val="20"/>
              </w:rPr>
              <w:t>通信故障</w:t>
            </w:r>
          </w:p>
        </w:tc>
        <w:tc>
          <w:tcPr>
            <w:tcW w:type="dxa" w:w="850"/>
          </w:tcPr>
          <w:p>
            <w:pPr>
              <w:jc w:val="center"/>
            </w:pPr>
            <w:r/>
            <w:r>
              <w:rPr>
                <w:rFonts w:ascii="SimSun" w:hAnsi="SimSun" w:eastAsia="SimSun"/>
                <w:b w:val="0"/>
                <w:sz w:val="20"/>
              </w:rPr>
              <w:t>20+</w:t>
            </w:r>
          </w:p>
        </w:tc>
        <w:tc>
          <w:tcPr>
            <w:tcW w:type="dxa" w:w="850"/>
          </w:tcPr>
          <w:p>
            <w:pPr>
              <w:jc w:val="center"/>
            </w:pPr>
            <w:r/>
            <w:r>
              <w:rPr>
                <w:rFonts w:ascii="SimSun" w:hAnsi="SimSun" w:eastAsia="SimSun"/>
                <w:b w:val="0"/>
                <w:sz w:val="20"/>
              </w:rPr>
              <w:t>中~高</w:t>
            </w:r>
          </w:p>
        </w:tc>
        <w:tc>
          <w:tcPr>
            <w:tcW w:type="dxa" w:w="1701"/>
          </w:tcPr>
          <w:p>
            <w:pPr>
              <w:jc w:val="center"/>
            </w:pPr>
            <w:r/>
            <w:r>
              <w:rPr>
                <w:rFonts w:ascii="SimSun" w:hAnsi="SimSun" w:eastAsia="SimSun"/>
                <w:b w:val="0"/>
                <w:sz w:val="20"/>
              </w:rPr>
              <w:t>单链路/区域性</w:t>
              <w:br/>
              <w:t>通信中断</w:t>
            </w:r>
          </w:p>
        </w:tc>
        <w:tc>
          <w:tcPr>
            <w:tcW w:type="dxa" w:w="1417"/>
          </w:tcPr>
          <w:p>
            <w:pPr>
              <w:jc w:val="center"/>
            </w:pPr>
            <w:r/>
            <w:r>
              <w:rPr>
                <w:rFonts w:ascii="SimSun" w:hAnsi="SimSun" w:eastAsia="SimSun"/>
                <w:b w:val="0"/>
                <w:sz w:val="20"/>
              </w:rPr>
              <w:t>本地自治能力</w:t>
              <w:br/>
              <w:t>恢复后同步</w:t>
            </w:r>
          </w:p>
        </w:tc>
      </w:tr>
      <w:tr>
        <w:tc>
          <w:tcPr>
            <w:tcW w:type="dxa" w:w="1134"/>
          </w:tcPr>
          <w:p>
            <w:pPr>
              <w:jc w:val="center"/>
            </w:pPr>
            <w:r/>
            <w:r>
              <w:rPr>
                <w:rFonts w:ascii="SimSun" w:hAnsi="SimSun" w:eastAsia="SimSun"/>
                <w:b w:val="0"/>
                <w:sz w:val="20"/>
              </w:rPr>
              <w:t>冰期运行</w:t>
            </w:r>
          </w:p>
        </w:tc>
        <w:tc>
          <w:tcPr>
            <w:tcW w:type="dxa" w:w="850"/>
          </w:tcPr>
          <w:p>
            <w:pPr>
              <w:jc w:val="center"/>
            </w:pPr>
            <w:r/>
            <w:r>
              <w:rPr>
                <w:rFonts w:ascii="SimSun" w:hAnsi="SimSun" w:eastAsia="SimSun"/>
                <w:b w:val="0"/>
                <w:sz w:val="20"/>
              </w:rPr>
              <w:t>25+</w:t>
            </w:r>
          </w:p>
        </w:tc>
        <w:tc>
          <w:tcPr>
            <w:tcW w:type="dxa" w:w="850"/>
          </w:tcPr>
          <w:p>
            <w:pPr>
              <w:jc w:val="center"/>
            </w:pPr>
            <w:r/>
            <w:r>
              <w:rPr>
                <w:rFonts w:ascii="SimSun" w:hAnsi="SimSun" w:eastAsia="SimSun"/>
                <w:b w:val="0"/>
                <w:sz w:val="20"/>
              </w:rPr>
              <w:t>高</w:t>
            </w:r>
          </w:p>
        </w:tc>
        <w:tc>
          <w:tcPr>
            <w:tcW w:type="dxa" w:w="1701"/>
          </w:tcPr>
          <w:p>
            <w:pPr>
              <w:jc w:val="center"/>
            </w:pPr>
            <w:r/>
            <w:r>
              <w:rPr>
                <w:rFonts w:ascii="SimSun" w:hAnsi="SimSun" w:eastAsia="SimSun"/>
                <w:b w:val="0"/>
                <w:sz w:val="20"/>
              </w:rPr>
              <w:t>冰盖形成/破碎、</w:t>
              <w:br/>
              <w:t>冰塞冰坝</w:t>
            </w:r>
          </w:p>
        </w:tc>
        <w:tc>
          <w:tcPr>
            <w:tcW w:type="dxa" w:w="1417"/>
          </w:tcPr>
          <w:p>
            <w:pPr>
              <w:jc w:val="center"/>
            </w:pPr>
            <w:r/>
            <w:r>
              <w:rPr>
                <w:rFonts w:ascii="SimSun" w:hAnsi="SimSun" w:eastAsia="SimSun"/>
                <w:b w:val="0"/>
                <w:sz w:val="20"/>
              </w:rPr>
              <w:t>冰期约束满足</w:t>
              <w:br/>
              <w:t>流量控制精度</w:t>
            </w:r>
          </w:p>
        </w:tc>
      </w:tr>
      <w:tr>
        <w:tc>
          <w:tcPr>
            <w:tcW w:type="dxa" w:w="1134"/>
          </w:tcPr>
          <w:p>
            <w:pPr>
              <w:jc w:val="center"/>
            </w:pPr>
            <w:r/>
            <w:r>
              <w:rPr>
                <w:rFonts w:ascii="SimSun" w:hAnsi="SimSun" w:eastAsia="SimSun"/>
                <w:b w:val="0"/>
                <w:sz w:val="20"/>
              </w:rPr>
              <w:t>复合场景</w:t>
            </w:r>
          </w:p>
        </w:tc>
        <w:tc>
          <w:tcPr>
            <w:tcW w:type="dxa" w:w="850"/>
          </w:tcPr>
          <w:p>
            <w:pPr>
              <w:jc w:val="center"/>
            </w:pPr>
            <w:r/>
            <w:r>
              <w:rPr>
                <w:rFonts w:ascii="SimSun" w:hAnsi="SimSun" w:eastAsia="SimSun"/>
                <w:b w:val="0"/>
                <w:sz w:val="20"/>
              </w:rPr>
              <w:t>30+</w:t>
            </w:r>
          </w:p>
        </w:tc>
        <w:tc>
          <w:tcPr>
            <w:tcW w:type="dxa" w:w="850"/>
          </w:tcPr>
          <w:p>
            <w:pPr>
              <w:jc w:val="center"/>
            </w:pPr>
            <w:r/>
            <w:r>
              <w:rPr>
                <w:rFonts w:ascii="SimSun" w:hAnsi="SimSun" w:eastAsia="SimSun"/>
                <w:b w:val="0"/>
                <w:sz w:val="20"/>
              </w:rPr>
              <w:t>高</w:t>
            </w:r>
          </w:p>
        </w:tc>
        <w:tc>
          <w:tcPr>
            <w:tcW w:type="dxa" w:w="1701"/>
          </w:tcPr>
          <w:p>
            <w:pPr>
              <w:jc w:val="center"/>
            </w:pPr>
            <w:r/>
            <w:r>
              <w:rPr>
                <w:rFonts w:ascii="SimSun" w:hAnsi="SimSun" w:eastAsia="SimSun"/>
                <w:b w:val="0"/>
                <w:sz w:val="20"/>
              </w:rPr>
              <w:t>两种以上异常</w:t>
              <w:br/>
              <w:t>同时发生</w:t>
            </w:r>
          </w:p>
        </w:tc>
        <w:tc>
          <w:tcPr>
            <w:tcW w:type="dxa" w:w="1417"/>
          </w:tcPr>
          <w:p>
            <w:pPr>
              <w:jc w:val="center"/>
            </w:pPr>
            <w:r/>
            <w:r>
              <w:rPr>
                <w:rFonts w:ascii="SimSun" w:hAnsi="SimSun" w:eastAsia="SimSun"/>
                <w:b w:val="0"/>
                <w:sz w:val="20"/>
              </w:rPr>
              <w:t>系统整体韧性</w:t>
              <w:br/>
              <w:t>降级策略</w:t>
            </w:r>
          </w:p>
        </w:tc>
      </w:tr>
    </w:tbl>
    <w:p>
      <w:pPr>
        <w:spacing w:line="400" w:lineRule="exact" w:before="60" w:after="60"/>
        <w:ind w:firstLine="482"/>
      </w:pPr>
      <w:r>
        <w:rPr>
          <w:rFonts w:ascii="SimSun" w:hAnsi="SimSun" w:eastAsia="SimSun"/>
          <w:b w:val="0"/>
          <w:sz w:val="24"/>
        </w:rPr>
        <w:t>表9-2  南水北调中线场景库类别设计</w:t>
      </w:r>
    </w:p>
    <w:p>
      <w:pPr>
        <w:spacing w:before="280" w:after="200"/>
        <w:jc w:val="left"/>
      </w:pPr>
      <w:r>
        <w:rPr>
          <w:rFonts w:ascii="SimSun" w:hAnsi="SimSun" w:eastAsia="SimSun"/>
          <w:b/>
          <w:sz w:val="28"/>
        </w:rPr>
        <w:t>9.3  SIL验证平台</w:t>
      </w:r>
    </w:p>
    <w:p>
      <w:pPr>
        <w:spacing w:before="200" w:after="160"/>
        <w:jc w:val="left"/>
      </w:pPr>
      <w:r>
        <w:rPr>
          <w:rFonts w:ascii="SimSun" w:hAnsi="SimSun" w:eastAsia="SimSun"/>
          <w:b/>
          <w:sz w:val="24"/>
        </w:rPr>
        <w:t>9.3.1  SIL平台架构</w:t>
      </w:r>
    </w:p>
    <w:p>
      <w:pPr>
        <w:spacing w:line="400" w:lineRule="exact" w:before="60" w:after="60"/>
        <w:ind w:firstLine="482"/>
      </w:pPr>
      <w:r>
        <w:rPr>
          <w:rFonts w:ascii="SimSun" w:hAnsi="SimSun" w:eastAsia="SimSun"/>
          <w:b w:val="0"/>
          <w:sz w:val="24"/>
        </w:rPr>
        <w:t>SIL（Software-in-the-Loop，软件在环）验证在纯软件环境中测试控制策略。SIL平台的核心组件包括四个模块。</w:t>
      </w:r>
    </w:p>
    <w:p>
      <w:pPr>
        <w:spacing w:line="400" w:lineRule="exact" w:before="60" w:after="60"/>
        <w:ind w:firstLine="482"/>
      </w:pPr>
      <w:r>
        <w:rPr>
          <w:rFonts w:ascii="SimSun" w:hAnsi="SimSun" w:eastAsia="SimSun"/>
          <w:b w:val="0"/>
          <w:sz w:val="24"/>
        </w:rPr>
        <w:t>第一个模块为机理模型仿真引擎——运行Saint-Venant方程（或其简化形式ID/IDZ模型）的数值解，模拟水网的真实物理行为。仿真引擎必须经过独立校核，其保真度指标TF应不低于0.90（与实测数据对比，详见第五章）。仿真引擎的时间步长应小于被测控制算法的采样周期（如仿真步长1分钟，控制周期10分钟），以避免同步混叠效应[13]。</w:t>
      </w:r>
    </w:p>
    <w:p>
      <w:pPr>
        <w:spacing w:line="400" w:lineRule="exact" w:before="60" w:after="60"/>
        <w:ind w:firstLine="482"/>
      </w:pPr>
      <w:r>
        <w:rPr>
          <w:rFonts w:ascii="SimSun" w:hAnsi="SimSun" w:eastAsia="SimSun"/>
          <w:b w:val="0"/>
          <w:sz w:val="24"/>
        </w:rPr>
        <w:t>第二个模块为被测控制算法——即待验证的MPC/DMPC控制系统，包括状态估计器（EnKF）、模型预测控制器（MPC）、约束管理器和告警联动模块。被测算法在SIL环境中以"黑箱"方式运行——接收模拟传感器数据，输出控制指令，与在线运行时完全一致。</w:t>
      </w:r>
    </w:p>
    <w:p>
      <w:pPr>
        <w:spacing w:line="400" w:lineRule="exact" w:before="60" w:after="60"/>
        <w:ind w:firstLine="482"/>
      </w:pPr>
      <w:r>
        <w:rPr>
          <w:rFonts w:ascii="SimSun" w:hAnsi="SimSun" w:eastAsia="SimSun"/>
          <w:b w:val="0"/>
          <w:sz w:val="24"/>
        </w:rPr>
        <w:t>第三个模块为场景注入器——按照场景描述文件中定义的时序自动注入扰动和故障。场景注入器需要支持以下注入类型：边界条件变化（旁侧入流、取水口流量）、传感器干扰（偏差、噪声增大、信号丢失）、执行器故障（响应延迟、限幅、卡阻）、通信异常（延迟、丢包、中断）[14]。</w:t>
      </w:r>
    </w:p>
    <w:p>
      <w:pPr>
        <w:spacing w:line="400" w:lineRule="exact" w:before="60" w:after="60"/>
        <w:ind w:firstLine="482"/>
      </w:pPr>
      <w:r>
        <w:rPr>
          <w:rFonts w:ascii="SimSun" w:hAnsi="SimSun" w:eastAsia="SimSun"/>
          <w:b w:val="0"/>
          <w:sz w:val="24"/>
        </w:rPr>
        <w:t>第四个模块为评估记录器——自动记录仿真过程中的所有状态变量和控制动作，并在仿真结束后自动计算KPI指标，判定场景通过或失败。评估记录器还负责生成标准化的测试报告，包括时间序列图、统计汇总和异常事件标记。</w:t>
      </w:r>
    </w:p>
    <w:p>
      <w:pPr>
        <w:spacing w:line="400" w:lineRule="exact" w:before="60" w:after="60"/>
        <w:ind w:firstLine="482"/>
      </w:pPr>
      <w:r>
        <w:rPr>
          <w:rFonts w:ascii="SimSun" w:hAnsi="SimSun" w:eastAsia="SimSun"/>
          <w:b w:val="0"/>
          <w:sz w:val="24"/>
        </w:rPr>
        <w:t>SIL平台的整体架构如下式所示：</w:t>
      </w:r>
    </w:p>
    <w:p>
      <w:pPr>
        <w:spacing w:before="120" w:after="120"/>
        <w:jc w:val="center"/>
      </w:pPr>
      <w:r>
        <w:rPr>
          <w:rFonts w:ascii="SimSun" w:hAnsi="SimSun" w:eastAsia="SimSun"/>
          <w:b w:val="0"/>
          <w:sz w:val="24"/>
        </w:rPr>
        <w:t>SIL = {PlantModel, Controller, ScenarioInjector, Evaluator}   （式9-3）</w:t>
      </w:r>
    </w:p>
    <w:p>
      <w:pPr>
        <w:spacing w:line="360" w:lineRule="exact" w:before="40" w:after="40"/>
        <w:ind w:firstLine="482"/>
      </w:pPr>
      <w:r>
        <w:rPr>
          <w:rFonts w:ascii="SimSun" w:hAnsi="SimSun" w:eastAsia="SimSun"/>
          <w:b w:val="0"/>
          <w:sz w:val="21"/>
        </w:rPr>
        <w:t>式中：PlantModel为物理过程仿真引擎；Controller为被测控制系统；ScenarioInjector为场景注入器；Evaluator为评估记录器。四个模块通过标准化接口（建议采用OpenMI或FMI标准）互联。</w:t>
      </w:r>
    </w:p>
    <w:p>
      <w:pPr>
        <w:spacing w:before="200" w:after="160"/>
        <w:jc w:val="left"/>
      </w:pPr>
      <w:r>
        <w:rPr>
          <w:rFonts w:ascii="SimSun" w:hAnsi="SimSun" w:eastAsia="SimSun"/>
          <w:b/>
          <w:sz w:val="24"/>
        </w:rPr>
        <w:t>9.3.2  SIL测试的关键技术参数</w:t>
      </w:r>
    </w:p>
    <w:p>
      <w:pPr>
        <w:spacing w:line="400" w:lineRule="exact" w:before="60" w:after="60"/>
        <w:ind w:firstLine="482"/>
      </w:pPr>
      <w:r>
        <w:rPr>
          <w:rFonts w:ascii="SimSun" w:hAnsi="SimSun" w:eastAsia="SimSun"/>
          <w:b w:val="0"/>
          <w:sz w:val="24"/>
        </w:rPr>
        <w:t>SIL测试的加速比是一个关键参数。由于SIL环境为纯软件仿真，可以显著加速测试过程。对于明渠非恒定流仿真，Preissmann隐式差分格式的计算效率允许达到实际运行时间的10~100倍加速比。也就是说，模拟7天的运行过程只需要1.68~16.8小时的仿真时间。这使得大规模场景库的遍历测试在计算上是可行的[15]。</w:t>
      </w:r>
    </w:p>
    <w:p>
      <w:pPr>
        <w:spacing w:line="400" w:lineRule="exact" w:before="60" w:after="60"/>
        <w:ind w:firstLine="482"/>
      </w:pPr>
      <w:r>
        <w:rPr>
          <w:rFonts w:ascii="SimSun" w:hAnsi="SimSun" w:eastAsia="SimSun"/>
          <w:b w:val="0"/>
          <w:sz w:val="24"/>
        </w:rPr>
        <w:t>对于200个场景、每个场景仿真7天的场景库，SIL测试的总计算量估计为：</w:t>
      </w:r>
    </w:p>
    <w:p>
      <w:pPr>
        <w:spacing w:before="120" w:after="120"/>
        <w:jc w:val="center"/>
      </w:pPr>
      <w:r>
        <w:rPr>
          <w:rFonts w:ascii="SimSun" w:hAnsi="SimSun" w:eastAsia="SimSun"/>
          <w:b w:val="0"/>
          <w:sz w:val="24"/>
        </w:rPr>
        <w:t>T(SIL) = N(scenario) * T(sim) / R(accel) = 200 * 7 * 24 / 50 = 672 小时   （式9-4）</w:t>
      </w:r>
    </w:p>
    <w:p>
      <w:pPr>
        <w:spacing w:line="360" w:lineRule="exact" w:before="40" w:after="40"/>
        <w:ind w:firstLine="482"/>
      </w:pPr>
      <w:r>
        <w:rPr>
          <w:rFonts w:ascii="SimSun" w:hAnsi="SimSun" w:eastAsia="SimSun"/>
          <w:b w:val="0"/>
          <w:sz w:val="21"/>
        </w:rPr>
        <w:t>式中：N(scenario)=200为场景数量；T(sim)=7*24小时为每个场景的仿真时长；R(accel)=50为平均加速比。总计672小时的计算量可以通过在4台服务器上并行执行，在一周内完成全部测试。</w:t>
      </w:r>
    </w:p>
    <w:p>
      <w:pPr>
        <w:spacing w:line="400" w:lineRule="exact" w:before="60" w:after="60"/>
        <w:ind w:firstLine="482"/>
      </w:pPr>
      <w:r>
        <w:rPr>
          <w:rFonts w:ascii="SimSun" w:hAnsi="SimSun" w:eastAsia="SimSun"/>
          <w:b w:val="0"/>
          <w:sz w:val="24"/>
        </w:rPr>
        <w:t>SIL测试还需要特别关注数值稳定性问题。在极端场景中（如闸门突然全关导致水锤效应），仿真引擎可能出现数值发散。这不一定反映真实物理过程的不稳定性，也可能是数值格式本身的局限。因此，SIL平台应内置数值稳定性监测机制——当检测到CFL条件违反或状态变量溢出时，自动减小时间步长或切换至更稳健的数值格式[16]。</w:t>
      </w:r>
    </w:p>
    <w:p>
      <w:pPr>
        <w:spacing w:before="200" w:after="160"/>
        <w:jc w:val="left"/>
      </w:pPr>
      <w:r>
        <w:rPr>
          <w:rFonts w:ascii="SimSun" w:hAnsi="SimSun" w:eastAsia="SimSun"/>
          <w:b/>
          <w:sz w:val="24"/>
        </w:rPr>
        <w:t>9.3.3  SIL测试评估指标体系</w:t>
      </w:r>
    </w:p>
    <w:p>
      <w:pPr>
        <w:spacing w:line="400" w:lineRule="exact" w:before="60" w:after="60"/>
        <w:ind w:firstLine="482"/>
      </w:pPr>
      <w:r>
        <w:rPr>
          <w:rFonts w:ascii="SimSun" w:hAnsi="SimSun" w:eastAsia="SimSun"/>
          <w:b w:val="0"/>
          <w:sz w:val="24"/>
        </w:rPr>
        <w:t>SIL测试的评估指标分为四个层次。</w:t>
      </w:r>
    </w:p>
    <w:p>
      <w:pPr>
        <w:spacing w:line="400" w:lineRule="exact" w:before="60" w:after="60"/>
        <w:ind w:firstLine="482"/>
      </w:pPr>
      <w:r>
        <w:rPr>
          <w:rFonts w:ascii="SimSun" w:hAnsi="SimSun" w:eastAsia="SimSun"/>
          <w:b w:val="0"/>
          <w:sz w:val="24"/>
        </w:rPr>
        <w:t>第一层为安全性指标——最高优先级，任何一项不通过即判定场景失败。包括：红色约束裕度M(red)(t) &gt; 0 在全仿真周期内成立；无非计划性的极端动作（如闸门全关/全开）；约束告警系统正确触发且无漏报。</w:t>
      </w:r>
    </w:p>
    <w:p>
      <w:pPr>
        <w:spacing w:line="400" w:lineRule="exact" w:before="60" w:after="60"/>
        <w:ind w:firstLine="482"/>
      </w:pPr>
      <w:r>
        <w:rPr>
          <w:rFonts w:ascii="SimSun" w:hAnsi="SimSun" w:eastAsia="SimSun"/>
          <w:b w:val="0"/>
          <w:sz w:val="24"/>
        </w:rPr>
        <w:t>第二层为控制性能指标——衡量控制效果的定量指标。包括：</w:t>
      </w:r>
    </w:p>
    <w:p>
      <w:pPr>
        <w:spacing w:before="120" w:after="120"/>
        <w:jc w:val="center"/>
      </w:pPr>
      <w:r>
        <w:rPr>
          <w:rFonts w:ascii="SimSun" w:hAnsi="SimSun" w:eastAsia="SimSun"/>
          <w:b w:val="0"/>
          <w:sz w:val="24"/>
        </w:rPr>
        <w:t>MAE = (1/T) * Sigma(k=1 to T) |y(k) - r(k)|     （式9-5）</w:t>
      </w:r>
    </w:p>
    <w:p>
      <w:pPr>
        <w:spacing w:before="120" w:after="120"/>
        <w:jc w:val="center"/>
      </w:pPr>
      <w:r>
        <w:rPr>
          <w:rFonts w:ascii="SimSun" w:hAnsi="SimSun" w:eastAsia="SimSun"/>
          <w:b w:val="0"/>
          <w:sz w:val="24"/>
        </w:rPr>
        <w:t>IAE = Sigma(k=1 to T) |y(k) - r(k)| * Delta(t)     （式9-6）</w:t>
      </w:r>
    </w:p>
    <w:p>
      <w:pPr>
        <w:spacing w:before="120" w:after="120"/>
        <w:jc w:val="center"/>
      </w:pPr>
      <w:r>
        <w:rPr>
          <w:rFonts w:ascii="SimSun" w:hAnsi="SimSun" w:eastAsia="SimSun"/>
          <w:b w:val="0"/>
          <w:sz w:val="24"/>
        </w:rPr>
        <w:t>MaxDev = max(k=1 to T) |y(k) - r(k)|     （式9-7）</w:t>
      </w:r>
    </w:p>
    <w:p>
      <w:pPr>
        <w:spacing w:line="360" w:lineRule="exact" w:before="40" w:after="40"/>
        <w:ind w:firstLine="482"/>
      </w:pPr>
      <w:r>
        <w:rPr>
          <w:rFonts w:ascii="SimSun" w:hAnsi="SimSun" w:eastAsia="SimSun"/>
          <w:b w:val="0"/>
          <w:sz w:val="21"/>
        </w:rPr>
        <w:t>式中：MAE为平均绝对误差；IAE为积分绝对误差；MaxDev为最大偏差。对于南水北调中线，建议MAE &lt;= 0.05m、MaxDev &lt;= 0.15m（正常工况）或MaxDev &lt;= 0.25m（极端工况）。</w:t>
      </w:r>
    </w:p>
    <w:p>
      <w:pPr>
        <w:spacing w:line="400" w:lineRule="exact" w:before="60" w:after="60"/>
        <w:ind w:firstLine="482"/>
      </w:pPr>
      <w:r>
        <w:rPr>
          <w:rFonts w:ascii="SimSun" w:hAnsi="SimSun" w:eastAsia="SimSun"/>
          <w:b w:val="0"/>
          <w:sz w:val="24"/>
        </w:rPr>
        <w:t>第三层为效率指标——衡量资源利用效率。包括：闸门动作总次数（越少越好，减少机械磨损）、闸门动作总行程（越小越好）、泵站启停次数、电力消耗量。</w:t>
      </w:r>
    </w:p>
    <w:p>
      <w:pPr>
        <w:spacing w:line="400" w:lineRule="exact" w:before="60" w:after="60"/>
        <w:ind w:firstLine="482"/>
      </w:pPr>
      <w:r>
        <w:rPr>
          <w:rFonts w:ascii="SimSun" w:hAnsi="SimSun" w:eastAsia="SimSun"/>
          <w:b w:val="0"/>
          <w:sz w:val="24"/>
        </w:rPr>
        <w:t>第四层为韧性指标——衡量系统应对异常的恢复能力。包括：</w:t>
      </w:r>
    </w:p>
    <w:p>
      <w:pPr>
        <w:spacing w:before="120" w:after="120"/>
        <w:jc w:val="center"/>
      </w:pPr>
      <w:r>
        <w:rPr>
          <w:rFonts w:ascii="SimSun" w:hAnsi="SimSun" w:eastAsia="SimSun"/>
          <w:b w:val="0"/>
          <w:sz w:val="24"/>
        </w:rPr>
        <w:t>T(recovery) = 从扰动发生到系统恢复至绿色区间的时间   （式9-8）</w:t>
      </w:r>
    </w:p>
    <w:p>
      <w:pPr>
        <w:spacing w:before="120" w:after="120"/>
        <w:jc w:val="center"/>
      </w:pPr>
      <w:r>
        <w:rPr>
          <w:rFonts w:ascii="SimSun" w:hAnsi="SimSun" w:eastAsia="SimSun"/>
          <w:b w:val="0"/>
          <w:sz w:val="24"/>
        </w:rPr>
        <w:t>D(degradation) = 扰动期间最大性能降级比例     （式9-9）</w:t>
      </w:r>
    </w:p>
    <w:p>
      <w:pPr>
        <w:spacing w:line="360" w:lineRule="exact" w:before="40" w:after="40"/>
        <w:ind w:firstLine="482"/>
      </w:pPr>
      <w:r>
        <w:rPr>
          <w:rFonts w:ascii="SimSun" w:hAnsi="SimSun" w:eastAsia="SimSun"/>
          <w:b w:val="0"/>
          <w:sz w:val="21"/>
        </w:rPr>
        <w:t>式中：T(recovery)为恢复时间；D(degradation)为降级程度。韧性指标刻画了系统"抗扰→恢复"的全过程特性[17]。</w:t>
      </w:r>
    </w:p>
    <w:p>
      <w:pPr>
        <w:spacing w:before="280" w:after="200"/>
        <w:jc w:val="left"/>
      </w:pPr>
      <w:r>
        <w:rPr>
          <w:rFonts w:ascii="SimSun" w:hAnsi="SimSun" w:eastAsia="SimSun"/>
          <w:b/>
          <w:sz w:val="28"/>
        </w:rPr>
        <w:t>9.4  HIL验证平台</w:t>
      </w:r>
    </w:p>
    <w:p>
      <w:pPr>
        <w:spacing w:before="200" w:after="160"/>
        <w:jc w:val="left"/>
      </w:pPr>
      <w:r>
        <w:rPr>
          <w:rFonts w:ascii="SimSun" w:hAnsi="SimSun" w:eastAsia="SimSun"/>
          <w:b/>
          <w:sz w:val="24"/>
        </w:rPr>
        <w:t>9.4.1  HIL平台的必要性</w:t>
      </w:r>
    </w:p>
    <w:p>
      <w:pPr>
        <w:spacing w:line="400" w:lineRule="exact" w:before="60" w:after="60"/>
        <w:ind w:firstLine="482"/>
      </w:pPr>
      <w:r>
        <w:rPr>
          <w:rFonts w:ascii="SimSun" w:hAnsi="SimSun" w:eastAsia="SimSun"/>
          <w:b w:val="0"/>
          <w:sz w:val="24"/>
        </w:rPr>
        <w:t>SIL验证在纯软件环境中完成，具有成本低、速度快、可重复性好的优势，但无法暴露以下四类问题。第一，通信延迟与丢包——实际SCADA/RTU通信链路的延迟（典型值50~500ms）和丢包率（典型值0.1%~1%）在SIL中通常被理想化。第二，硬件计算精度限制——PLC的定点数运算精度（如16位A/D转换）可能导致控制指令的量化误差。第三，I/O信号转换误差——模拟量信号的A/D和D/A转换存在线性度误差和零漂。第四，实时操作系统调度冲突——当多个控制任务争用CPU资源时，可能导致控制周期抖动（jitter）[18]。</w:t>
      </w:r>
    </w:p>
    <w:p>
      <w:pPr>
        <w:spacing w:line="400" w:lineRule="exact" w:before="60" w:after="60"/>
        <w:ind w:firstLine="482"/>
      </w:pPr>
      <w:r>
        <w:rPr>
          <w:rFonts w:ascii="SimSun" w:hAnsi="SimSun" w:eastAsia="SimSun"/>
          <w:b w:val="0"/>
          <w:sz w:val="24"/>
        </w:rPr>
        <w:t>HIL（Hardware-in-the-Loop，硬件在环）验证通过接入真实控制硬件（PLC/RTU/边缘控制器），在保持物理过程仿真的同时，测试控制硬件的实际表现。HIL是SIL与现场试运行之间的关键桥梁——它在可控的实验室环境中暴露硬件相关问题，避免在昂贵的现场试运行中才发现这些问题。</w:t>
      </w:r>
    </w:p>
    <w:p>
      <w:pPr>
        <w:spacing w:before="200" w:after="160"/>
        <w:jc w:val="left"/>
      </w:pPr>
      <w:r>
        <w:rPr>
          <w:rFonts w:ascii="SimSun" w:hAnsi="SimSun" w:eastAsia="SimSun"/>
          <w:b/>
          <w:sz w:val="24"/>
        </w:rPr>
        <w:t>9.4.2  HIL平台架构</w:t>
      </w:r>
    </w:p>
    <w:p>
      <w:pPr>
        <w:spacing w:line="400" w:lineRule="exact" w:before="60" w:after="60"/>
        <w:ind w:firstLine="482"/>
      </w:pPr>
      <w:r>
        <w:rPr>
          <w:rFonts w:ascii="SimSun" w:hAnsi="SimSun" w:eastAsia="SimSun"/>
          <w:b w:val="0"/>
          <w:sz w:val="24"/>
        </w:rPr>
        <w:t>HIL平台的核心组件包括三个模块。第一个模块为实时仿真器（Real-Time Simulator）——运行物理过程模型，但必须满足实时约束，即仿真计算必须在每个采样周期内完成。实时仿真器通常运行在专用的实时计算平台上（如National Instruments PXI、dSPACE SCALEXIO、OPAL-RT等），配备实时操作系统（RTOS）保证确定性时序[19]。</w:t>
      </w:r>
    </w:p>
    <w:p>
      <w:pPr>
        <w:spacing w:line="400" w:lineRule="exact" w:before="60" w:after="60"/>
        <w:ind w:firstLine="482"/>
      </w:pPr>
      <w:r>
        <w:rPr>
          <w:rFonts w:ascii="SimSun" w:hAnsi="SimSun" w:eastAsia="SimSun"/>
          <w:b w:val="0"/>
          <w:sz w:val="24"/>
        </w:rPr>
        <w:t>第二个模块为真实控制硬件——即实际部署在工程现场的PLC/RTU/边缘控制器的相同型号或功能等效替代品。控制硬件通过标准工业通信协议（如Modbus TCP、OPC UA、IEC 61850）与实时仿真器交换数据，模拟"传感器输入→控制计算→执行器输出"的完整回路。</w:t>
      </w:r>
    </w:p>
    <w:p>
      <w:pPr>
        <w:spacing w:line="400" w:lineRule="exact" w:before="60" w:after="60"/>
        <w:ind w:firstLine="482"/>
      </w:pPr>
      <w:r>
        <w:rPr>
          <w:rFonts w:ascii="SimSun" w:hAnsi="SimSun" w:eastAsia="SimSun"/>
          <w:b w:val="0"/>
          <w:sz w:val="24"/>
        </w:rPr>
        <w:t>第三个模块为信号接口板（Signal Conditioning Board）——负责将实时仿真器输出的数字信号转换为控制硬件期望的模拟信号（4~20mA电流环路、0~10V电压信号等），以及将控制硬件输出的模拟控制信号转换回数字信号供仿真器读取。信号接口板的精度应优于被测系统的A/D转换精度。</w:t>
      </w:r>
    </w:p>
    <w:p>
      <w:pPr>
        <w:spacing w:before="200" w:after="160"/>
        <w:jc w:val="left"/>
      </w:pPr>
      <w:r>
        <w:rPr>
          <w:rFonts w:ascii="SimSun" w:hAnsi="SimSun" w:eastAsia="SimSun"/>
          <w:b/>
          <w:sz w:val="24"/>
        </w:rPr>
        <w:t>9.4.3  HIL测试的特殊要求</w:t>
      </w:r>
    </w:p>
    <w:p>
      <w:pPr>
        <w:spacing w:line="400" w:lineRule="exact" w:before="60" w:after="60"/>
        <w:ind w:firstLine="482"/>
      </w:pPr>
      <w:r>
        <w:rPr>
          <w:rFonts w:ascii="SimSun" w:hAnsi="SimSun" w:eastAsia="SimSun"/>
          <w:b w:val="0"/>
          <w:sz w:val="24"/>
        </w:rPr>
        <w:t>HIL测试相比SIL测试有三个特殊要求。第一，实时性约束——HIL仿真必须以1:1的实时速率运行（不能加速），因此测试效率比SIL低1~2个数量级。对于200个场景、每个场景7天的场景库，全部以HIL方式测试需要200 * 7 = 1400天，显然不切实际。因此建议HIL测试仅覆盖高风险场景的子集（约50~60个），其余场景通过SIL测试覆盖[20]。</w:t>
      </w:r>
    </w:p>
    <w:p>
      <w:pPr>
        <w:spacing w:line="400" w:lineRule="exact" w:before="60" w:after="60"/>
        <w:ind w:firstLine="482"/>
      </w:pPr>
      <w:r>
        <w:rPr>
          <w:rFonts w:ascii="SimSun" w:hAnsi="SimSun" w:eastAsia="SimSun"/>
          <w:b w:val="0"/>
          <w:sz w:val="24"/>
        </w:rPr>
        <w:t>第二，时序确定性——HIL环境中的通信延迟必须精确可控且可重现。建议在HIL平台中设置可编程的通信延迟注入模块，能够模拟不同的网络条件（延迟50~500ms、丢包率0~5%、带宽限制等）。</w:t>
      </w:r>
    </w:p>
    <w:p>
      <w:pPr>
        <w:spacing w:line="400" w:lineRule="exact" w:before="60" w:after="60"/>
        <w:ind w:firstLine="482"/>
      </w:pPr>
      <w:r>
        <w:rPr>
          <w:rFonts w:ascii="SimSun" w:hAnsi="SimSun" w:eastAsia="SimSun"/>
          <w:b w:val="0"/>
          <w:sz w:val="24"/>
        </w:rPr>
        <w:t>第三，故障注入的物理真实性——SIL中的传感器故障通过修改数字信号值来模拟，而HIL中可以通过物理手段注入更真实的故障，如在电流环路中串联可变电阻模拟传感器偏差、切断通信电缆模拟通信中断等。</w:t>
      </w:r>
    </w:p>
    <w:p>
      <w:pPr>
        <w:spacing w:line="400" w:lineRule="exact" w:before="60" w:after="60"/>
        <w:ind w:firstLine="482"/>
      </w:pPr>
      <w:r>
        <w:rPr>
          <w:rFonts w:ascii="SimSun" w:hAnsi="SimSun" w:eastAsia="SimSun"/>
          <w:b w:val="0"/>
          <w:sz w:val="24"/>
        </w:rPr>
        <w:t>HIL测试的通过标准应与SIL保持一致（同一套KPI指标和阈值），但允许因硬件因素导致的微小性能降级。建议HIL测试的性能指标容差在SIL基准的110%以内——即如果SIL测试中MAE = 0.04m，则HIL中允许MAE &lt;= 0.044m[21]。</w:t>
      </w:r>
    </w:p>
    <w:p>
      <w:pPr>
        <w:spacing w:before="280" w:after="200"/>
        <w:jc w:val="left"/>
      </w:pPr>
      <w:r>
        <w:rPr>
          <w:rFonts w:ascii="SimSun" w:hAnsi="SimSun" w:eastAsia="SimSun"/>
          <w:b/>
          <w:sz w:val="28"/>
        </w:rPr>
        <w:t>9.5  安全标准对标与WSIL体系构建</w:t>
      </w:r>
    </w:p>
    <w:p>
      <w:pPr>
        <w:spacing w:before="200" w:after="160"/>
        <w:jc w:val="left"/>
      </w:pPr>
      <w:r>
        <w:rPr>
          <w:rFonts w:ascii="SimSun" w:hAnsi="SimSun" w:eastAsia="SimSun"/>
          <w:b/>
          <w:sz w:val="24"/>
        </w:rPr>
        <w:t>9.5.1  对标ISO 26262：汽车功能安全</w:t>
      </w:r>
    </w:p>
    <w:p>
      <w:pPr>
        <w:spacing w:line="400" w:lineRule="exact" w:before="60" w:after="60"/>
        <w:ind w:firstLine="482"/>
      </w:pPr>
      <w:r>
        <w:rPr>
          <w:rFonts w:ascii="SimSun" w:hAnsi="SimSun" w:eastAsia="SimSun"/>
          <w:b w:val="0"/>
          <w:sz w:val="24"/>
        </w:rPr>
        <w:t>ISO 26262是汽车功能安全的国际标准，定义了从ASIL-A到ASIL-D四个汽车安全完整性等级[7]。ASIL等级由三个维度综合确定：暴露度E（系统处于潜在危险工况的概率）、可控性C（驾驶员/系统对故障的控制能力）、严重度S（故障后果的严重程度）。ASIL-D为最高等级，要求单点故障指标(SPFM) &gt;= 99%、潜在故障指标(LFM) &gt;= 90%、硬件随机故障目标值 &lt;= 10^(-8)/h。</w:t>
      </w:r>
    </w:p>
    <w:p>
      <w:pPr>
        <w:spacing w:line="400" w:lineRule="exact" w:before="60" w:after="60"/>
        <w:ind w:firstLine="482"/>
      </w:pPr>
      <w:r>
        <w:rPr>
          <w:rFonts w:ascii="SimSun" w:hAnsi="SimSun" w:eastAsia="SimSun"/>
          <w:b w:val="0"/>
          <w:sz w:val="24"/>
        </w:rPr>
        <w:t>ISO 26262对水利行业的核心借鉴价值在于其"风险导向的分级体系"——不是对所有系统施加统一的最高安全要求，而是根据风险等级差异化地分配安全资源。大坝溃坝风险防控显然需要比灌区末端渠道控制更高的安全等级。此外，ISO 26262的"安全概念→技术安全需求→系统设计→硬件/软件设计→集成测试→安全确认"全生命周期框架也值得水利行业参考[22]。</w:t>
      </w:r>
    </w:p>
    <w:p>
      <w:pPr>
        <w:spacing w:before="200" w:after="160"/>
        <w:jc w:val="left"/>
      </w:pPr>
      <w:r>
        <w:rPr>
          <w:rFonts w:ascii="SimSun" w:hAnsi="SimSun" w:eastAsia="SimSun"/>
          <w:b/>
          <w:sz w:val="24"/>
        </w:rPr>
        <w:t>9.5.2  对标DO-178C：航空软件安全</w:t>
      </w:r>
    </w:p>
    <w:p>
      <w:pPr>
        <w:spacing w:line="400" w:lineRule="exact" w:before="60" w:after="60"/>
        <w:ind w:firstLine="482"/>
      </w:pPr>
      <w:r>
        <w:rPr>
          <w:rFonts w:ascii="SimSun" w:hAnsi="SimSun" w:eastAsia="SimSun"/>
          <w:b w:val="0"/>
          <w:sz w:val="24"/>
        </w:rPr>
        <w:t>DO-178C（Software Considerations in Airborne Systems and Equipment Certification）是航空软件认证的核心标准[6]。其核心理念是"目标导向"（Objectives-based）而非"过程导向"——标准定义了每个设计保证等级（DAL）必须满足的目标集合，但不强制规定实现路径。</w:t>
      </w:r>
    </w:p>
    <w:p>
      <w:pPr>
        <w:spacing w:line="400" w:lineRule="exact" w:before="60" w:after="60"/>
        <w:ind w:firstLine="482"/>
      </w:pPr>
      <w:r>
        <w:rPr>
          <w:rFonts w:ascii="SimSun" w:hAnsi="SimSun" w:eastAsia="SimSun"/>
          <w:b w:val="0"/>
          <w:sz w:val="24"/>
        </w:rPr>
        <w:t>DO-178C将软件分为A~E五个设计保证等级。DAL-A（灾难性故障）要求最为严格，其核心要求包括：100%的MC/DC（修正条件/判定覆盖）测试、完整的需求追溯矩阵（每行代码可追溯到具体需求、每个需求可追溯到测试用例）、独立的验证与确认（IV&amp;V，由独立于开发团队的人员执行验证）、全部66个目标的符合性证据。DAL-E（无安全影响）无特殊要求。</w:t>
      </w:r>
    </w:p>
    <w:p>
      <w:pPr>
        <w:spacing w:line="400" w:lineRule="exact" w:before="60" w:after="60"/>
        <w:ind w:firstLine="482"/>
      </w:pPr>
      <w:r>
        <w:rPr>
          <w:rFonts w:ascii="SimSun" w:hAnsi="SimSun" w:eastAsia="SimSun"/>
          <w:b w:val="0"/>
          <w:sz w:val="24"/>
        </w:rPr>
        <w:t>水利行业可借鉴DO-178C的以下关键目标：需求追溯（每个控制逻辑可追溯到需求文档）；结构覆盖分析（确保测试充分性）；参数数据项验证（确保配置参数在有效范围内——这对MPC的大量可调参数尤为重要）；问题报告与纠正措施（形成闭环改进机制）[23]。</w:t>
      </w:r>
    </w:p>
    <w:p>
      <w:pPr>
        <w:spacing w:before="200" w:after="160"/>
        <w:jc w:val="left"/>
      </w:pPr>
      <w:r>
        <w:rPr>
          <w:rFonts w:ascii="SimSun" w:hAnsi="SimSun" w:eastAsia="SimSun"/>
          <w:b/>
          <w:sz w:val="24"/>
        </w:rPr>
        <w:t>9.5.3  WSIL水利安全完整性等级体系</w:t>
      </w:r>
    </w:p>
    <w:p>
      <w:pPr>
        <w:spacing w:line="400" w:lineRule="exact" w:before="60" w:after="60"/>
        <w:ind w:firstLine="482"/>
      </w:pPr>
      <w:r>
        <w:rPr>
          <w:rFonts w:ascii="SimSun" w:hAnsi="SimSun" w:eastAsia="SimSun"/>
          <w:b w:val="0"/>
          <w:sz w:val="24"/>
        </w:rPr>
        <w:t>综合ISO 26262和DO-178C的经验，建议建立四级水利安全完整性等级（WSIL, Water Safety Integrity Level）体系。WSIL等级的确定方法类比ASIL，由三个维度综合评定：</w:t>
      </w:r>
    </w:p>
    <w:p>
      <w:pPr>
        <w:spacing w:before="120" w:after="120"/>
        <w:jc w:val="center"/>
      </w:pPr>
      <w:r>
        <w:rPr>
          <w:rFonts w:ascii="SimSun" w:hAnsi="SimSun" w:eastAsia="SimSun"/>
          <w:b w:val="0"/>
          <w:sz w:val="24"/>
        </w:rPr>
        <w:t>WSIL = f(E(water), C(water), S(water))     （式9-10）</w:t>
      </w:r>
    </w:p>
    <w:p>
      <w:pPr>
        <w:spacing w:line="360" w:lineRule="exact" w:before="40" w:after="40"/>
        <w:ind w:firstLine="482"/>
      </w:pPr>
      <w:r>
        <w:rPr>
          <w:rFonts w:ascii="SimSun" w:hAnsi="SimSun" w:eastAsia="SimSun"/>
          <w:b w:val="0"/>
          <w:sz w:val="21"/>
        </w:rPr>
        <w:t>式中：E(water)为暴露度——系统处于潜在危险工况的频率（如干线调水渠的暴露度高于末端渠道）；C(water)为可控性——人工接管的可行性和响应时间（大时滞系统的可控性低于即时响应系统）；S(water)为严重度——约束违反的后果（堤防漫溢导致人员伤亡为最高严重度）。</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850"/>
            <w:shd w:fill="D9E2F3" w:val="clear"/>
          </w:tcPr>
          <w:p>
            <w:pPr>
              <w:jc w:val="center"/>
            </w:pPr>
            <w:r/>
            <w:r>
              <w:rPr>
                <w:rFonts w:ascii="SimSun" w:hAnsi="SimSun" w:eastAsia="SimSun"/>
                <w:b/>
                <w:sz w:val="20"/>
              </w:rPr>
              <w:t>安全等级</w:t>
            </w:r>
          </w:p>
        </w:tc>
        <w:tc>
          <w:tcPr>
            <w:tcW w:type="dxa" w:w="1134"/>
            <w:shd w:fill="D9E2F3" w:val="clear"/>
          </w:tcPr>
          <w:p>
            <w:pPr>
              <w:jc w:val="center"/>
            </w:pPr>
            <w:r/>
            <w:r>
              <w:rPr>
                <w:rFonts w:ascii="SimSun" w:hAnsi="SimSun" w:eastAsia="SimSun"/>
                <w:b/>
                <w:sz w:val="20"/>
              </w:rPr>
              <w:t>故障容忍目标</w:t>
            </w:r>
          </w:p>
        </w:tc>
        <w:tc>
          <w:tcPr>
            <w:tcW w:type="dxa" w:w="1134"/>
            <w:shd w:fill="D9E2F3" w:val="clear"/>
          </w:tcPr>
          <w:p>
            <w:pPr>
              <w:jc w:val="center"/>
            </w:pPr>
            <w:r/>
            <w:r>
              <w:rPr>
                <w:rFonts w:ascii="SimSun" w:hAnsi="SimSun" w:eastAsia="SimSun"/>
                <w:b/>
                <w:sz w:val="20"/>
              </w:rPr>
              <w:t>测试覆盖要求</w:t>
            </w:r>
          </w:p>
        </w:tc>
        <w:tc>
          <w:tcPr>
            <w:tcW w:type="dxa" w:w="1247"/>
            <w:shd w:fill="D9E2F3" w:val="clear"/>
          </w:tcPr>
          <w:p>
            <w:pPr>
              <w:jc w:val="center"/>
            </w:pPr>
            <w:r/>
            <w:r>
              <w:rPr>
                <w:rFonts w:ascii="SimSun" w:hAnsi="SimSun" w:eastAsia="SimSun"/>
                <w:b/>
                <w:sz w:val="20"/>
              </w:rPr>
              <w:t>冗余设计要求</w:t>
            </w:r>
          </w:p>
        </w:tc>
        <w:tc>
          <w:tcPr>
            <w:tcW w:type="dxa" w:w="1134"/>
            <w:shd w:fill="D9E2F3" w:val="clear"/>
          </w:tcPr>
          <w:p>
            <w:pPr>
              <w:jc w:val="center"/>
            </w:pPr>
            <w:r/>
            <w:r>
              <w:rPr>
                <w:rFonts w:ascii="SimSun" w:hAnsi="SimSun" w:eastAsia="SimSun"/>
                <w:b/>
                <w:sz w:val="20"/>
              </w:rPr>
              <w:t>审核要求</w:t>
            </w:r>
          </w:p>
        </w:tc>
        <w:tc>
          <w:tcPr>
            <w:tcW w:type="dxa" w:w="1134"/>
            <w:shd w:fill="D9E2F3" w:val="clear"/>
          </w:tcPr>
          <w:p>
            <w:pPr>
              <w:jc w:val="center"/>
            </w:pPr>
            <w:r/>
            <w:r>
              <w:rPr>
                <w:rFonts w:ascii="SimSun" w:hAnsi="SimSun" w:eastAsia="SimSun"/>
                <w:b/>
                <w:sz w:val="20"/>
              </w:rPr>
              <w:t>典型应用</w:t>
            </w:r>
          </w:p>
        </w:tc>
      </w:tr>
      <w:tr>
        <w:tc>
          <w:tcPr>
            <w:tcW w:type="dxa" w:w="850"/>
          </w:tcPr>
          <w:p>
            <w:pPr>
              <w:jc w:val="center"/>
            </w:pPr>
            <w:r/>
            <w:r>
              <w:rPr>
                <w:rFonts w:ascii="SimSun" w:hAnsi="SimSun" w:eastAsia="SimSun"/>
                <w:b w:val="0"/>
                <w:sz w:val="20"/>
              </w:rPr>
              <w:t>WSIL-D</w:t>
            </w:r>
          </w:p>
        </w:tc>
        <w:tc>
          <w:tcPr>
            <w:tcW w:type="dxa" w:w="1134"/>
          </w:tcPr>
          <w:p>
            <w:pPr>
              <w:jc w:val="center"/>
            </w:pPr>
            <w:r/>
            <w:r>
              <w:rPr>
                <w:rFonts w:ascii="SimSun" w:hAnsi="SimSun" w:eastAsia="SimSun"/>
                <w:b w:val="0"/>
                <w:sz w:val="20"/>
              </w:rPr>
              <w:t>PFD&lt;10^(-4)</w:t>
            </w:r>
          </w:p>
        </w:tc>
        <w:tc>
          <w:tcPr>
            <w:tcW w:type="dxa" w:w="1134"/>
          </w:tcPr>
          <w:p>
            <w:pPr>
              <w:jc w:val="center"/>
            </w:pPr>
            <w:r/>
            <w:r>
              <w:rPr>
                <w:rFonts w:ascii="SimSun" w:hAnsi="SimSun" w:eastAsia="SimSun"/>
                <w:b w:val="0"/>
                <w:sz w:val="20"/>
              </w:rPr>
              <w:t>MC/DC覆盖</w:t>
              <w:br/>
              <w:t>场景100%</w:t>
            </w:r>
          </w:p>
        </w:tc>
        <w:tc>
          <w:tcPr>
            <w:tcW w:type="dxa" w:w="1247"/>
          </w:tcPr>
          <w:p>
            <w:pPr>
              <w:jc w:val="center"/>
            </w:pPr>
            <w:r/>
            <w:r>
              <w:rPr>
                <w:rFonts w:ascii="SimSun" w:hAnsi="SimSun" w:eastAsia="SimSun"/>
                <w:b w:val="0"/>
                <w:sz w:val="20"/>
              </w:rPr>
              <w:t>三重冗余</w:t>
              <w:br/>
              <w:t>独立SIS</w:t>
            </w:r>
          </w:p>
        </w:tc>
        <w:tc>
          <w:tcPr>
            <w:tcW w:type="dxa" w:w="1134"/>
          </w:tcPr>
          <w:p>
            <w:pPr>
              <w:jc w:val="center"/>
            </w:pPr>
            <w:r/>
            <w:r>
              <w:rPr>
                <w:rFonts w:ascii="SimSun" w:hAnsi="SimSun" w:eastAsia="SimSun"/>
                <w:b w:val="0"/>
                <w:sz w:val="20"/>
              </w:rPr>
              <w:t>独立第三方</w:t>
              <w:br/>
              <w:t>认证</w:t>
            </w:r>
          </w:p>
        </w:tc>
        <w:tc>
          <w:tcPr>
            <w:tcW w:type="dxa" w:w="1134"/>
          </w:tcPr>
          <w:p>
            <w:pPr>
              <w:jc w:val="center"/>
            </w:pPr>
            <w:r/>
            <w:r>
              <w:rPr>
                <w:rFonts w:ascii="SimSun" w:hAnsi="SimSun" w:eastAsia="SimSun"/>
                <w:b w:val="0"/>
                <w:sz w:val="20"/>
              </w:rPr>
              <w:t>大坝防溃</w:t>
              <w:br/>
              <w:t>干线调水</w:t>
            </w:r>
          </w:p>
        </w:tc>
      </w:tr>
      <w:tr>
        <w:tc>
          <w:tcPr>
            <w:tcW w:type="dxa" w:w="850"/>
          </w:tcPr>
          <w:p>
            <w:pPr>
              <w:jc w:val="center"/>
            </w:pPr>
            <w:r/>
            <w:r>
              <w:rPr>
                <w:rFonts w:ascii="SimSun" w:hAnsi="SimSun" w:eastAsia="SimSun"/>
                <w:b w:val="0"/>
                <w:sz w:val="20"/>
              </w:rPr>
              <w:t>WSIL-C</w:t>
            </w:r>
          </w:p>
        </w:tc>
        <w:tc>
          <w:tcPr>
            <w:tcW w:type="dxa" w:w="1134"/>
          </w:tcPr>
          <w:p>
            <w:pPr>
              <w:jc w:val="center"/>
            </w:pPr>
            <w:r/>
            <w:r>
              <w:rPr>
                <w:rFonts w:ascii="SimSun" w:hAnsi="SimSun" w:eastAsia="SimSun"/>
                <w:b w:val="0"/>
                <w:sz w:val="20"/>
              </w:rPr>
              <w:t>PFD&lt;10^(-3)</w:t>
            </w:r>
          </w:p>
        </w:tc>
        <w:tc>
          <w:tcPr>
            <w:tcW w:type="dxa" w:w="1134"/>
          </w:tcPr>
          <w:p>
            <w:pPr>
              <w:jc w:val="center"/>
            </w:pPr>
            <w:r/>
            <w:r>
              <w:rPr>
                <w:rFonts w:ascii="SimSun" w:hAnsi="SimSun" w:eastAsia="SimSun"/>
                <w:b w:val="0"/>
                <w:sz w:val="20"/>
              </w:rPr>
              <w:t>分支覆盖</w:t>
              <w:br/>
              <w:t>场景90%</w:t>
            </w:r>
          </w:p>
        </w:tc>
        <w:tc>
          <w:tcPr>
            <w:tcW w:type="dxa" w:w="1247"/>
          </w:tcPr>
          <w:p>
            <w:pPr>
              <w:jc w:val="center"/>
            </w:pPr>
            <w:r/>
            <w:r>
              <w:rPr>
                <w:rFonts w:ascii="SimSun" w:hAnsi="SimSun" w:eastAsia="SimSun"/>
                <w:b w:val="0"/>
                <w:sz w:val="20"/>
              </w:rPr>
              <w:t>双重冗余</w:t>
            </w:r>
          </w:p>
        </w:tc>
        <w:tc>
          <w:tcPr>
            <w:tcW w:type="dxa" w:w="1134"/>
          </w:tcPr>
          <w:p>
            <w:pPr>
              <w:jc w:val="center"/>
            </w:pPr>
            <w:r/>
            <w:r>
              <w:rPr>
                <w:rFonts w:ascii="SimSun" w:hAnsi="SimSun" w:eastAsia="SimSun"/>
                <w:b w:val="0"/>
                <w:sz w:val="20"/>
              </w:rPr>
              <w:t>独立团队</w:t>
              <w:br/>
              <w:t>评审</w:t>
            </w:r>
          </w:p>
        </w:tc>
        <w:tc>
          <w:tcPr>
            <w:tcW w:type="dxa" w:w="1134"/>
          </w:tcPr>
          <w:p>
            <w:pPr>
              <w:jc w:val="center"/>
            </w:pPr>
            <w:r/>
            <w:r>
              <w:rPr>
                <w:rFonts w:ascii="SimSun" w:hAnsi="SimSun" w:eastAsia="SimSun"/>
                <w:b w:val="0"/>
                <w:sz w:val="20"/>
              </w:rPr>
              <w:t>城市主干</w:t>
              <w:br/>
              <w:t>管网</w:t>
            </w:r>
          </w:p>
        </w:tc>
      </w:tr>
      <w:tr>
        <w:tc>
          <w:tcPr>
            <w:tcW w:type="dxa" w:w="850"/>
          </w:tcPr>
          <w:p>
            <w:pPr>
              <w:jc w:val="center"/>
            </w:pPr>
            <w:r/>
            <w:r>
              <w:rPr>
                <w:rFonts w:ascii="SimSun" w:hAnsi="SimSun" w:eastAsia="SimSun"/>
                <w:b w:val="0"/>
                <w:sz w:val="20"/>
              </w:rPr>
              <w:t>WSIL-B</w:t>
            </w:r>
          </w:p>
        </w:tc>
        <w:tc>
          <w:tcPr>
            <w:tcW w:type="dxa" w:w="1134"/>
          </w:tcPr>
          <w:p>
            <w:pPr>
              <w:jc w:val="center"/>
            </w:pPr>
            <w:r/>
            <w:r>
              <w:rPr>
                <w:rFonts w:ascii="SimSun" w:hAnsi="SimSun" w:eastAsia="SimSun"/>
                <w:b w:val="0"/>
                <w:sz w:val="20"/>
              </w:rPr>
              <w:t>PFD&lt;10^(-2)</w:t>
            </w:r>
          </w:p>
        </w:tc>
        <w:tc>
          <w:tcPr>
            <w:tcW w:type="dxa" w:w="1134"/>
          </w:tcPr>
          <w:p>
            <w:pPr>
              <w:jc w:val="center"/>
            </w:pPr>
            <w:r/>
            <w:r>
              <w:rPr>
                <w:rFonts w:ascii="SimSun" w:hAnsi="SimSun" w:eastAsia="SimSun"/>
                <w:b w:val="0"/>
                <w:sz w:val="20"/>
              </w:rPr>
              <w:t>语句覆盖</w:t>
              <w:br/>
              <w:t>场景70%</w:t>
            </w:r>
          </w:p>
        </w:tc>
        <w:tc>
          <w:tcPr>
            <w:tcW w:type="dxa" w:w="1247"/>
          </w:tcPr>
          <w:p>
            <w:pPr>
              <w:jc w:val="center"/>
            </w:pPr>
            <w:r/>
            <w:r>
              <w:rPr>
                <w:rFonts w:ascii="SimSun" w:hAnsi="SimSun" w:eastAsia="SimSun"/>
                <w:b w:val="0"/>
                <w:sz w:val="20"/>
              </w:rPr>
              <w:t>单冗余</w:t>
              <w:br/>
              <w:t>热备</w:t>
            </w:r>
          </w:p>
        </w:tc>
        <w:tc>
          <w:tcPr>
            <w:tcW w:type="dxa" w:w="1134"/>
          </w:tcPr>
          <w:p>
            <w:pPr>
              <w:jc w:val="center"/>
            </w:pPr>
            <w:r/>
            <w:r>
              <w:rPr>
                <w:rFonts w:ascii="SimSun" w:hAnsi="SimSun" w:eastAsia="SimSun"/>
                <w:b w:val="0"/>
                <w:sz w:val="20"/>
              </w:rPr>
              <w:t>内部评审</w:t>
            </w:r>
          </w:p>
        </w:tc>
        <w:tc>
          <w:tcPr>
            <w:tcW w:type="dxa" w:w="1134"/>
          </w:tcPr>
          <w:p>
            <w:pPr>
              <w:jc w:val="center"/>
            </w:pPr>
            <w:r/>
            <w:r>
              <w:rPr>
                <w:rFonts w:ascii="SimSun" w:hAnsi="SimSun" w:eastAsia="SimSun"/>
                <w:b w:val="0"/>
                <w:sz w:val="20"/>
              </w:rPr>
              <w:t>一般灌区</w:t>
              <w:br/>
              <w:t>渠道</w:t>
            </w:r>
          </w:p>
        </w:tc>
      </w:tr>
      <w:tr>
        <w:tc>
          <w:tcPr>
            <w:tcW w:type="dxa" w:w="850"/>
          </w:tcPr>
          <w:p>
            <w:pPr>
              <w:jc w:val="center"/>
            </w:pPr>
            <w:r/>
            <w:r>
              <w:rPr>
                <w:rFonts w:ascii="SimSun" w:hAnsi="SimSun" w:eastAsia="SimSun"/>
                <w:b w:val="0"/>
                <w:sz w:val="20"/>
              </w:rPr>
              <w:t>WSIL-A</w:t>
            </w:r>
          </w:p>
        </w:tc>
        <w:tc>
          <w:tcPr>
            <w:tcW w:type="dxa" w:w="1134"/>
          </w:tcPr>
          <w:p>
            <w:pPr>
              <w:jc w:val="center"/>
            </w:pPr>
            <w:r/>
            <w:r>
              <w:rPr>
                <w:rFonts w:ascii="SimSun" w:hAnsi="SimSun" w:eastAsia="SimSun"/>
                <w:b w:val="0"/>
                <w:sz w:val="20"/>
              </w:rPr>
              <w:t>PFD&lt;10^(-1)</w:t>
            </w:r>
          </w:p>
        </w:tc>
        <w:tc>
          <w:tcPr>
            <w:tcW w:type="dxa" w:w="1134"/>
          </w:tcPr>
          <w:p>
            <w:pPr>
              <w:jc w:val="center"/>
            </w:pPr>
            <w:r/>
            <w:r>
              <w:rPr>
                <w:rFonts w:ascii="SimSun" w:hAnsi="SimSun" w:eastAsia="SimSun"/>
                <w:b w:val="0"/>
                <w:sz w:val="20"/>
              </w:rPr>
              <w:t>功能测试</w:t>
            </w:r>
          </w:p>
        </w:tc>
        <w:tc>
          <w:tcPr>
            <w:tcW w:type="dxa" w:w="1247"/>
          </w:tcPr>
          <w:p>
            <w:pPr>
              <w:jc w:val="center"/>
            </w:pPr>
            <w:r/>
            <w:r>
              <w:rPr>
                <w:rFonts w:ascii="SimSun" w:hAnsi="SimSun" w:eastAsia="SimSun"/>
                <w:b w:val="0"/>
                <w:sz w:val="20"/>
              </w:rPr>
              <w:t>无特殊要求</w:t>
            </w:r>
          </w:p>
        </w:tc>
        <w:tc>
          <w:tcPr>
            <w:tcW w:type="dxa" w:w="1134"/>
          </w:tcPr>
          <w:p>
            <w:pPr>
              <w:jc w:val="center"/>
            </w:pPr>
            <w:r/>
            <w:r>
              <w:rPr>
                <w:rFonts w:ascii="SimSun" w:hAnsi="SimSun" w:eastAsia="SimSun"/>
                <w:b w:val="0"/>
                <w:sz w:val="20"/>
              </w:rPr>
              <w:t>自检</w:t>
            </w:r>
          </w:p>
        </w:tc>
        <w:tc>
          <w:tcPr>
            <w:tcW w:type="dxa" w:w="1134"/>
          </w:tcPr>
          <w:p>
            <w:pPr>
              <w:jc w:val="center"/>
            </w:pPr>
            <w:r/>
            <w:r>
              <w:rPr>
                <w:rFonts w:ascii="SimSun" w:hAnsi="SimSun" w:eastAsia="SimSun"/>
                <w:b w:val="0"/>
                <w:sz w:val="20"/>
              </w:rPr>
              <w:t>辅助监测</w:t>
              <w:br/>
              <w:t>展示</w:t>
            </w:r>
          </w:p>
        </w:tc>
      </w:tr>
    </w:tbl>
    <w:p>
      <w:pPr>
        <w:spacing w:line="400" w:lineRule="exact" w:before="60" w:after="60"/>
        <w:ind w:firstLine="482"/>
      </w:pPr>
      <w:r>
        <w:rPr>
          <w:rFonts w:ascii="SimSun" w:hAnsi="SimSun" w:eastAsia="SimSun"/>
          <w:b w:val="0"/>
          <w:sz w:val="24"/>
        </w:rPr>
        <w:t>表9-3  水利安全完整性等级（WSIL）体系</w:t>
      </w:r>
    </w:p>
    <w:p>
      <w:pPr>
        <w:spacing w:line="400" w:lineRule="exact" w:before="60" w:after="60"/>
        <w:ind w:firstLine="482"/>
      </w:pPr>
      <w:r>
        <w:rPr>
          <w:rFonts w:ascii="SimSun" w:hAnsi="SimSun" w:eastAsia="SimSun"/>
          <w:b w:val="0"/>
          <w:sz w:val="24"/>
        </w:rPr>
        <w:t>对于南水北调中线，建议整体控制系统达到WSIL-C级，其中堤防漫溢保护功能和生态流量保障功能达到WSIL-D级。WSIL-C级的核心要求包括：分支覆盖率不低于95%；场景库覆盖不低于200个场景中的90%（即至少180个场景通过）；控制硬件采用双重冗余配置；由独立于开发团队的评审组完成安全评估[24]。</w:t>
      </w:r>
    </w:p>
    <w:p>
      <w:pPr>
        <w:spacing w:before="280" w:after="200"/>
        <w:jc w:val="left"/>
      </w:pPr>
      <w:r>
        <w:rPr>
          <w:rFonts w:ascii="SimSun" w:hAnsi="SimSun" w:eastAsia="SimSun"/>
          <w:b/>
          <w:sz w:val="28"/>
        </w:rPr>
        <w:t>9.6  工程准入与"电子适航证"</w:t>
      </w:r>
    </w:p>
    <w:p>
      <w:pPr>
        <w:spacing w:before="200" w:after="160"/>
        <w:jc w:val="left"/>
      </w:pPr>
      <w:r>
        <w:rPr>
          <w:rFonts w:ascii="SimSun" w:hAnsi="SimSun" w:eastAsia="SimSun"/>
          <w:b/>
          <w:sz w:val="24"/>
        </w:rPr>
        <w:t>9.6.1  安全论证方法论：GSN</w:t>
      </w:r>
    </w:p>
    <w:p>
      <w:pPr>
        <w:spacing w:line="400" w:lineRule="exact" w:before="60" w:after="60"/>
        <w:ind w:firstLine="482"/>
      </w:pPr>
      <w:r>
        <w:rPr>
          <w:rFonts w:ascii="SimSun" w:hAnsi="SimSun" w:eastAsia="SimSun"/>
          <w:b w:val="0"/>
          <w:sz w:val="24"/>
        </w:rPr>
        <w:t>工程准入的最终交付物是一份"电子适航证"——一个结构化的安全论证文档，证明系统在其设计运行域（ODD）内的自主运行是"可接受安全"的。安全论证的方法论借鉴Safety Case的国际通行做法，采用GSN（Goal Structuring Notation，目标结构化标记法）组织论证逻辑[25]。</w:t>
      </w:r>
    </w:p>
    <w:p>
      <w:pPr>
        <w:spacing w:line="400" w:lineRule="exact" w:before="60" w:after="60"/>
        <w:ind w:firstLine="482"/>
      </w:pPr>
      <w:r>
        <w:rPr>
          <w:rFonts w:ascii="SimSun" w:hAnsi="SimSun" w:eastAsia="SimSun"/>
          <w:b w:val="0"/>
          <w:sz w:val="24"/>
        </w:rPr>
        <w:t>GSN的基本结构为"声明→论证→证据"三层。顶层声明（Goal）是需要论证的安全目标，如"系统在ODD内的自主运行是可接受安全的"。论证策略（Strategy）将顶层声明分解为若干子声明，如"按照约束类型分别论证：红色约束不被违反、黄色约束偏离在可接受范围内"。底层证据（Evidence）是支持子声明的具体测试数据、分析报告或设计文档，如"SIL测试报告显示：200个场景中红色约束裕度始终大于0"。</w:t>
      </w:r>
    </w:p>
    <w:p>
      <w:pPr>
        <w:spacing w:line="400" w:lineRule="exact" w:before="60" w:after="60"/>
        <w:ind w:firstLine="482"/>
      </w:pPr>
      <w:r>
        <w:rPr>
          <w:rFonts w:ascii="SimSun" w:hAnsi="SimSun" w:eastAsia="SimSun"/>
          <w:b w:val="0"/>
          <w:sz w:val="24"/>
        </w:rPr>
        <w:t>GSN论证的数学严谨性可以用置信度传播来表达：</w:t>
      </w:r>
    </w:p>
    <w:p>
      <w:pPr>
        <w:spacing w:before="120" w:after="120"/>
        <w:jc w:val="center"/>
      </w:pPr>
      <w:r>
        <w:rPr>
          <w:rFonts w:ascii="SimSun" w:hAnsi="SimSun" w:eastAsia="SimSun"/>
          <w:b w:val="0"/>
          <w:sz w:val="24"/>
        </w:rPr>
        <w:t>Conf(G(top)) = f(Conf(G(sub1)), Conf(G(sub2)), ..., Conf(G(subn)))   （式9-11）</w:t>
      </w:r>
    </w:p>
    <w:p>
      <w:pPr>
        <w:spacing w:line="360" w:lineRule="exact" w:before="40" w:after="40"/>
        <w:ind w:firstLine="482"/>
      </w:pPr>
      <w:r>
        <w:rPr>
          <w:rFonts w:ascii="SimSun" w:hAnsi="SimSun" w:eastAsia="SimSun"/>
          <w:b w:val="0"/>
          <w:sz w:val="21"/>
        </w:rPr>
        <w:t>式中：Conf(G(top))为顶层安全声明的置信度；Conf(G(subi))为第i个子声明的置信度；f为置信度合成函数（依赖于论证策略的逻辑结构）。当所有子声明的置信度均达到要求时，顶层声明的置信度才能满足准入标准。</w:t>
      </w:r>
    </w:p>
    <w:p>
      <w:pPr>
        <w:spacing w:before="200" w:after="160"/>
        <w:jc w:val="left"/>
      </w:pPr>
      <w:r>
        <w:rPr>
          <w:rFonts w:ascii="SimSun" w:hAnsi="SimSun" w:eastAsia="SimSun"/>
          <w:b/>
          <w:sz w:val="24"/>
        </w:rPr>
        <w:t>9.6.2  电子适航证的内容结构</w:t>
      </w:r>
    </w:p>
    <w:p>
      <w:pPr>
        <w:spacing w:line="400" w:lineRule="exact" w:before="60" w:after="60"/>
        <w:ind w:firstLine="482"/>
      </w:pPr>
      <w:r>
        <w:rPr>
          <w:rFonts w:ascii="SimSun" w:hAnsi="SimSun" w:eastAsia="SimSun"/>
          <w:b w:val="0"/>
          <w:sz w:val="24"/>
        </w:rPr>
        <w:t>电子适航证包含以下六个核心要素。</w:t>
      </w:r>
    </w:p>
    <w:p>
      <w:pPr>
        <w:spacing w:line="400" w:lineRule="exact" w:before="60" w:after="60"/>
        <w:ind w:firstLine="482"/>
      </w:pPr>
      <w:r>
        <w:rPr>
          <w:rFonts w:ascii="SimSun" w:hAnsi="SimSun" w:eastAsia="SimSun"/>
          <w:b w:val="0"/>
          <w:sz w:val="24"/>
        </w:rPr>
        <w:t>第一，系统版本信息与配置基线——明确被论证的系统版本号、软件版本号、固件版本号、参数配置文件版本号，确保论证结论与特定的系统配置一一对应。任何配置变更都需要重新评估论证的有效性。</w:t>
      </w:r>
    </w:p>
    <w:p>
      <w:pPr>
        <w:spacing w:line="400" w:lineRule="exact" w:before="60" w:after="60"/>
        <w:ind w:firstLine="482"/>
      </w:pPr>
      <w:r>
        <w:rPr>
          <w:rFonts w:ascii="SimSun" w:hAnsi="SimSun" w:eastAsia="SimSun"/>
          <w:b w:val="0"/>
          <w:sz w:val="24"/>
        </w:rPr>
        <w:t>第二，ODD声明——精确定义系统的能力边界。ODD声明应包含四个方面：工况范围（设计流量范围、水位范围、水温范围等）、环境条件范围（气温范围含冰期/非冰期切换阈值、降雨强度范围等）、设备健康状态假设（最少可用传感器数量、最少可用闸门数量等）、人工介入假设（最长无人干预时间、人工接管响应时间等）[26]。</w:t>
      </w:r>
    </w:p>
    <w:p>
      <w:pPr>
        <w:spacing w:line="400" w:lineRule="exact" w:before="60" w:after="60"/>
        <w:ind w:firstLine="482"/>
      </w:pPr>
      <w:r>
        <w:rPr>
          <w:rFonts w:ascii="SimSun" w:hAnsi="SimSun" w:eastAsia="SimSun"/>
          <w:b w:val="0"/>
          <w:sz w:val="24"/>
        </w:rPr>
        <w:t>第三，测试覆盖度报告——场景库规模、执行数量、通过率、关键失败场景的根因分析与处置。覆盖度报告应包含以下量化指标：</w:t>
      </w:r>
    </w:p>
    <w:p>
      <w:pPr>
        <w:spacing w:before="120" w:after="120"/>
        <w:jc w:val="center"/>
      </w:pPr>
      <w:r>
        <w:rPr>
          <w:rFonts w:ascii="SimSun" w:hAnsi="SimSun" w:eastAsia="SimSun"/>
          <w:b w:val="0"/>
          <w:sz w:val="24"/>
        </w:rPr>
        <w:t>CR(scenario) = N(pass) / N(total) * 100%     （式9-12）</w:t>
      </w:r>
    </w:p>
    <w:p>
      <w:pPr>
        <w:spacing w:before="120" w:after="120"/>
        <w:jc w:val="center"/>
      </w:pPr>
      <w:r>
        <w:rPr>
          <w:rFonts w:ascii="SimSun" w:hAnsi="SimSun" w:eastAsia="SimSun"/>
          <w:b w:val="0"/>
          <w:sz w:val="24"/>
        </w:rPr>
        <w:t>CR(risk) = Sigma(R &gt;= 15场景通过数) / Sigma(R &gt;= 15场景总数) * 100%   （式9-13）</w:t>
      </w:r>
    </w:p>
    <w:p>
      <w:pPr>
        <w:spacing w:line="360" w:lineRule="exact" w:before="40" w:after="40"/>
        <w:ind w:firstLine="482"/>
      </w:pPr>
      <w:r>
        <w:rPr>
          <w:rFonts w:ascii="SimSun" w:hAnsi="SimSun" w:eastAsia="SimSun"/>
          <w:b w:val="0"/>
          <w:sz w:val="21"/>
        </w:rPr>
        <w:t>式中：CR(scenario)为总体场景通过率（建议 &gt;= 95%）；CR(risk)为高风险场景通过率（建议 = 100%，即高风险场景必须全部通过）。</w:t>
      </w:r>
    </w:p>
    <w:p>
      <w:pPr>
        <w:spacing w:line="400" w:lineRule="exact" w:before="60" w:after="60"/>
        <w:ind w:firstLine="482"/>
      </w:pPr>
      <w:r>
        <w:rPr>
          <w:rFonts w:ascii="SimSun" w:hAnsi="SimSun" w:eastAsia="SimSun"/>
          <w:b w:val="0"/>
          <w:sz w:val="24"/>
        </w:rPr>
        <w:t>第四，安全论证报告——基于GSN的结构化论证，顶层目标为"系统在ODD内的自主运行是可接受安全的"。论证报告的推荐结构为：顶层安全声明→分解为子系统安全声明（状态估计子系统、MPC控制子系统、约束管理子系统、通信子系统）→每个子系统进一步分解为功能安全声明和系统性安全声明→底层链接到具体的测试证据和分析报告[27]。</w:t>
      </w:r>
    </w:p>
    <w:p>
      <w:pPr>
        <w:spacing w:line="400" w:lineRule="exact" w:before="60" w:after="60"/>
        <w:ind w:firstLine="482"/>
      </w:pPr>
      <w:r>
        <w:rPr>
          <w:rFonts w:ascii="SimSun" w:hAnsi="SimSun" w:eastAsia="SimSun"/>
          <w:b w:val="0"/>
          <w:sz w:val="24"/>
        </w:rPr>
        <w:t>第五，已知限制与残余风险清单——诚实列出系统的已知不足和对应的缓解措施。残余风险的表达应包含：风险描述（如"冰期预测模型在极端低温条件下准确度降低"）、发生概率估计、后果严重度评估、现有缓解措施（如"当气温低于-25度Celsius时自动切换至人工模式"）、残余风险等级（是否可接受）。</w:t>
      </w:r>
    </w:p>
    <w:p>
      <w:pPr>
        <w:spacing w:line="400" w:lineRule="exact" w:before="60" w:after="60"/>
        <w:ind w:firstLine="482"/>
      </w:pPr>
      <w:r>
        <w:rPr>
          <w:rFonts w:ascii="SimSun" w:hAnsi="SimSun" w:eastAsia="SimSun"/>
          <w:b w:val="0"/>
          <w:sz w:val="24"/>
        </w:rPr>
        <w:t>第六，操作人员培训记录——人机交接协议的培训与考核证据。操作人员必须理解系统的ODD边界、能够识别系统超出ODD的征兆、掌握从自动模式到手动模式的切换操作、了解应急预案的启动条件和执行流程。</w:t>
      </w:r>
    </w:p>
    <w:p>
      <w:pPr>
        <w:spacing w:before="200" w:after="160"/>
        <w:jc w:val="left"/>
      </w:pPr>
      <w:r>
        <w:rPr>
          <w:rFonts w:ascii="SimSun" w:hAnsi="SimSun" w:eastAsia="SimSun"/>
          <w:b/>
          <w:sz w:val="24"/>
        </w:rPr>
        <w:t>9.6.3  第三方评测与认证体系</w:t>
      </w:r>
    </w:p>
    <w:p>
      <w:pPr>
        <w:spacing w:line="400" w:lineRule="exact" w:before="60" w:after="60"/>
        <w:ind w:firstLine="482"/>
      </w:pPr>
      <w:r>
        <w:rPr>
          <w:rFonts w:ascii="SimSun" w:hAnsi="SimSun" w:eastAsia="SimSun"/>
          <w:b w:val="0"/>
          <w:sz w:val="24"/>
        </w:rPr>
        <w:t>审核建议由独立的第三方评测机构完成。"独立性"的核心含义是：评测机构在组织上、经济上、技术上与被评测系统的开发方和使用方保持独立——不存在利益关联，不参与系统开发，不受使用方行政管辖[28]。</w:t>
      </w:r>
    </w:p>
    <w:p>
      <w:pPr>
        <w:spacing w:line="400" w:lineRule="exact" w:before="60" w:after="60"/>
        <w:ind w:firstLine="482"/>
      </w:pPr>
      <w:r>
        <w:rPr>
          <w:rFonts w:ascii="SimSun" w:hAnsi="SimSun" w:eastAsia="SimSun"/>
          <w:b w:val="0"/>
          <w:sz w:val="24"/>
        </w:rPr>
        <w:t>长远目标是在水利部或行业学会层面建立"水利智能系统认证中心"，类似于航空领域的EASA（欧洲航空安全局）/FAA（美国联邦航空管理局）认证体系。认证中心的职责包括：制定和维护WSIL标准及其配套技术规范；对评测机构进行资质认定和监督；建立全国性的场景库标准和基准测试数据集；定期发布水利智能系统安全状况年度报告。</w:t>
      </w:r>
    </w:p>
    <w:p>
      <w:pPr>
        <w:spacing w:line="400" w:lineRule="exact" w:before="60" w:after="60"/>
        <w:ind w:firstLine="482"/>
      </w:pPr>
      <w:r>
        <w:rPr>
          <w:rFonts w:ascii="SimSun" w:hAnsi="SimSun" w:eastAsia="SimSun"/>
          <w:b w:val="0"/>
          <w:sz w:val="24"/>
        </w:rPr>
        <w:t>在认证中心建立之前的过渡期，建议采用以下替代方案：由水利部信息中心牵头组织专家组，参照WSIL标准框架对试点工程进行安全评估；引入汽车或航空领域的第三方功能安全评估机构（如TUV、SGS、Bureau Veritas）对水利系统进行跨行业评估；通过IAHR（国际水利工程与研究协会）等国际组织推动国际互认机制[29]。</w:t>
      </w:r>
    </w:p>
    <w:p>
      <w:pPr>
        <w:spacing w:before="280" w:after="200"/>
        <w:jc w:val="left"/>
      </w:pPr>
      <w:r>
        <w:rPr>
          <w:rFonts w:ascii="SimSun" w:hAnsi="SimSun" w:eastAsia="SimSun"/>
          <w:b/>
          <w:sz w:val="28"/>
        </w:rPr>
        <w:t>9.7  对标ASCE运河控制测试用例</w:t>
      </w:r>
    </w:p>
    <w:p>
      <w:pPr>
        <w:spacing w:before="200" w:after="160"/>
        <w:jc w:val="left"/>
      </w:pPr>
      <w:r>
        <w:rPr>
          <w:rFonts w:ascii="SimSun" w:hAnsi="SimSun" w:eastAsia="SimSun"/>
          <w:b/>
          <w:sz w:val="24"/>
        </w:rPr>
        <w:t>9.7.1  ASCE测试用例的方法论价值</w:t>
      </w:r>
    </w:p>
    <w:p>
      <w:pPr>
        <w:spacing w:line="400" w:lineRule="exact" w:before="60" w:after="60"/>
        <w:ind w:firstLine="482"/>
      </w:pPr>
      <w:r>
        <w:rPr>
          <w:rFonts w:ascii="SimSun" w:hAnsi="SimSun" w:eastAsia="SimSun"/>
          <w:b w:val="0"/>
          <w:sz w:val="24"/>
        </w:rPr>
        <w:t>美国土木工程师学会（ASCE）于1998年发布的运河控制测试用例（ASCE Test Cases for Canal Control Algorithms）是水利控制领域事实上的标准化测试基准[30]。ASCE测试用例定义了一条标准化的8池渠道模型，并设计了四组标准测试场景：</w:t>
      </w:r>
    </w:p>
    <w:p>
      <w:pPr>
        <w:spacing w:line="400" w:lineRule="exact" w:before="60" w:after="60"/>
        <w:ind w:firstLine="482"/>
      </w:pPr>
      <w:r>
        <w:rPr>
          <w:rFonts w:ascii="SimSun" w:hAnsi="SimSun" w:eastAsia="SimSun"/>
          <w:b w:val="0"/>
          <w:sz w:val="24"/>
        </w:rPr>
        <w:t>第一组为阶跃响应测试（Step Test）——下游取水口流量突增或突减，测试控制系统的响应速度和稳态精度。第二组为多点变化测试（Multi-Point Test）——多个取水口同时发生变化，测试分布式协调能力。第三组为上游扰动测试（Upstream Test）——上游来流发生变化，测试前馈/反馈协调能力。第四组为设备故障测试（Equipment Failure Test）——某座闸门失效后系统的降级表现。</w:t>
      </w:r>
    </w:p>
    <w:p>
      <w:pPr>
        <w:spacing w:line="400" w:lineRule="exact" w:before="60" w:after="60"/>
        <w:ind w:firstLine="482"/>
      </w:pPr>
      <w:r>
        <w:rPr>
          <w:rFonts w:ascii="SimSun" w:hAnsi="SimSun" w:eastAsia="SimSun"/>
          <w:b w:val="0"/>
          <w:sz w:val="24"/>
        </w:rPr>
        <w:t>ASCE测试用例的方法论价值不仅在于提供了标准化的测试平台，更在于建立了"可比较性"框架——不同研究团队开发的控制算法可以在同一平台上进行公平对比。过去二十多年，全球数十个研究团队在ASCE测试用例上验证了各自的算法，形成了丰富的对比数据库[31]。</w:t>
      </w:r>
    </w:p>
    <w:p>
      <w:pPr>
        <w:spacing w:before="200" w:after="160"/>
        <w:jc w:val="left"/>
      </w:pPr>
      <w:r>
        <w:rPr>
          <w:rFonts w:ascii="SimSun" w:hAnsi="SimSun" w:eastAsia="SimSun"/>
          <w:b/>
          <w:sz w:val="24"/>
        </w:rPr>
        <w:t>9.7.2  ASCE测试用例的扩展</w:t>
      </w:r>
    </w:p>
    <w:p>
      <w:pPr>
        <w:spacing w:line="400" w:lineRule="exact" w:before="60" w:after="60"/>
        <w:ind w:firstLine="482"/>
      </w:pPr>
      <w:r>
        <w:rPr>
          <w:rFonts w:ascii="SimSun" w:hAnsi="SimSun" w:eastAsia="SimSun"/>
          <w:b w:val="0"/>
          <w:sz w:val="24"/>
        </w:rPr>
        <w:t>ASCE原始测试用例发布于1998年，当时的控制技术以PID和前馈控制为主。随着MPC和分布式控制技术的发展，原始测试用例的覆盖面已经不够充分。建议在保留原始四组测试的基础上，增加以下扩展：</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850"/>
            <w:shd w:fill="D9E2F3" w:val="clear"/>
          </w:tcPr>
          <w:p>
            <w:pPr>
              <w:jc w:val="center"/>
            </w:pPr>
            <w:r/>
            <w:r>
              <w:rPr>
                <w:rFonts w:ascii="SimSun" w:hAnsi="SimSun" w:eastAsia="SimSun"/>
                <w:b/>
                <w:sz w:val="20"/>
              </w:rPr>
              <w:t>扩展组</w:t>
            </w:r>
          </w:p>
        </w:tc>
        <w:tc>
          <w:tcPr>
            <w:tcW w:type="dxa" w:w="1134"/>
            <w:shd w:fill="D9E2F3" w:val="clear"/>
          </w:tcPr>
          <w:p>
            <w:pPr>
              <w:jc w:val="center"/>
            </w:pPr>
            <w:r/>
            <w:r>
              <w:rPr>
                <w:rFonts w:ascii="SimSun" w:hAnsi="SimSun" w:eastAsia="SimSun"/>
                <w:b/>
                <w:sz w:val="20"/>
              </w:rPr>
              <w:t>测试名称</w:t>
            </w:r>
          </w:p>
        </w:tc>
        <w:tc>
          <w:tcPr>
            <w:tcW w:type="dxa" w:w="1587"/>
            <w:shd w:fill="D9E2F3" w:val="clear"/>
          </w:tcPr>
          <w:p>
            <w:pPr>
              <w:jc w:val="center"/>
            </w:pPr>
            <w:r/>
            <w:r>
              <w:rPr>
                <w:rFonts w:ascii="SimSun" w:hAnsi="SimSun" w:eastAsia="SimSun"/>
                <w:b/>
                <w:sz w:val="20"/>
              </w:rPr>
              <w:t>场景描述</w:t>
            </w:r>
          </w:p>
        </w:tc>
        <w:tc>
          <w:tcPr>
            <w:tcW w:type="dxa" w:w="1247"/>
            <w:shd w:fill="D9E2F3" w:val="clear"/>
          </w:tcPr>
          <w:p>
            <w:pPr>
              <w:jc w:val="center"/>
            </w:pPr>
            <w:r/>
            <w:r>
              <w:rPr>
                <w:rFonts w:ascii="SimSun" w:hAnsi="SimSun" w:eastAsia="SimSun"/>
                <w:b/>
                <w:sz w:val="20"/>
              </w:rPr>
              <w:t>评估重点</w:t>
            </w:r>
          </w:p>
        </w:tc>
        <w:tc>
          <w:tcPr>
            <w:tcW w:type="dxa" w:w="1134"/>
            <w:shd w:fill="D9E2F3" w:val="clear"/>
          </w:tcPr>
          <w:p>
            <w:pPr>
              <w:jc w:val="center"/>
            </w:pPr>
            <w:r/>
            <w:r>
              <w:rPr>
                <w:rFonts w:ascii="SimSun" w:hAnsi="SimSun" w:eastAsia="SimSun"/>
                <w:b/>
                <w:sz w:val="20"/>
              </w:rPr>
              <w:t>与ASCE的关系</w:t>
            </w:r>
          </w:p>
        </w:tc>
      </w:tr>
      <w:tr>
        <w:tc>
          <w:tcPr>
            <w:tcW w:type="dxa" w:w="850"/>
          </w:tcPr>
          <w:p>
            <w:pPr>
              <w:jc w:val="center"/>
            </w:pPr>
            <w:r/>
            <w:r>
              <w:rPr>
                <w:rFonts w:ascii="SimSun" w:hAnsi="SimSun" w:eastAsia="SimSun"/>
                <w:b w:val="0"/>
                <w:sz w:val="20"/>
              </w:rPr>
              <w:t>第五组</w:t>
            </w:r>
          </w:p>
        </w:tc>
        <w:tc>
          <w:tcPr>
            <w:tcW w:type="dxa" w:w="1134"/>
          </w:tcPr>
          <w:p>
            <w:pPr>
              <w:jc w:val="center"/>
            </w:pPr>
            <w:r/>
            <w:r>
              <w:rPr>
                <w:rFonts w:ascii="SimSun" w:hAnsi="SimSun" w:eastAsia="SimSun"/>
                <w:b w:val="0"/>
                <w:sz w:val="20"/>
              </w:rPr>
              <w:t>冰期运行测试</w:t>
            </w:r>
          </w:p>
        </w:tc>
        <w:tc>
          <w:tcPr>
            <w:tcW w:type="dxa" w:w="1587"/>
          </w:tcPr>
          <w:p>
            <w:pPr>
              <w:jc w:val="center"/>
            </w:pPr>
            <w:r/>
            <w:r>
              <w:rPr>
                <w:rFonts w:ascii="SimSun" w:hAnsi="SimSun" w:eastAsia="SimSun"/>
                <w:b w:val="0"/>
                <w:sz w:val="20"/>
              </w:rPr>
              <w:t>冰盖形成/破碎过程</w:t>
              <w:br/>
              <w:t>中的控制性能</w:t>
            </w:r>
          </w:p>
        </w:tc>
        <w:tc>
          <w:tcPr>
            <w:tcW w:type="dxa" w:w="1247"/>
          </w:tcPr>
          <w:p>
            <w:pPr>
              <w:jc w:val="center"/>
            </w:pPr>
            <w:r/>
            <w:r>
              <w:rPr>
                <w:rFonts w:ascii="SimSun" w:hAnsi="SimSun" w:eastAsia="SimSun"/>
                <w:b w:val="0"/>
                <w:sz w:val="20"/>
              </w:rPr>
              <w:t>冰期约束满足</w:t>
              <w:br/>
              <w:t>流量控制精度</w:t>
            </w:r>
          </w:p>
        </w:tc>
        <w:tc>
          <w:tcPr>
            <w:tcW w:type="dxa" w:w="1134"/>
          </w:tcPr>
          <w:p>
            <w:pPr>
              <w:jc w:val="center"/>
            </w:pPr>
            <w:r/>
            <w:r>
              <w:rPr>
                <w:rFonts w:ascii="SimSun" w:hAnsi="SimSun" w:eastAsia="SimSun"/>
                <w:b w:val="0"/>
                <w:sz w:val="20"/>
              </w:rPr>
              <w:t>中国特有</w:t>
              <w:br/>
              <w:t>新增</w:t>
            </w:r>
          </w:p>
        </w:tc>
      </w:tr>
      <w:tr>
        <w:tc>
          <w:tcPr>
            <w:tcW w:type="dxa" w:w="850"/>
          </w:tcPr>
          <w:p>
            <w:pPr>
              <w:jc w:val="center"/>
            </w:pPr>
            <w:r/>
            <w:r>
              <w:rPr>
                <w:rFonts w:ascii="SimSun" w:hAnsi="SimSun" w:eastAsia="SimSun"/>
                <w:b w:val="0"/>
                <w:sz w:val="20"/>
              </w:rPr>
              <w:t>第六组</w:t>
            </w:r>
          </w:p>
        </w:tc>
        <w:tc>
          <w:tcPr>
            <w:tcW w:type="dxa" w:w="1134"/>
          </w:tcPr>
          <w:p>
            <w:pPr>
              <w:jc w:val="center"/>
            </w:pPr>
            <w:r/>
            <w:r>
              <w:rPr>
                <w:rFonts w:ascii="SimSun" w:hAnsi="SimSun" w:eastAsia="SimSun"/>
                <w:b w:val="0"/>
                <w:sz w:val="20"/>
              </w:rPr>
              <w:t>超长时滞测试</w:t>
            </w:r>
          </w:p>
        </w:tc>
        <w:tc>
          <w:tcPr>
            <w:tcW w:type="dxa" w:w="1587"/>
          </w:tcPr>
          <w:p>
            <w:pPr>
              <w:jc w:val="center"/>
            </w:pPr>
            <w:r/>
            <w:r>
              <w:rPr>
                <w:rFonts w:ascii="SimSun" w:hAnsi="SimSun" w:eastAsia="SimSun"/>
                <w:b w:val="0"/>
                <w:sz w:val="20"/>
              </w:rPr>
              <w:t>时滞超过4小时的</w:t>
              <w:br/>
              <w:t>渠池控制</w:t>
            </w:r>
          </w:p>
        </w:tc>
        <w:tc>
          <w:tcPr>
            <w:tcW w:type="dxa" w:w="1247"/>
          </w:tcPr>
          <w:p>
            <w:pPr>
              <w:jc w:val="center"/>
            </w:pPr>
            <w:r/>
            <w:r>
              <w:rPr>
                <w:rFonts w:ascii="SimSun" w:hAnsi="SimSun" w:eastAsia="SimSun"/>
                <w:b w:val="0"/>
                <w:sz w:val="20"/>
              </w:rPr>
              <w:t>Smith预估器</w:t>
              <w:br/>
              <w:t>精度与稳定性</w:t>
            </w:r>
          </w:p>
        </w:tc>
        <w:tc>
          <w:tcPr>
            <w:tcW w:type="dxa" w:w="1134"/>
          </w:tcPr>
          <w:p>
            <w:pPr>
              <w:jc w:val="center"/>
            </w:pPr>
            <w:r/>
            <w:r>
              <w:rPr>
                <w:rFonts w:ascii="SimSun" w:hAnsi="SimSun" w:eastAsia="SimSun"/>
                <w:b w:val="0"/>
                <w:sz w:val="20"/>
              </w:rPr>
              <w:t>扩展ASCE</w:t>
              <w:br/>
              <w:t>尺度</w:t>
            </w:r>
          </w:p>
        </w:tc>
      </w:tr>
      <w:tr>
        <w:tc>
          <w:tcPr>
            <w:tcW w:type="dxa" w:w="850"/>
          </w:tcPr>
          <w:p>
            <w:pPr>
              <w:jc w:val="center"/>
            </w:pPr>
            <w:r/>
            <w:r>
              <w:rPr>
                <w:rFonts w:ascii="SimSun" w:hAnsi="SimSun" w:eastAsia="SimSun"/>
                <w:b w:val="0"/>
                <w:sz w:val="20"/>
              </w:rPr>
              <w:t>第七组</w:t>
            </w:r>
          </w:p>
        </w:tc>
        <w:tc>
          <w:tcPr>
            <w:tcW w:type="dxa" w:w="1134"/>
          </w:tcPr>
          <w:p>
            <w:pPr>
              <w:jc w:val="center"/>
            </w:pPr>
            <w:r/>
            <w:r>
              <w:rPr>
                <w:rFonts w:ascii="SimSun" w:hAnsi="SimSun" w:eastAsia="SimSun"/>
                <w:b w:val="0"/>
                <w:sz w:val="20"/>
              </w:rPr>
              <w:t>通信降级测试</w:t>
            </w:r>
          </w:p>
        </w:tc>
        <w:tc>
          <w:tcPr>
            <w:tcW w:type="dxa" w:w="1587"/>
          </w:tcPr>
          <w:p>
            <w:pPr>
              <w:jc w:val="center"/>
            </w:pPr>
            <w:r/>
            <w:r>
              <w:rPr>
                <w:rFonts w:ascii="SimSun" w:hAnsi="SimSun" w:eastAsia="SimSun"/>
                <w:b w:val="0"/>
                <w:sz w:val="20"/>
              </w:rPr>
              <w:t>50%通信链路中断</w:t>
              <w:br/>
              <w:t>下的协调控制</w:t>
            </w:r>
          </w:p>
        </w:tc>
        <w:tc>
          <w:tcPr>
            <w:tcW w:type="dxa" w:w="1247"/>
          </w:tcPr>
          <w:p>
            <w:pPr>
              <w:jc w:val="center"/>
            </w:pPr>
            <w:r/>
            <w:r>
              <w:rPr>
                <w:rFonts w:ascii="SimSun" w:hAnsi="SimSun" w:eastAsia="SimSun"/>
                <w:b w:val="0"/>
                <w:sz w:val="20"/>
              </w:rPr>
              <w:t>本地自治与</w:t>
              <w:br/>
              <w:t>全局协调</w:t>
            </w:r>
          </w:p>
        </w:tc>
        <w:tc>
          <w:tcPr>
            <w:tcW w:type="dxa" w:w="1134"/>
          </w:tcPr>
          <w:p>
            <w:pPr>
              <w:jc w:val="center"/>
            </w:pPr>
            <w:r/>
            <w:r>
              <w:rPr>
                <w:rFonts w:ascii="SimSun" w:hAnsi="SimSun" w:eastAsia="SimSun"/>
                <w:b w:val="0"/>
                <w:sz w:val="20"/>
              </w:rPr>
              <w:t>新增</w:t>
            </w:r>
          </w:p>
        </w:tc>
      </w:tr>
      <w:tr>
        <w:tc>
          <w:tcPr>
            <w:tcW w:type="dxa" w:w="850"/>
          </w:tcPr>
          <w:p>
            <w:pPr>
              <w:jc w:val="center"/>
            </w:pPr>
            <w:r/>
            <w:r>
              <w:rPr>
                <w:rFonts w:ascii="SimSun" w:hAnsi="SimSun" w:eastAsia="SimSun"/>
                <w:b w:val="0"/>
                <w:sz w:val="20"/>
              </w:rPr>
              <w:t>第八组</w:t>
            </w:r>
          </w:p>
        </w:tc>
        <w:tc>
          <w:tcPr>
            <w:tcW w:type="dxa" w:w="1134"/>
          </w:tcPr>
          <w:p>
            <w:pPr>
              <w:jc w:val="center"/>
            </w:pPr>
            <w:r/>
            <w:r>
              <w:rPr>
                <w:rFonts w:ascii="SimSun" w:hAnsi="SimSun" w:eastAsia="SimSun"/>
                <w:b w:val="0"/>
                <w:sz w:val="20"/>
              </w:rPr>
              <w:t>复合故障测试</w:t>
            </w:r>
          </w:p>
        </w:tc>
        <w:tc>
          <w:tcPr>
            <w:tcW w:type="dxa" w:w="1587"/>
          </w:tcPr>
          <w:p>
            <w:pPr>
              <w:jc w:val="center"/>
            </w:pPr>
            <w:r/>
            <w:r>
              <w:rPr>
                <w:rFonts w:ascii="SimSun" w:hAnsi="SimSun" w:eastAsia="SimSun"/>
                <w:b w:val="0"/>
                <w:sz w:val="20"/>
              </w:rPr>
              <w:t>传感器偏差+闸门</w:t>
              <w:br/>
              <w:t>卡阻+降雨复合</w:t>
            </w:r>
          </w:p>
        </w:tc>
        <w:tc>
          <w:tcPr>
            <w:tcW w:type="dxa" w:w="1247"/>
          </w:tcPr>
          <w:p>
            <w:pPr>
              <w:jc w:val="center"/>
            </w:pPr>
            <w:r/>
            <w:r>
              <w:rPr>
                <w:rFonts w:ascii="SimSun" w:hAnsi="SimSun" w:eastAsia="SimSun"/>
                <w:b w:val="0"/>
                <w:sz w:val="20"/>
              </w:rPr>
              <w:t>系统整体韧性</w:t>
              <w:br/>
              <w:t>降级策略</w:t>
            </w:r>
          </w:p>
        </w:tc>
        <w:tc>
          <w:tcPr>
            <w:tcW w:type="dxa" w:w="1134"/>
          </w:tcPr>
          <w:p>
            <w:pPr>
              <w:jc w:val="center"/>
            </w:pPr>
            <w:r/>
            <w:r>
              <w:rPr>
                <w:rFonts w:ascii="SimSun" w:hAnsi="SimSun" w:eastAsia="SimSun"/>
                <w:b w:val="0"/>
                <w:sz w:val="20"/>
              </w:rPr>
              <w:t>新增</w:t>
            </w:r>
          </w:p>
        </w:tc>
      </w:tr>
    </w:tbl>
    <w:p>
      <w:pPr>
        <w:spacing w:line="400" w:lineRule="exact" w:before="60" w:after="60"/>
        <w:ind w:firstLine="482"/>
      </w:pPr>
      <w:r>
        <w:rPr>
          <w:rFonts w:ascii="SimSun" w:hAnsi="SimSun" w:eastAsia="SimSun"/>
          <w:b w:val="0"/>
          <w:sz w:val="24"/>
        </w:rPr>
        <w:t>表9-4  ASCE测试用例扩展方案</w:t>
      </w:r>
    </w:p>
    <w:p>
      <w:pPr>
        <w:spacing w:line="400" w:lineRule="exact" w:before="60" w:after="60"/>
        <w:ind w:firstLine="482"/>
      </w:pPr>
      <w:r>
        <w:rPr>
          <w:rFonts w:ascii="SimSun" w:hAnsi="SimSun" w:eastAsia="SimSun"/>
          <w:b w:val="0"/>
          <w:sz w:val="24"/>
        </w:rPr>
        <w:t>建议将扩展后的ASCE测试用例（8组，约120个子场景）作为场景库的"标准化核心"，在此基础上根据工程特点增加"工程特定场景"形成完整的场景库。这样既保证了与国际社区的可比较性，又满足了工程特定需求[32]。</w:t>
      </w:r>
    </w:p>
    <w:p>
      <w:pPr>
        <w:spacing w:before="280" w:after="200"/>
        <w:jc w:val="left"/>
      </w:pPr>
      <w:r>
        <w:rPr>
          <w:rFonts w:ascii="SimSun" w:hAnsi="SimSun" w:eastAsia="SimSun"/>
          <w:b/>
          <w:sz w:val="28"/>
        </w:rPr>
        <w:t>9.8  面向南水北调中线的工程化方案</w:t>
      </w:r>
    </w:p>
    <w:p>
      <w:pPr>
        <w:spacing w:before="200" w:after="160"/>
        <w:jc w:val="left"/>
      </w:pPr>
      <w:r>
        <w:rPr>
          <w:rFonts w:ascii="SimSun" w:hAnsi="SimSun" w:eastAsia="SimSun"/>
          <w:b/>
          <w:sz w:val="24"/>
        </w:rPr>
        <w:t>9.8.1  验证分阶段推进策略</w:t>
      </w:r>
    </w:p>
    <w:p>
      <w:pPr>
        <w:spacing w:line="400" w:lineRule="exact" w:before="60" w:after="60"/>
        <w:ind w:firstLine="482"/>
      </w:pPr>
      <w:r>
        <w:rPr>
          <w:rFonts w:ascii="SimSun" w:hAnsi="SimSun" w:eastAsia="SimSun"/>
          <w:b w:val="0"/>
          <w:sz w:val="24"/>
        </w:rPr>
        <w:t>建议按照"SIL→HIL→现场试运行→正式上线"四阶段推进，逐步扩大验证范围和置信水平。</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1020"/>
            <w:shd w:fill="D9E2F3" w:val="clear"/>
          </w:tcPr>
          <w:p>
            <w:pPr>
              <w:jc w:val="center"/>
            </w:pPr>
            <w:r/>
            <w:r>
              <w:rPr>
                <w:rFonts w:ascii="SimSun" w:hAnsi="SimSun" w:eastAsia="SimSun"/>
                <w:b/>
                <w:sz w:val="20"/>
              </w:rPr>
              <w:t>阶段</w:t>
            </w:r>
          </w:p>
        </w:tc>
        <w:tc>
          <w:tcPr>
            <w:tcW w:type="dxa" w:w="1020"/>
            <w:shd w:fill="D9E2F3" w:val="clear"/>
          </w:tcPr>
          <w:p>
            <w:pPr>
              <w:jc w:val="center"/>
            </w:pPr>
            <w:r/>
            <w:r>
              <w:rPr>
                <w:rFonts w:ascii="SimSun" w:hAnsi="SimSun" w:eastAsia="SimSun"/>
                <w:b/>
                <w:sz w:val="20"/>
              </w:rPr>
              <w:t>时间</w:t>
            </w:r>
          </w:p>
        </w:tc>
        <w:tc>
          <w:tcPr>
            <w:tcW w:type="dxa" w:w="1247"/>
            <w:shd w:fill="D9E2F3" w:val="clear"/>
          </w:tcPr>
          <w:p>
            <w:pPr>
              <w:jc w:val="center"/>
            </w:pPr>
            <w:r/>
            <w:r>
              <w:rPr>
                <w:rFonts w:ascii="SimSun" w:hAnsi="SimSun" w:eastAsia="SimSun"/>
                <w:b/>
                <w:sz w:val="20"/>
              </w:rPr>
              <w:t>范围</w:t>
            </w:r>
          </w:p>
        </w:tc>
        <w:tc>
          <w:tcPr>
            <w:tcW w:type="dxa" w:w="1020"/>
            <w:shd w:fill="D9E2F3" w:val="clear"/>
          </w:tcPr>
          <w:p>
            <w:pPr>
              <w:jc w:val="center"/>
            </w:pPr>
            <w:r/>
            <w:r>
              <w:rPr>
                <w:rFonts w:ascii="SimSun" w:hAnsi="SimSun" w:eastAsia="SimSun"/>
                <w:b/>
                <w:sz w:val="20"/>
              </w:rPr>
              <w:t>场景数量</w:t>
            </w:r>
          </w:p>
        </w:tc>
        <w:tc>
          <w:tcPr>
            <w:tcW w:type="dxa" w:w="1247"/>
            <w:shd w:fill="D9E2F3" w:val="clear"/>
          </w:tcPr>
          <w:p>
            <w:pPr>
              <w:jc w:val="center"/>
            </w:pPr>
            <w:r/>
            <w:r>
              <w:rPr>
                <w:rFonts w:ascii="SimSun" w:hAnsi="SimSun" w:eastAsia="SimSun"/>
                <w:b/>
                <w:sz w:val="20"/>
              </w:rPr>
              <w:t>通过标准</w:t>
            </w:r>
          </w:p>
        </w:tc>
        <w:tc>
          <w:tcPr>
            <w:tcW w:type="dxa" w:w="1134"/>
            <w:shd w:fill="D9E2F3" w:val="clear"/>
          </w:tcPr>
          <w:p>
            <w:pPr>
              <w:jc w:val="center"/>
            </w:pPr>
            <w:r/>
            <w:r>
              <w:rPr>
                <w:rFonts w:ascii="SimSun" w:hAnsi="SimSun" w:eastAsia="SimSun"/>
                <w:b/>
                <w:sz w:val="20"/>
              </w:rPr>
              <w:t>交付物</w:t>
            </w:r>
          </w:p>
        </w:tc>
      </w:tr>
      <w:tr>
        <w:tc>
          <w:tcPr>
            <w:tcW w:type="dxa" w:w="1020"/>
          </w:tcPr>
          <w:p>
            <w:pPr>
              <w:jc w:val="center"/>
            </w:pPr>
            <w:r/>
            <w:r>
              <w:rPr>
                <w:rFonts w:ascii="SimSun" w:hAnsi="SimSun" w:eastAsia="SimSun"/>
                <w:b w:val="0"/>
                <w:sz w:val="20"/>
              </w:rPr>
              <w:t>SIL全量</w:t>
              <w:br/>
              <w:t>测试</w:t>
            </w:r>
          </w:p>
        </w:tc>
        <w:tc>
          <w:tcPr>
            <w:tcW w:type="dxa" w:w="1020"/>
          </w:tcPr>
          <w:p>
            <w:pPr>
              <w:jc w:val="center"/>
            </w:pPr>
            <w:r/>
            <w:r>
              <w:rPr>
                <w:rFonts w:ascii="SimSun" w:hAnsi="SimSun" w:eastAsia="SimSun"/>
                <w:b w:val="0"/>
                <w:sz w:val="20"/>
              </w:rPr>
              <w:t>2025</w:t>
              <w:br/>
              <w:t>Q3-Q4</w:t>
            </w:r>
          </w:p>
        </w:tc>
        <w:tc>
          <w:tcPr>
            <w:tcW w:type="dxa" w:w="1247"/>
          </w:tcPr>
          <w:p>
            <w:pPr>
              <w:jc w:val="center"/>
            </w:pPr>
            <w:r/>
            <w:r>
              <w:rPr>
                <w:rFonts w:ascii="SimSun" w:hAnsi="SimSun" w:eastAsia="SimSun"/>
                <w:b w:val="0"/>
                <w:sz w:val="20"/>
              </w:rPr>
              <w:t>全线63池</w:t>
              <w:br/>
              <w:t>仿真模型</w:t>
            </w:r>
          </w:p>
        </w:tc>
        <w:tc>
          <w:tcPr>
            <w:tcW w:type="dxa" w:w="1020"/>
          </w:tcPr>
          <w:p>
            <w:pPr>
              <w:jc w:val="center"/>
            </w:pPr>
            <w:r/>
            <w:r>
              <w:rPr>
                <w:rFonts w:ascii="SimSun" w:hAnsi="SimSun" w:eastAsia="SimSun"/>
                <w:b w:val="0"/>
                <w:sz w:val="20"/>
              </w:rPr>
              <w:t>200+</w:t>
            </w:r>
          </w:p>
        </w:tc>
        <w:tc>
          <w:tcPr>
            <w:tcW w:type="dxa" w:w="1247"/>
          </w:tcPr>
          <w:p>
            <w:pPr>
              <w:jc w:val="center"/>
            </w:pPr>
            <w:r/>
            <w:r>
              <w:rPr>
                <w:rFonts w:ascii="SimSun" w:hAnsi="SimSun" w:eastAsia="SimSun"/>
                <w:b w:val="0"/>
                <w:sz w:val="20"/>
              </w:rPr>
              <w:t>CR(total)&gt;=95%</w:t>
              <w:br/>
              <w:t>CR(risk)=100%</w:t>
            </w:r>
          </w:p>
        </w:tc>
        <w:tc>
          <w:tcPr>
            <w:tcW w:type="dxa" w:w="1134"/>
          </w:tcPr>
          <w:p>
            <w:pPr>
              <w:jc w:val="center"/>
            </w:pPr>
            <w:r/>
            <w:r>
              <w:rPr>
                <w:rFonts w:ascii="SimSun" w:hAnsi="SimSun" w:eastAsia="SimSun"/>
                <w:b w:val="0"/>
                <w:sz w:val="20"/>
              </w:rPr>
              <w:t>SIL测试</w:t>
              <w:br/>
              <w:t>报告</w:t>
            </w:r>
          </w:p>
        </w:tc>
      </w:tr>
      <w:tr>
        <w:tc>
          <w:tcPr>
            <w:tcW w:type="dxa" w:w="1020"/>
          </w:tcPr>
          <w:p>
            <w:pPr>
              <w:jc w:val="center"/>
            </w:pPr>
            <w:r/>
            <w:r>
              <w:rPr>
                <w:rFonts w:ascii="SimSun" w:hAnsi="SimSun" w:eastAsia="SimSun"/>
                <w:b w:val="0"/>
                <w:sz w:val="20"/>
              </w:rPr>
              <w:t>HIL重点</w:t>
              <w:br/>
              <w:t>测试</w:t>
            </w:r>
          </w:p>
        </w:tc>
        <w:tc>
          <w:tcPr>
            <w:tcW w:type="dxa" w:w="1020"/>
          </w:tcPr>
          <w:p>
            <w:pPr>
              <w:jc w:val="center"/>
            </w:pPr>
            <w:r/>
            <w:r>
              <w:rPr>
                <w:rFonts w:ascii="SimSun" w:hAnsi="SimSun" w:eastAsia="SimSun"/>
                <w:b w:val="0"/>
                <w:sz w:val="20"/>
              </w:rPr>
              <w:t>2026</w:t>
              <w:br/>
              <w:t>Q1-Q2</w:t>
            </w:r>
          </w:p>
        </w:tc>
        <w:tc>
          <w:tcPr>
            <w:tcW w:type="dxa" w:w="1247"/>
          </w:tcPr>
          <w:p>
            <w:pPr>
              <w:jc w:val="center"/>
            </w:pPr>
            <w:r/>
            <w:r>
              <w:rPr>
                <w:rFonts w:ascii="SimSun" w:hAnsi="SimSun" w:eastAsia="SimSun"/>
                <w:b w:val="0"/>
                <w:sz w:val="20"/>
              </w:rPr>
              <w:t>单管理段</w:t>
              <w:br/>
              <w:t>真实硬件</w:t>
            </w:r>
          </w:p>
        </w:tc>
        <w:tc>
          <w:tcPr>
            <w:tcW w:type="dxa" w:w="1020"/>
          </w:tcPr>
          <w:p>
            <w:pPr>
              <w:jc w:val="center"/>
            </w:pPr>
            <w:r/>
            <w:r>
              <w:rPr>
                <w:rFonts w:ascii="SimSun" w:hAnsi="SimSun" w:eastAsia="SimSun"/>
                <w:b w:val="0"/>
                <w:sz w:val="20"/>
              </w:rPr>
              <w:t>60+</w:t>
              <w:br/>
              <w:t>(高风险)</w:t>
            </w:r>
          </w:p>
        </w:tc>
        <w:tc>
          <w:tcPr>
            <w:tcW w:type="dxa" w:w="1247"/>
          </w:tcPr>
          <w:p>
            <w:pPr>
              <w:jc w:val="center"/>
            </w:pPr>
            <w:r/>
            <w:r>
              <w:rPr>
                <w:rFonts w:ascii="SimSun" w:hAnsi="SimSun" w:eastAsia="SimSun"/>
                <w:b w:val="0"/>
                <w:sz w:val="20"/>
              </w:rPr>
              <w:t>性能&lt;=SIL</w:t>
              <w:br/>
              <w:t>基准的110%</w:t>
            </w:r>
          </w:p>
        </w:tc>
        <w:tc>
          <w:tcPr>
            <w:tcW w:type="dxa" w:w="1134"/>
          </w:tcPr>
          <w:p>
            <w:pPr>
              <w:jc w:val="center"/>
            </w:pPr>
            <w:r/>
            <w:r>
              <w:rPr>
                <w:rFonts w:ascii="SimSun" w:hAnsi="SimSun" w:eastAsia="SimSun"/>
                <w:b w:val="0"/>
                <w:sz w:val="20"/>
              </w:rPr>
              <w:t>HIL测试</w:t>
              <w:br/>
              <w:t>报告</w:t>
            </w:r>
          </w:p>
        </w:tc>
      </w:tr>
      <w:tr>
        <w:tc>
          <w:tcPr>
            <w:tcW w:type="dxa" w:w="1020"/>
          </w:tcPr>
          <w:p>
            <w:pPr>
              <w:jc w:val="center"/>
            </w:pPr>
            <w:r/>
            <w:r>
              <w:rPr>
                <w:rFonts w:ascii="SimSun" w:hAnsi="SimSun" w:eastAsia="SimSun"/>
                <w:b w:val="0"/>
                <w:sz w:val="20"/>
              </w:rPr>
              <w:t>现场试</w:t>
              <w:br/>
              <w:t>运行</w:t>
            </w:r>
          </w:p>
        </w:tc>
        <w:tc>
          <w:tcPr>
            <w:tcW w:type="dxa" w:w="1020"/>
          </w:tcPr>
          <w:p>
            <w:pPr>
              <w:jc w:val="center"/>
            </w:pPr>
            <w:r/>
            <w:r>
              <w:rPr>
                <w:rFonts w:ascii="SimSun" w:hAnsi="SimSun" w:eastAsia="SimSun"/>
                <w:b w:val="0"/>
                <w:sz w:val="20"/>
              </w:rPr>
              <w:t>2026</w:t>
              <w:br/>
              <w:t>Q3-2027</w:t>
              <w:br/>
              <w:t>Q2</w:t>
            </w:r>
          </w:p>
        </w:tc>
        <w:tc>
          <w:tcPr>
            <w:tcW w:type="dxa" w:w="1247"/>
          </w:tcPr>
          <w:p>
            <w:pPr>
              <w:jc w:val="center"/>
            </w:pPr>
            <w:r/>
            <w:r>
              <w:rPr>
                <w:rFonts w:ascii="SimSun" w:hAnsi="SimSun" w:eastAsia="SimSun"/>
                <w:b w:val="0"/>
                <w:sz w:val="20"/>
              </w:rPr>
              <w:t>选定管理段</w:t>
              <w:br/>
              <w:t>5~10个渠池</w:t>
            </w:r>
          </w:p>
        </w:tc>
        <w:tc>
          <w:tcPr>
            <w:tcW w:type="dxa" w:w="1020"/>
          </w:tcPr>
          <w:p>
            <w:pPr>
              <w:jc w:val="center"/>
            </w:pPr>
            <w:r/>
            <w:r>
              <w:rPr>
                <w:rFonts w:ascii="SimSun" w:hAnsi="SimSun" w:eastAsia="SimSun"/>
                <w:b w:val="0"/>
                <w:sz w:val="20"/>
              </w:rPr>
              <w:t>实际运行</w:t>
              <w:br/>
              <w:t>累计90天+</w:t>
            </w:r>
          </w:p>
        </w:tc>
        <w:tc>
          <w:tcPr>
            <w:tcW w:type="dxa" w:w="1247"/>
          </w:tcPr>
          <w:p>
            <w:pPr>
              <w:jc w:val="center"/>
            </w:pPr>
            <w:r/>
            <w:r>
              <w:rPr>
                <w:rFonts w:ascii="SimSun" w:hAnsi="SimSun" w:eastAsia="SimSun"/>
                <w:b w:val="0"/>
                <w:sz w:val="20"/>
              </w:rPr>
              <w:t>水位MAE</w:t>
              <w:br/>
              <w:t>&lt;=0.05m</w:t>
            </w:r>
          </w:p>
        </w:tc>
        <w:tc>
          <w:tcPr>
            <w:tcW w:type="dxa" w:w="1134"/>
          </w:tcPr>
          <w:p>
            <w:pPr>
              <w:jc w:val="center"/>
            </w:pPr>
            <w:r/>
            <w:r>
              <w:rPr>
                <w:rFonts w:ascii="SimSun" w:hAnsi="SimSun" w:eastAsia="SimSun"/>
                <w:b w:val="0"/>
                <w:sz w:val="20"/>
              </w:rPr>
              <w:t>试运行</w:t>
              <w:br/>
              <w:t>评估报告</w:t>
            </w:r>
          </w:p>
        </w:tc>
      </w:tr>
      <w:tr>
        <w:tc>
          <w:tcPr>
            <w:tcW w:type="dxa" w:w="1020"/>
          </w:tcPr>
          <w:p>
            <w:pPr>
              <w:jc w:val="center"/>
            </w:pPr>
            <w:r/>
            <w:r>
              <w:rPr>
                <w:rFonts w:ascii="SimSun" w:hAnsi="SimSun" w:eastAsia="SimSun"/>
                <w:b w:val="0"/>
                <w:sz w:val="20"/>
              </w:rPr>
              <w:t>正式</w:t>
              <w:br/>
              <w:t>上线</w:t>
            </w:r>
          </w:p>
        </w:tc>
        <w:tc>
          <w:tcPr>
            <w:tcW w:type="dxa" w:w="1020"/>
          </w:tcPr>
          <w:p>
            <w:pPr>
              <w:jc w:val="center"/>
            </w:pPr>
            <w:r/>
            <w:r>
              <w:rPr>
                <w:rFonts w:ascii="SimSun" w:hAnsi="SimSun" w:eastAsia="SimSun"/>
                <w:b w:val="0"/>
                <w:sz w:val="20"/>
              </w:rPr>
              <w:t>2027</w:t>
              <w:br/>
              <w:t>Q3起</w:t>
            </w:r>
          </w:p>
        </w:tc>
        <w:tc>
          <w:tcPr>
            <w:tcW w:type="dxa" w:w="1247"/>
          </w:tcPr>
          <w:p>
            <w:pPr>
              <w:jc w:val="center"/>
            </w:pPr>
            <w:r/>
            <w:r>
              <w:rPr>
                <w:rFonts w:ascii="SimSun" w:hAnsi="SimSun" w:eastAsia="SimSun"/>
                <w:b w:val="0"/>
                <w:sz w:val="20"/>
              </w:rPr>
              <w:t>逐段扩展</w:t>
              <w:br/>
              <w:t>至全线</w:t>
            </w:r>
          </w:p>
        </w:tc>
        <w:tc>
          <w:tcPr>
            <w:tcW w:type="dxa" w:w="1020"/>
          </w:tcPr>
          <w:p>
            <w:pPr>
              <w:jc w:val="center"/>
            </w:pPr>
            <w:r/>
            <w:r>
              <w:rPr>
                <w:rFonts w:ascii="SimSun" w:hAnsi="SimSun" w:eastAsia="SimSun"/>
                <w:b w:val="0"/>
                <w:sz w:val="20"/>
              </w:rPr>
              <w:t>持续运行</w:t>
              <w:br/>
              <w:t>年度复验</w:t>
            </w:r>
          </w:p>
        </w:tc>
        <w:tc>
          <w:tcPr>
            <w:tcW w:type="dxa" w:w="1247"/>
          </w:tcPr>
          <w:p>
            <w:pPr>
              <w:jc w:val="center"/>
            </w:pPr>
            <w:r/>
            <w:r>
              <w:rPr>
                <w:rFonts w:ascii="SimSun" w:hAnsi="SimSun" w:eastAsia="SimSun"/>
                <w:b w:val="0"/>
                <w:sz w:val="20"/>
              </w:rPr>
              <w:t>满足WSIL-C</w:t>
              <w:br/>
              <w:t>全部要求</w:t>
            </w:r>
          </w:p>
        </w:tc>
        <w:tc>
          <w:tcPr>
            <w:tcW w:type="dxa" w:w="1134"/>
          </w:tcPr>
          <w:p>
            <w:pPr>
              <w:jc w:val="center"/>
            </w:pPr>
            <w:r/>
            <w:r>
              <w:rPr>
                <w:rFonts w:ascii="SimSun" w:hAnsi="SimSun" w:eastAsia="SimSun"/>
                <w:b w:val="0"/>
                <w:sz w:val="20"/>
              </w:rPr>
              <w:t>电子适航</w:t>
              <w:br/>
              <w:t>证</w:t>
            </w:r>
          </w:p>
        </w:tc>
      </w:tr>
    </w:tbl>
    <w:p>
      <w:pPr>
        <w:spacing w:line="400" w:lineRule="exact" w:before="60" w:after="60"/>
        <w:ind w:firstLine="482"/>
      </w:pPr>
      <w:r>
        <w:rPr>
          <w:rFonts w:ascii="SimSun" w:hAnsi="SimSun" w:eastAsia="SimSun"/>
          <w:b w:val="0"/>
          <w:sz w:val="24"/>
        </w:rPr>
        <w:t>表9-5  南水北调中线SIL/HIL验证分阶段推进计划</w:t>
      </w:r>
    </w:p>
    <w:p>
      <w:pPr>
        <w:spacing w:before="200" w:after="160"/>
        <w:jc w:val="left"/>
      </w:pPr>
      <w:r>
        <w:rPr>
          <w:rFonts w:ascii="SimSun" w:hAnsi="SimSun" w:eastAsia="SimSun"/>
          <w:b/>
          <w:sz w:val="24"/>
        </w:rPr>
        <w:t>9.8.2  SIL平台建设方案</w:t>
      </w:r>
    </w:p>
    <w:p>
      <w:pPr>
        <w:spacing w:line="400" w:lineRule="exact" w:before="60" w:after="60"/>
        <w:ind w:firstLine="482"/>
      </w:pPr>
      <w:r>
        <w:rPr>
          <w:rFonts w:ascii="SimSun" w:hAnsi="SimSun" w:eastAsia="SimSun"/>
          <w:b w:val="0"/>
          <w:sz w:val="24"/>
        </w:rPr>
        <w:t>南水北调中线SIL平台的技术方案如下。物理过程仿真引擎采用全线63池的Saint-Venant方程非恒定流模型，空间离散步长500m，时间步长60s（Preissmann隐式格式），模型保真度TF &gt;= 0.90（以2020~2024年历史数据校核）。控制算法接口采用OpenMI标准，支持"即插即用"式的算法替换。场景注入器支持WaterSCENARIO格式的场景描述文件自动解析和执行。评估记录器自动生成HTML格式的测试报告，包含时序图、KPI统计和通过/失败判定[33]。</w:t>
      </w:r>
    </w:p>
    <w:p>
      <w:pPr>
        <w:spacing w:line="400" w:lineRule="exact" w:before="60" w:after="60"/>
        <w:ind w:firstLine="482"/>
      </w:pPr>
      <w:r>
        <w:rPr>
          <w:rFonts w:ascii="SimSun" w:hAnsi="SimSun" w:eastAsia="SimSun"/>
          <w:b w:val="0"/>
          <w:sz w:val="24"/>
        </w:rPr>
        <w:t>SIL平台的硬件配置建议为：4台高性能计算服务器（每台64核/256GB内存），用于并行执行场景测试；1台数据库服务器用于存储测试结果；1台Web服务器用于测试管理和报告展示。总硬件投资约150~200万元。</w:t>
      </w:r>
    </w:p>
    <w:p>
      <w:pPr>
        <w:spacing w:before="200" w:after="160"/>
        <w:jc w:val="left"/>
      </w:pPr>
      <w:r>
        <w:rPr>
          <w:rFonts w:ascii="SimSun" w:hAnsi="SimSun" w:eastAsia="SimSun"/>
          <w:b/>
          <w:sz w:val="24"/>
        </w:rPr>
        <w:t>9.8.3  HIL平台建设方案</w:t>
      </w:r>
    </w:p>
    <w:p>
      <w:pPr>
        <w:spacing w:line="400" w:lineRule="exact" w:before="60" w:after="60"/>
        <w:ind w:firstLine="482"/>
      </w:pPr>
      <w:r>
        <w:rPr>
          <w:rFonts w:ascii="SimSun" w:hAnsi="SimSun" w:eastAsia="SimSun"/>
          <w:b w:val="0"/>
          <w:sz w:val="24"/>
        </w:rPr>
        <w:t>HIL平台在SIL平台基础上增加以下硬件。实时仿真器采用National Instruments PXI或等效平台，运行简化的IDZ模型（全线仿真实时运行的计算需求低于全Saint-Venant模型）。被测硬件包括：2套边缘控制器（与现场部署相同型号）、4套PLC（模拟现地控制站）、通信网络仿真器（模拟SCADA网络条件）。信号接口板支持64路模拟量输入、32路模拟量输出。HIL平台总投资约300~500万元[34]。</w:t>
      </w:r>
    </w:p>
    <w:p>
      <w:pPr>
        <w:spacing w:before="200" w:after="160"/>
        <w:jc w:val="left"/>
      </w:pPr>
      <w:r>
        <w:rPr>
          <w:rFonts w:ascii="SimSun" w:hAnsi="SimSun" w:eastAsia="SimSun"/>
          <w:b/>
          <w:sz w:val="24"/>
        </w:rPr>
        <w:t>9.8.4  现场试运行方案</w:t>
      </w:r>
    </w:p>
    <w:p>
      <w:pPr>
        <w:spacing w:line="400" w:lineRule="exact" w:before="60" w:after="60"/>
        <w:ind w:firstLine="482"/>
      </w:pPr>
      <w:r>
        <w:rPr>
          <w:rFonts w:ascii="SimSun" w:hAnsi="SimSun" w:eastAsia="SimSun"/>
          <w:b w:val="0"/>
          <w:sz w:val="24"/>
        </w:rPr>
        <w:t>现场试运行在选定的管理段（建议选择中段某5~10个渠池，该区域水力条件适中、取水口分布有代表性）进行。试运行分为三个子阶段：</w:t>
      </w:r>
    </w:p>
    <w:p>
      <w:pPr>
        <w:spacing w:line="400" w:lineRule="exact" w:before="60" w:after="60"/>
        <w:ind w:firstLine="482"/>
      </w:pPr>
      <w:r>
        <w:rPr>
          <w:rFonts w:ascii="SimSun" w:hAnsi="SimSun" w:eastAsia="SimSun"/>
          <w:b w:val="0"/>
          <w:sz w:val="24"/>
        </w:rPr>
        <w:t>第一子阶段为"影子模式"（Shadow Mode，约30天）——控制系统并行运行但不实际控制闸门，输出的控制建议与人工调度方案进行实时对比。目的是验证在线状态估计和控制建议的合理性，建立调度人员对系统的信任。</w:t>
      </w:r>
    </w:p>
    <w:p>
      <w:pPr>
        <w:spacing w:line="400" w:lineRule="exact" w:before="60" w:after="60"/>
        <w:ind w:firstLine="482"/>
      </w:pPr>
      <w:r>
        <w:rPr>
          <w:rFonts w:ascii="SimSun" w:hAnsi="SimSun" w:eastAsia="SimSun"/>
          <w:b w:val="0"/>
          <w:sz w:val="24"/>
        </w:rPr>
        <w:t>第二子阶段为"辅助模式"（Advisory Mode，约30天）——控制系统输出的调度建议经调度员确认后自动执行。调度员保留否决权和修改权。目的是验证闭环控制在实际环境中的表现，同时保持人工干预能力。</w:t>
      </w:r>
    </w:p>
    <w:p>
      <w:pPr>
        <w:spacing w:line="400" w:lineRule="exact" w:before="60" w:after="60"/>
        <w:ind w:firstLine="482"/>
      </w:pPr>
      <w:r>
        <w:rPr>
          <w:rFonts w:ascii="SimSun" w:hAnsi="SimSun" w:eastAsia="SimSun"/>
          <w:b w:val="0"/>
          <w:sz w:val="24"/>
        </w:rPr>
        <w:t>第三子阶段为"条件自主模式"（Conditional Autonomous Mode，约30天）——在ODD范围内系统自主运行，调度员进行监督。当系统检测到超出ODD的条件或调度员主动干预时，自动切换至人工模式。目的是验证L3级自主运行的可行性和稳定性[35]。</w:t>
      </w:r>
    </w:p>
    <w:p>
      <w:pPr>
        <w:spacing w:line="400" w:lineRule="exact" w:before="60" w:after="60"/>
        <w:ind w:firstLine="482"/>
      </w:pPr>
      <w:r>
        <w:rPr>
          <w:rFonts w:ascii="SimSun" w:hAnsi="SimSun" w:eastAsia="SimSun"/>
          <w:b w:val="0"/>
          <w:sz w:val="24"/>
        </w:rPr>
        <w:t>现场试运行期间的关键监测指标包括：水位控制MAE（目标 &lt;= 0.05m）、闸门日均动作次数（目标较人工模式减少50%以上）、人工干预频率（目标条件自主模式下 &lt;= 1次/天）、约束裕度最小值（目标始终 &gt; 0.10m）。</w:t>
      </w:r>
    </w:p>
    <w:p>
      <w:pPr>
        <w:spacing w:before="280" w:after="200"/>
        <w:jc w:val="left"/>
      </w:pPr>
      <w:r>
        <w:rPr>
          <w:rFonts w:ascii="SimSun" w:hAnsi="SimSun" w:eastAsia="SimSun"/>
          <w:b/>
          <w:sz w:val="28"/>
        </w:rPr>
        <w:t>9.9  持续验证与场景库演化</w:t>
      </w:r>
    </w:p>
    <w:p>
      <w:pPr>
        <w:spacing w:before="200" w:after="160"/>
        <w:jc w:val="left"/>
      </w:pPr>
      <w:r>
        <w:rPr>
          <w:rFonts w:ascii="SimSun" w:hAnsi="SimSun" w:eastAsia="SimSun"/>
          <w:b/>
          <w:sz w:val="24"/>
        </w:rPr>
        <w:t>9.9.1  运行数据驱动的场景库更新</w:t>
      </w:r>
    </w:p>
    <w:p>
      <w:pPr>
        <w:spacing w:line="400" w:lineRule="exact" w:before="60" w:after="60"/>
        <w:ind w:firstLine="482"/>
      </w:pPr>
      <w:r>
        <w:rPr>
          <w:rFonts w:ascii="SimSun" w:hAnsi="SimSun" w:eastAsia="SimSun"/>
          <w:b w:val="0"/>
          <w:sz w:val="24"/>
        </w:rPr>
        <w:t>场景库不是一次性构建完成的静态产品，而是随着系统运行经验的积累持续演化的动态知识库。运行数据是场景库更新的主要驱动力。</w:t>
      </w:r>
    </w:p>
    <w:p>
      <w:pPr>
        <w:spacing w:line="400" w:lineRule="exact" w:before="60" w:after="60"/>
        <w:ind w:firstLine="482"/>
      </w:pPr>
      <w:r>
        <w:rPr>
          <w:rFonts w:ascii="SimSun" w:hAnsi="SimSun" w:eastAsia="SimSun"/>
          <w:b w:val="0"/>
          <w:sz w:val="24"/>
        </w:rPr>
        <w:t>建议建立"异常事件→场景化→入库→回归测试"的闭环机制。每当实际运行中出现以下三类事件时，均应转化为新的测试场景并纳入场景库：第一类为"近偏差事件"（Near-Miss）——系统虽未违反约束但裕度曾低于预警阈值的事件。第二类为"人工干预事件"——调度员主动否决或修改系统控制建议的事件。第三类为"系统降级事件"——系统因传感器故障、通信中断等原因切换至降级模式的事件[36]。</w:t>
      </w:r>
    </w:p>
    <w:p>
      <w:pPr>
        <w:spacing w:line="400" w:lineRule="exact" w:before="60" w:after="60"/>
        <w:ind w:firstLine="482"/>
      </w:pPr>
      <w:r>
        <w:rPr>
          <w:rFonts w:ascii="SimSun" w:hAnsi="SimSun" w:eastAsia="SimSun"/>
          <w:b w:val="0"/>
          <w:sz w:val="24"/>
        </w:rPr>
        <w:t>场景库的扩展遵循"宽进严出"原则——任何潜在有价值的场景都可以先入库，但正式纳入回归测试集需要经过风险评估和优先级排序。建议每季度进行一次场景库评审，每年进行一次全面的回归测试。</w:t>
      </w:r>
    </w:p>
    <w:p>
      <w:pPr>
        <w:spacing w:before="200" w:after="160"/>
        <w:jc w:val="left"/>
      </w:pPr>
      <w:r>
        <w:rPr>
          <w:rFonts w:ascii="SimSun" w:hAnsi="SimSun" w:eastAsia="SimSun"/>
          <w:b/>
          <w:sz w:val="24"/>
        </w:rPr>
        <w:t>9.9.2  版本管理与回归测试</w:t>
      </w:r>
    </w:p>
    <w:p>
      <w:pPr>
        <w:spacing w:line="400" w:lineRule="exact" w:before="60" w:after="60"/>
        <w:ind w:firstLine="482"/>
      </w:pPr>
      <w:r>
        <w:rPr>
          <w:rFonts w:ascii="SimSun" w:hAnsi="SimSun" w:eastAsia="SimSun"/>
          <w:b w:val="0"/>
          <w:sz w:val="24"/>
        </w:rPr>
        <w:t>控制系统的每次版本更新（包括算法修改、参数调整、模型更新）都必须触发回归测试。回归测试的策略如下：</w:t>
      </w:r>
    </w:p>
    <w:p>
      <w:pPr>
        <w:spacing w:before="120" w:after="120"/>
        <w:jc w:val="center"/>
      </w:pPr>
      <w:r>
        <w:rPr>
          <w:rFonts w:ascii="SimSun" w:hAnsi="SimSun" w:eastAsia="SimSun"/>
          <w:b w:val="0"/>
          <w:sz w:val="24"/>
        </w:rPr>
        <w:t>RegressionSet = CoreSet ∪ ImpactSet(ChangeType)   （式9-14）</w:t>
      </w:r>
    </w:p>
    <w:p>
      <w:pPr>
        <w:spacing w:line="360" w:lineRule="exact" w:before="40" w:after="40"/>
        <w:ind w:firstLine="482"/>
      </w:pPr>
      <w:r>
        <w:rPr>
          <w:rFonts w:ascii="SimSun" w:hAnsi="SimSun" w:eastAsia="SimSun"/>
          <w:b w:val="0"/>
          <w:sz w:val="21"/>
        </w:rPr>
        <w:t>式中：CoreSet为核心回归测试集（约50个关键场景，每次必须全部执行）；ImpactSet(ChangeType)为与本次变更相关的影响场景集（根据变更类型自动选取）。例如，若本次变更修改了冰期控制参数，则ImpactSet应包含所有冰期相关场景。</w:t>
      </w:r>
    </w:p>
    <w:p>
      <w:pPr>
        <w:spacing w:line="400" w:lineRule="exact" w:before="60" w:after="60"/>
        <w:ind w:firstLine="482"/>
      </w:pPr>
      <w:r>
        <w:rPr>
          <w:rFonts w:ascii="SimSun" w:hAnsi="SimSun" w:eastAsia="SimSun"/>
          <w:b w:val="0"/>
          <w:sz w:val="24"/>
        </w:rPr>
        <w:t>版本管理应遵循严格的配置管理规范，确保每个版本对应的算法代码、参数文件、模型文件、场景库版本和测试报告均可追溯。建议采用Git等版本控制工具管理所有配置项，并在"电子适航证"中明确记录所有配置项的版本号[37]。</w:t>
      </w:r>
    </w:p>
    <w:p>
      <w:pPr>
        <w:spacing w:before="200" w:after="160"/>
        <w:jc w:val="left"/>
      </w:pPr>
      <w:r>
        <w:rPr>
          <w:rFonts w:ascii="SimSun" w:hAnsi="SimSun" w:eastAsia="SimSun"/>
          <w:b/>
          <w:sz w:val="24"/>
        </w:rPr>
        <w:t>9.9.3  数字线程与知识积累</w:t>
      </w:r>
    </w:p>
    <w:p>
      <w:pPr>
        <w:spacing w:line="400" w:lineRule="exact" w:before="60" w:after="60"/>
        <w:ind w:firstLine="482"/>
      </w:pPr>
      <w:r>
        <w:rPr>
          <w:rFonts w:ascii="SimSun" w:hAnsi="SimSun" w:eastAsia="SimSun"/>
          <w:b w:val="0"/>
          <w:sz w:val="24"/>
        </w:rPr>
        <w:t>SIL/HIL验证过程产生的海量数据（每个7天场景约产生10万条时序记录）是宝贵的知识资产。建议建立"数字线程"（Digital Thread）将验证数据与设计文档、运行数据、维护记录贯通，形成系统全生命周期的知识图谱。</w:t>
      </w:r>
    </w:p>
    <w:p>
      <w:pPr>
        <w:spacing w:line="400" w:lineRule="exact" w:before="60" w:after="60"/>
        <w:ind w:firstLine="482"/>
      </w:pPr>
      <w:r>
        <w:rPr>
          <w:rFonts w:ascii="SimSun" w:hAnsi="SimSun" w:eastAsia="SimSun"/>
          <w:b w:val="0"/>
          <w:sz w:val="24"/>
        </w:rPr>
        <w:t>数字线程的核心价值在于支持以下三类分析。第一，跨版本性能对比——同一场景在不同算法版本下的控制效果对比，定量评估每次升级的效益。第二，场景-故障关联分析——统计哪些场景类型最容易导致系统性能下降，指导场景库的优先级调整。第三，长期退化监测——通过定期回归测试结果的长期趋势分析，提前发现系统性能退化的征兆（如模型精度下降、控制器性能漂移等）[38]。</w:t>
      </w:r>
    </w:p>
    <w:p>
      <w:pPr>
        <w:spacing w:before="280" w:after="200"/>
        <w:jc w:val="left"/>
      </w:pPr>
      <w:r>
        <w:rPr>
          <w:rFonts w:ascii="SimSun" w:hAnsi="SimSun" w:eastAsia="SimSun"/>
          <w:b/>
          <w:sz w:val="28"/>
        </w:rPr>
        <w:t>9.10  本章小结</w:t>
      </w:r>
    </w:p>
    <w:p>
      <w:pPr>
        <w:spacing w:line="400" w:lineRule="exact" w:before="60" w:after="60"/>
        <w:ind w:firstLine="482"/>
      </w:pPr>
      <w:r>
        <w:rPr>
          <w:rFonts w:ascii="SimSun" w:hAnsi="SimSun" w:eastAsia="SimSun"/>
          <w:b w:val="0"/>
          <w:sz w:val="24"/>
        </w:rPr>
        <w:t>本章系统论述了场景库驱动的SIL/HIL验证与工程准入技术，为水网自主运行系统从"实验室成果"到"工程级应用"搭建了可靠的桥梁。主要结论如下。</w:t>
      </w:r>
    </w:p>
    <w:p>
      <w:pPr>
        <w:spacing w:line="400" w:lineRule="exact" w:before="60" w:after="60"/>
        <w:ind w:firstLine="482"/>
      </w:pPr>
      <w:r>
        <w:rPr>
          <w:rFonts w:ascii="SimSun" w:hAnsi="SimSun" w:eastAsia="SimSun"/>
          <w:b w:val="0"/>
          <w:sz w:val="24"/>
        </w:rPr>
        <w:t>第一，从"功能演示"到"场景验证"的范式转换是水利智能系统工程化的核心方法论突破。传统功能演示的场景覆盖率不足2%，而场景驱动验证通过系统化的场景库构建、风险分级和组合覆盖，将验证覆盖率提升至95%以上。自动驾驶、航空、核电等高安全行业的经验证明，场景驱动验证是确保复杂系统工程安全性的唯一可靠路径。</w:t>
      </w:r>
    </w:p>
    <w:p>
      <w:pPr>
        <w:spacing w:line="400" w:lineRule="exact" w:before="60" w:after="60"/>
        <w:ind w:firstLine="482"/>
      </w:pPr>
      <w:r>
        <w:rPr>
          <w:rFonts w:ascii="SimSun" w:hAnsi="SimSun" w:eastAsia="SimSun"/>
          <w:b w:val="0"/>
          <w:sz w:val="24"/>
        </w:rPr>
        <w:t>第二，场景库构建应遵循"ODD导向、风险驱动、组合覆盖"方法论。基于风险矩阵（R = P * C）的场景筛选确保有限的测试资源优先覆盖最危险的场景。建议初始场景库不少于200个场景，高风险场景覆盖率100%，最终目标规模1000个以上。标准化场景描述语言WaterSCENARIO为场景的可重复执行和跨平台共享提供基础。</w:t>
      </w:r>
    </w:p>
    <w:p>
      <w:pPr>
        <w:spacing w:line="400" w:lineRule="exact" w:before="60" w:after="60"/>
        <w:ind w:firstLine="482"/>
      </w:pPr>
      <w:r>
        <w:rPr>
          <w:rFonts w:ascii="SimSun" w:hAnsi="SimSun" w:eastAsia="SimSun"/>
          <w:b w:val="0"/>
          <w:sz w:val="24"/>
        </w:rPr>
        <w:t>第三，SIL/HIL分级验证策略平衡了测试效率和硬件真实性。SIL测试以10~100倍加速比遍历全部场景，HIL测试以1:1实时速率验证高风险场景子集。两级验证互补协同：SIL保证覆盖广度，HIL保证硬件真实性。"SIL→HIL→现场试运行→正式上线"的四阶段推进策略为系统安全上线提供了渐进式的信心积累。</w:t>
      </w:r>
    </w:p>
    <w:p>
      <w:pPr>
        <w:spacing w:line="400" w:lineRule="exact" w:before="60" w:after="60"/>
        <w:ind w:firstLine="482"/>
      </w:pPr>
      <w:r>
        <w:rPr>
          <w:rFonts w:ascii="SimSun" w:hAnsi="SimSun" w:eastAsia="SimSun"/>
          <w:b w:val="0"/>
          <w:sz w:val="24"/>
        </w:rPr>
        <w:t>第四，WSIL水利安全完整性等级体系为水利行业提供了分级安全要求框架。借鉴ISO 26262（ASIL）和IEC 61508（SIL）的成熟经验，WSIL-A至WSIL-D四个等级从测试覆盖、冗余设计、审核要求三个维度差异化地分配安全资源。南水北调中线建议达到WSIL-C级，堤防漫溢保护达到WSIL-D级。</w:t>
      </w:r>
    </w:p>
    <w:p>
      <w:pPr>
        <w:spacing w:line="400" w:lineRule="exact" w:before="60" w:after="60"/>
        <w:ind w:firstLine="482"/>
      </w:pPr>
      <w:r>
        <w:rPr>
          <w:rFonts w:ascii="SimSun" w:hAnsi="SimSun" w:eastAsia="SimSun"/>
          <w:b w:val="0"/>
          <w:sz w:val="24"/>
        </w:rPr>
        <w:t>第五，"电子适航证"是工程准入的最终交付物。基于GSN的结构化安全论证方法将"ODD声明→场景库覆盖→SIL/HIL测试→安全分析→残余风险"组织为完整的证据链。长远目标是建立类似航空EASA/FAA体系的"水利智能系统认证中心"，在过渡期可通过跨行业评估和国际互认机制实现初步的第三方评测。</w:t>
      </w:r>
    </w:p>
    <w:p>
      <w:pPr>
        <w:spacing w:line="400" w:lineRule="exact" w:before="60" w:after="60"/>
        <w:ind w:firstLine="482"/>
      </w:pPr>
      <w:r>
        <w:rPr>
          <w:rFonts w:ascii="SimSun" w:hAnsi="SimSun" w:eastAsia="SimSun"/>
          <w:b w:val="0"/>
          <w:sz w:val="24"/>
        </w:rPr>
        <w:t>第六，场景库的持续演化和回归测试机制确保验证体系不会随时间退化。"异常事件→场景化→入库→回归测试"的闭环机制将运行经验持续转化为验证知识。数字线程贯通设计、验证、运行的全生命周期数据，支撑跨版本对比和长期退化监测。</w:t>
      </w:r>
    </w:p>
    <w:p>
      <w:pPr>
        <w:spacing w:line="400" w:lineRule="exact" w:before="60" w:after="60"/>
        <w:ind w:firstLine="482"/>
      </w:pPr>
      <w:r>
        <w:rPr>
          <w:rFonts w:ascii="SimSun" w:hAnsi="SimSun" w:eastAsia="SimSun"/>
          <w:b w:val="0"/>
          <w:sz w:val="24"/>
        </w:rPr>
        <w:t>上述验证与准入技术框架与前几章的技术内容形成了完整的逻辑链条。第五章的建模与降阶技术为SIL仿真引擎提供物理过程模型；第六章的状态估计、第七章的MPC控制、第八章的约束管理是SIL/HIL中被测试的控制算法；本章的验证体系则为所有这些技术的工程应用提供了"安全性证明"。没有经过严格SIL/HIL验证的控制系统，无论算法多么先进，都不具备工程上线的资格。</w:t>
      </w:r>
    </w:p>
    <w:p>
      <w:pPr>
        <w:spacing w:before="280" w:after="200"/>
        <w:jc w:val="left"/>
      </w:pPr>
      <w:r>
        <w:rPr>
          <w:rFonts w:ascii="SimSun" w:hAnsi="SimSun" w:eastAsia="SimSun"/>
          <w:b/>
          <w:sz w:val="28"/>
        </w:rPr>
        <w:t>参考文献</w:t>
      </w:r>
    </w:p>
    <w:p>
      <w:pPr>
        <w:spacing w:line="360" w:lineRule="exact" w:before="30" w:after="30"/>
        <w:ind w:left="482" w:hanging="482"/>
      </w:pPr>
      <w:r>
        <w:rPr>
          <w:rFonts w:ascii="SimSun" w:hAnsi="SimSun" w:eastAsia="SimSun"/>
          <w:b w:val="0"/>
          <w:sz w:val="20"/>
        </w:rPr>
        <w:t>[1] Leveson N G. Engineering a Safer World: Systems Thinking Applied to Safety. MIT Press, 2012.</w:t>
      </w:r>
    </w:p>
    <w:p>
      <w:pPr>
        <w:spacing w:line="360" w:lineRule="exact" w:before="30" w:after="30"/>
        <w:ind w:left="482" w:hanging="482"/>
      </w:pPr>
      <w:r>
        <w:rPr>
          <w:rFonts w:ascii="SimSun" w:hAnsi="SimSun" w:eastAsia="SimSun"/>
          <w:b w:val="0"/>
          <w:sz w:val="20"/>
        </w:rPr>
        <w:t>[2] Koopman P, Wagner M. Autonomous vehicle safety: An interdisciplinary challenge. IEEE Intelligent Transportation Systems Magazine, 2017, 9(1): 90-96.</w:t>
      </w:r>
    </w:p>
    <w:p>
      <w:pPr>
        <w:spacing w:line="360" w:lineRule="exact" w:before="30" w:after="30"/>
        <w:ind w:left="482" w:hanging="482"/>
      </w:pPr>
      <w:r>
        <w:rPr>
          <w:rFonts w:ascii="SimSun" w:hAnsi="SimSun" w:eastAsia="SimSun"/>
          <w:b w:val="0"/>
          <w:sz w:val="20"/>
        </w:rPr>
        <w:t>[3] NTSB. Collision Between Vehicle Controlled by Developmental Automated Driving System and Pedestrian, Tempe, Arizona, March 18, 2018. NTSB/HAR-19/03, 2019.</w:t>
      </w:r>
    </w:p>
    <w:p>
      <w:pPr>
        <w:spacing w:line="360" w:lineRule="exact" w:before="30" w:after="30"/>
        <w:ind w:left="482" w:hanging="482"/>
      </w:pPr>
      <w:r>
        <w:rPr>
          <w:rFonts w:ascii="SimSun" w:hAnsi="SimSun" w:eastAsia="SimSun"/>
          <w:b w:val="0"/>
          <w:sz w:val="20"/>
        </w:rPr>
        <w:t>[4] Popper K. The Logic of Scientific Discovery. Routledge, 1959 (reprint 2002).</w:t>
      </w:r>
    </w:p>
    <w:p>
      <w:pPr>
        <w:spacing w:line="360" w:lineRule="exact" w:before="30" w:after="30"/>
        <w:ind w:left="482" w:hanging="482"/>
      </w:pPr>
      <w:r>
        <w:rPr>
          <w:rFonts w:ascii="SimSun" w:hAnsi="SimSun" w:eastAsia="SimSun"/>
          <w:b w:val="0"/>
          <w:sz w:val="20"/>
        </w:rPr>
        <w:t>[5] Riedmaier S, Ponn T, Ludwig D, et al. Survey on scenario-based safety assessment of automated vehicles. IEEE Access, 2020, 8: 87456-87477.</w:t>
      </w:r>
    </w:p>
    <w:p>
      <w:pPr>
        <w:spacing w:line="360" w:lineRule="exact" w:before="30" w:after="30"/>
        <w:ind w:left="482" w:hanging="482"/>
      </w:pPr>
      <w:r>
        <w:rPr>
          <w:rFonts w:ascii="SimSun" w:hAnsi="SimSun" w:eastAsia="SimSun"/>
          <w:b w:val="0"/>
          <w:sz w:val="20"/>
        </w:rPr>
        <w:t>[6] RTCA. DO-178C: Software Considerations in Airborne Systems and Equipment Certification. RTCA, 2011.</w:t>
      </w:r>
    </w:p>
    <w:p>
      <w:pPr>
        <w:spacing w:line="360" w:lineRule="exact" w:before="30" w:after="30"/>
        <w:ind w:left="482" w:hanging="482"/>
      </w:pPr>
      <w:r>
        <w:rPr>
          <w:rFonts w:ascii="SimSun" w:hAnsi="SimSun" w:eastAsia="SimSun"/>
          <w:b w:val="0"/>
          <w:sz w:val="20"/>
        </w:rPr>
        <w:t>[7] ISO 26262:2018. Road Vehicles – Functional Safety. International Organization for Standardization, 2018.</w:t>
      </w:r>
    </w:p>
    <w:p>
      <w:pPr>
        <w:spacing w:line="360" w:lineRule="exact" w:before="30" w:after="30"/>
        <w:ind w:left="482" w:hanging="482"/>
      </w:pPr>
      <w:r>
        <w:rPr>
          <w:rFonts w:ascii="SimSun" w:hAnsi="SimSun" w:eastAsia="SimSun"/>
          <w:b w:val="0"/>
          <w:sz w:val="20"/>
        </w:rPr>
        <w:t>[8] ASAM. OpenSCENARIO V2.0: Dynamic Content Description Standard. Association for Standardization of Automation and Measuring Systems, 2022.</w:t>
      </w:r>
    </w:p>
    <w:p>
      <w:pPr>
        <w:spacing w:line="360" w:lineRule="exact" w:before="30" w:after="30"/>
        <w:ind w:left="482" w:hanging="482"/>
      </w:pPr>
      <w:r>
        <w:rPr>
          <w:rFonts w:ascii="SimSun" w:hAnsi="SimSun" w:eastAsia="SimSun"/>
          <w:b w:val="0"/>
          <w:sz w:val="20"/>
        </w:rPr>
        <w:t>[9] Litrico X, Fromion V. Modeling and Control of Hydrosystems. Springer, 2009.</w:t>
      </w:r>
    </w:p>
    <w:p>
      <w:pPr>
        <w:spacing w:line="360" w:lineRule="exact" w:before="30" w:after="30"/>
        <w:ind w:left="482" w:hanging="482"/>
      </w:pPr>
      <w:r>
        <w:rPr>
          <w:rFonts w:ascii="SimSun" w:hAnsi="SimSun" w:eastAsia="SimSun"/>
          <w:b w:val="0"/>
          <w:sz w:val="20"/>
        </w:rPr>
        <w:t>[10] ISO 21448:2022. Road Vehicles – Safety of the Intended Functionality (SOTIF). International Organization for Standardization, 2022.</w:t>
      </w:r>
    </w:p>
    <w:p>
      <w:pPr>
        <w:spacing w:line="360" w:lineRule="exact" w:before="30" w:after="30"/>
        <w:ind w:left="482" w:hanging="482"/>
      </w:pPr>
      <w:r>
        <w:rPr>
          <w:rFonts w:ascii="SimSun" w:hAnsi="SimSun" w:eastAsia="SimSun"/>
          <w:b w:val="0"/>
          <w:sz w:val="20"/>
        </w:rPr>
        <w:t>[11] IEC 61508:2010. Functional Safety of Electrical/Electronic/Programmable Electronic Safety-Related Systems. International Electrotechnical Commission, 2010.</w:t>
      </w:r>
    </w:p>
    <w:p>
      <w:pPr>
        <w:spacing w:line="360" w:lineRule="exact" w:before="30" w:after="30"/>
        <w:ind w:left="482" w:hanging="482"/>
      </w:pPr>
      <w:r>
        <w:rPr>
          <w:rFonts w:ascii="SimSun" w:hAnsi="SimSun" w:eastAsia="SimSun"/>
          <w:b w:val="0"/>
          <w:sz w:val="20"/>
        </w:rPr>
        <w:t>[12] Menzel T, Bagschik G, Maurer M. Scenarios for development, test and validation of automated vehicles. In IEEE Intelligent Vehicles Symposium, 2018: 1678-1683.</w:t>
      </w:r>
    </w:p>
    <w:p>
      <w:pPr>
        <w:spacing w:line="360" w:lineRule="exact" w:before="30" w:after="30"/>
        <w:ind w:left="482" w:hanging="482"/>
      </w:pPr>
      <w:r>
        <w:rPr>
          <w:rFonts w:ascii="SimSun" w:hAnsi="SimSun" w:eastAsia="SimSun"/>
          <w:b w:val="0"/>
          <w:sz w:val="20"/>
        </w:rPr>
        <w:t>[13] Clemmens A J, Holly F M, Schuurmans W. Description and evaluation of program: Duflow. Journal of Irrigation and Drainage Engineering, 1993, 119(4): 724-734.</w:t>
      </w:r>
    </w:p>
    <w:p>
      <w:pPr>
        <w:spacing w:line="360" w:lineRule="exact" w:before="30" w:after="30"/>
        <w:ind w:left="482" w:hanging="482"/>
      </w:pPr>
      <w:r>
        <w:rPr>
          <w:rFonts w:ascii="SimSun" w:hAnsi="SimSun" w:eastAsia="SimSun"/>
          <w:b w:val="0"/>
          <w:sz w:val="20"/>
        </w:rPr>
        <w:t>[14] Isermann R, Schwarz R, Stolzl S. Fault-tolerant drive-by-wire systems. IEEE Control Systems Magazine, 2002, 22(5): 64-81.</w:t>
      </w:r>
    </w:p>
    <w:p>
      <w:pPr>
        <w:spacing w:line="360" w:lineRule="exact" w:before="30" w:after="30"/>
        <w:ind w:left="482" w:hanging="482"/>
      </w:pPr>
      <w:r>
        <w:rPr>
          <w:rFonts w:ascii="SimSun" w:hAnsi="SimSun" w:eastAsia="SimSun"/>
          <w:b w:val="0"/>
          <w:sz w:val="20"/>
        </w:rPr>
        <w:t>[15] Cunge J A, Holly F M, Verwey A. Practical Aspects of Computational River Hydraulics. Pitman, 1980.</w:t>
      </w:r>
    </w:p>
    <w:p>
      <w:pPr>
        <w:spacing w:line="360" w:lineRule="exact" w:before="30" w:after="30"/>
        <w:ind w:left="482" w:hanging="482"/>
      </w:pPr>
      <w:r>
        <w:rPr>
          <w:rFonts w:ascii="SimSun" w:hAnsi="SimSun" w:eastAsia="SimSun"/>
          <w:b w:val="0"/>
          <w:sz w:val="20"/>
        </w:rPr>
        <w:t>[16] Courant R, Friedrichs K, Lewy H. On the partial difference equations of mathematical physics. IBM Journal of Research and Development, 1967, 11(2): 215-234.</w:t>
      </w:r>
    </w:p>
    <w:p>
      <w:pPr>
        <w:spacing w:line="360" w:lineRule="exact" w:before="30" w:after="30"/>
        <w:ind w:left="482" w:hanging="482"/>
      </w:pPr>
      <w:r>
        <w:rPr>
          <w:rFonts w:ascii="SimSun" w:hAnsi="SimSun" w:eastAsia="SimSun"/>
          <w:b w:val="0"/>
          <w:sz w:val="20"/>
        </w:rPr>
        <w:t>[17] Hosseini S, Barker K, Ramirez-Marquez J E. A review of definitions and measures of system resilience. Reliability Engineering &amp; System Safety, 2016, 145: 47-61.</w:t>
      </w:r>
    </w:p>
    <w:p>
      <w:pPr>
        <w:spacing w:line="360" w:lineRule="exact" w:before="30" w:after="30"/>
        <w:ind w:left="482" w:hanging="482"/>
      </w:pPr>
      <w:r>
        <w:rPr>
          <w:rFonts w:ascii="SimSun" w:hAnsi="SimSun" w:eastAsia="SimSun"/>
          <w:b w:val="0"/>
          <w:sz w:val="20"/>
        </w:rPr>
        <w:t>[18] Bacic M. On hardware-in-the-loop simulation. In IEEE Conference on Decision and Control, 2005: 3194-3198.</w:t>
      </w:r>
    </w:p>
    <w:p>
      <w:pPr>
        <w:spacing w:line="360" w:lineRule="exact" w:before="30" w:after="30"/>
        <w:ind w:left="482" w:hanging="482"/>
      </w:pPr>
      <w:r>
        <w:rPr>
          <w:rFonts w:ascii="SimSun" w:hAnsi="SimSun" w:eastAsia="SimSun"/>
          <w:b w:val="0"/>
          <w:sz w:val="20"/>
        </w:rPr>
        <w:t>[19] National Instruments. Real-Time Testing Solutions for Hardware-in-the-Loop Simulation. NI White Paper, 2020.</w:t>
      </w:r>
    </w:p>
    <w:p>
      <w:pPr>
        <w:spacing w:line="360" w:lineRule="exact" w:before="30" w:after="30"/>
        <w:ind w:left="482" w:hanging="482"/>
      </w:pPr>
      <w:r>
        <w:rPr>
          <w:rFonts w:ascii="SimSun" w:hAnsi="SimSun" w:eastAsia="SimSun"/>
          <w:b w:val="0"/>
          <w:sz w:val="20"/>
        </w:rPr>
        <w:t>[20] Bringmann E, Kramer A. Model-based testing of automotive systems. In IEEE International Conference on Software Testing, Verification, and Validation, 2008: 485-493.</w:t>
      </w:r>
    </w:p>
    <w:p>
      <w:pPr>
        <w:spacing w:line="360" w:lineRule="exact" w:before="30" w:after="30"/>
        <w:ind w:left="482" w:hanging="482"/>
      </w:pPr>
      <w:r>
        <w:rPr>
          <w:rFonts w:ascii="SimSun" w:hAnsi="SimSun" w:eastAsia="SimSun"/>
          <w:b w:val="0"/>
          <w:sz w:val="20"/>
        </w:rPr>
        <w:t>[21] van Overloop P J. Model Predictive Control on Open Water Systems. PhD Thesis, Delft University of Technology, 2006.</w:t>
      </w:r>
    </w:p>
    <w:p>
      <w:pPr>
        <w:spacing w:line="360" w:lineRule="exact" w:before="30" w:after="30"/>
        <w:ind w:left="482" w:hanging="482"/>
      </w:pPr>
      <w:r>
        <w:rPr>
          <w:rFonts w:ascii="SimSun" w:hAnsi="SimSun" w:eastAsia="SimSun"/>
          <w:b w:val="0"/>
          <w:sz w:val="20"/>
        </w:rPr>
        <w:t>[22] Palin R, Ward D, Habli I, et al. ISO 26262 safety cases: Compliance and assurance. In IET Conference on System Safety, 2011: 1-6.</w:t>
      </w:r>
    </w:p>
    <w:p>
      <w:pPr>
        <w:spacing w:line="360" w:lineRule="exact" w:before="30" w:after="30"/>
        <w:ind w:left="482" w:hanging="482"/>
      </w:pPr>
      <w:r>
        <w:rPr>
          <w:rFonts w:ascii="SimSun" w:hAnsi="SimSun" w:eastAsia="SimSun"/>
          <w:b w:val="0"/>
          <w:sz w:val="20"/>
        </w:rPr>
        <w:t>[23] Rierson L. Developing Safety-Critical Software: A Practical Guide for Aviation Software and DO-178C Compliance. CRC Press, 2013.</w:t>
      </w:r>
    </w:p>
    <w:p>
      <w:pPr>
        <w:spacing w:line="360" w:lineRule="exact" w:before="30" w:after="30"/>
        <w:ind w:left="482" w:hanging="482"/>
      </w:pPr>
      <w:r>
        <w:rPr>
          <w:rFonts w:ascii="SimSun" w:hAnsi="SimSun" w:eastAsia="SimSun"/>
          <w:b w:val="0"/>
          <w:sz w:val="20"/>
        </w:rPr>
        <w:t>[24] IEC 61511:2016. Functional Safety – Safety Instrumented Systems for the Process Industry Sector. International Electrotechnical Commission, 2016.</w:t>
      </w:r>
    </w:p>
    <w:p>
      <w:pPr>
        <w:spacing w:line="360" w:lineRule="exact" w:before="30" w:after="30"/>
        <w:ind w:left="482" w:hanging="482"/>
      </w:pPr>
      <w:r>
        <w:rPr>
          <w:rFonts w:ascii="SimSun" w:hAnsi="SimSun" w:eastAsia="SimSun"/>
          <w:b w:val="0"/>
          <w:sz w:val="20"/>
        </w:rPr>
        <w:t>[25] Kelly T P. Arguing Safety: A Systematic Approach to Managing Safety Cases. PhD Thesis, University of York, 1998.</w:t>
      </w:r>
    </w:p>
    <w:p>
      <w:pPr>
        <w:spacing w:line="360" w:lineRule="exact" w:before="30" w:after="30"/>
        <w:ind w:left="482" w:hanging="482"/>
      </w:pPr>
      <w:r>
        <w:rPr>
          <w:rFonts w:ascii="SimSun" w:hAnsi="SimSun" w:eastAsia="SimSun"/>
          <w:b w:val="0"/>
          <w:sz w:val="20"/>
        </w:rPr>
        <w:t>[26] SAE International. J3016:2021 – Taxonomy and Definitions for Terms Related to Driving Automation Systems. SAE, 2021.</w:t>
      </w:r>
    </w:p>
    <w:p>
      <w:pPr>
        <w:spacing w:line="360" w:lineRule="exact" w:before="30" w:after="30"/>
        <w:ind w:left="482" w:hanging="482"/>
      </w:pPr>
      <w:r>
        <w:rPr>
          <w:rFonts w:ascii="SimSun" w:hAnsi="SimSun" w:eastAsia="SimSun"/>
          <w:b w:val="0"/>
          <w:sz w:val="20"/>
        </w:rPr>
        <w:t>[27] Bishop P, Bloomfield R. A methodology for safety case development. In Safety and Reliability, 2000, 20(1): 34-42.</w:t>
      </w:r>
    </w:p>
    <w:p>
      <w:pPr>
        <w:spacing w:line="360" w:lineRule="exact" w:before="30" w:after="30"/>
        <w:ind w:left="482" w:hanging="482"/>
      </w:pPr>
      <w:r>
        <w:rPr>
          <w:rFonts w:ascii="SimSun" w:hAnsi="SimSun" w:eastAsia="SimSun"/>
          <w:b w:val="0"/>
          <w:sz w:val="20"/>
        </w:rPr>
        <w:t>[28] ISO 17025:2017. General Requirements for the Competence of Testing and Calibration Laboratories. International Organization for Standardization, 2017.</w:t>
      </w:r>
    </w:p>
    <w:p>
      <w:pPr>
        <w:spacing w:line="360" w:lineRule="exact" w:before="30" w:after="30"/>
        <w:ind w:left="482" w:hanging="482"/>
      </w:pPr>
      <w:r>
        <w:rPr>
          <w:rFonts w:ascii="SimSun" w:hAnsi="SimSun" w:eastAsia="SimSun"/>
          <w:b w:val="0"/>
          <w:sz w:val="20"/>
        </w:rPr>
        <w:t>[29] Lei X H, Wang H, Zhang C, et al. Towards autonomous operation of water networks: A control-theoretic framework. In IAHR World Congress, 2023.</w:t>
      </w:r>
    </w:p>
    <w:p>
      <w:pPr>
        <w:spacing w:line="360" w:lineRule="exact" w:before="30" w:after="30"/>
        <w:ind w:left="482" w:hanging="482"/>
      </w:pPr>
      <w:r>
        <w:rPr>
          <w:rFonts w:ascii="SimSun" w:hAnsi="SimSun" w:eastAsia="SimSun"/>
          <w:b w:val="0"/>
          <w:sz w:val="20"/>
        </w:rPr>
        <w:t>[30] Clemmens A J, Kacerek T F, Grawitz B, et al. Test cases for canal control algorithms. Journal of Irrigation and Drainage Engineering, 1998, 124(1): 23-30.</w:t>
      </w:r>
    </w:p>
    <w:p>
      <w:pPr>
        <w:spacing w:line="360" w:lineRule="exact" w:before="30" w:after="30"/>
        <w:ind w:left="482" w:hanging="482"/>
      </w:pPr>
      <w:r>
        <w:rPr>
          <w:rFonts w:ascii="SimSun" w:hAnsi="SimSun" w:eastAsia="SimSun"/>
          <w:b w:val="0"/>
          <w:sz w:val="20"/>
        </w:rPr>
        <w:t>[31] Malaterre P O, Rogers D C, Schuurmans J. Classification of canal control algorithms. Journal of Irrigation and Drainage Engineering, 1998, 124(1): 3-10.</w:t>
      </w:r>
    </w:p>
    <w:p>
      <w:pPr>
        <w:spacing w:line="360" w:lineRule="exact" w:before="30" w:after="30"/>
        <w:ind w:left="482" w:hanging="482"/>
      </w:pPr>
      <w:r>
        <w:rPr>
          <w:rFonts w:ascii="SimSun" w:hAnsi="SimSun" w:eastAsia="SimSun"/>
          <w:b w:val="0"/>
          <w:sz w:val="20"/>
        </w:rPr>
        <w:t>[32] van Overloop P J, Clemmens A J, Strand R J, et al. Real-time implementation of model predictive control on Maricopa-Stanfield Irrigation and Drainage District’s WM canal. Journal of Irrigation and Drainage Engineering, 2010, 136(11): 747-756.</w:t>
      </w:r>
    </w:p>
    <w:p>
      <w:pPr>
        <w:spacing w:line="360" w:lineRule="exact" w:before="30" w:after="30"/>
        <w:ind w:left="482" w:hanging="482"/>
      </w:pPr>
      <w:r>
        <w:rPr>
          <w:rFonts w:ascii="SimSun" w:hAnsi="SimSun" w:eastAsia="SimSun"/>
          <w:b w:val="0"/>
          <w:sz w:val="20"/>
        </w:rPr>
        <w:t>[33] Gregersen J B, Gijsbers P J A, Westen S J P. OpenMI: Open modelling interface. Journal of Hydroinformatics, 2007, 9(3): 175-191.</w:t>
      </w:r>
    </w:p>
    <w:p>
      <w:pPr>
        <w:spacing w:line="360" w:lineRule="exact" w:before="30" w:after="30"/>
        <w:ind w:left="482" w:hanging="482"/>
      </w:pPr>
      <w:r>
        <w:rPr>
          <w:rFonts w:ascii="SimSun" w:hAnsi="SimSun" w:eastAsia="SimSun"/>
          <w:b w:val="0"/>
          <w:sz w:val="20"/>
        </w:rPr>
        <w:t>[34] National Instruments. PXI Platform for Automated Test and Measurement. NI Technical Documentation, 2021.</w:t>
      </w:r>
    </w:p>
    <w:p>
      <w:pPr>
        <w:spacing w:line="360" w:lineRule="exact" w:before="30" w:after="30"/>
        <w:ind w:left="482" w:hanging="482"/>
      </w:pPr>
      <w:r>
        <w:rPr>
          <w:rFonts w:ascii="SimSun" w:hAnsi="SimSun" w:eastAsia="SimSun"/>
          <w:b w:val="0"/>
          <w:sz w:val="20"/>
        </w:rPr>
        <w:t>[35] Endsley M R. Toward a theory of situation awareness in dynamic systems. Human Factors, 1995, 37(1): 32-64.</w:t>
      </w:r>
    </w:p>
    <w:p>
      <w:pPr>
        <w:spacing w:line="360" w:lineRule="exact" w:before="30" w:after="30"/>
        <w:ind w:left="482" w:hanging="482"/>
      </w:pPr>
      <w:r>
        <w:rPr>
          <w:rFonts w:ascii="SimSun" w:hAnsi="SimSun" w:eastAsia="SimSun"/>
          <w:b w:val="0"/>
          <w:sz w:val="20"/>
        </w:rPr>
        <w:t>[36] Hollnagel E. Barriers and Accident Prevention. Ashgate, 2004.</w:t>
      </w:r>
    </w:p>
    <w:p>
      <w:pPr>
        <w:spacing w:line="360" w:lineRule="exact" w:before="30" w:after="30"/>
        <w:ind w:left="482" w:hanging="482"/>
      </w:pPr>
      <w:r>
        <w:rPr>
          <w:rFonts w:ascii="SimSun" w:hAnsi="SimSun" w:eastAsia="SimSun"/>
          <w:b w:val="0"/>
          <w:sz w:val="20"/>
        </w:rPr>
        <w:t>[37] IEEE 828:2012. Standard for Configuration Management in Systems and Software Engineering. IEEE, 2012.</w:t>
      </w:r>
    </w:p>
    <w:p>
      <w:pPr>
        <w:spacing w:line="360" w:lineRule="exact" w:before="30" w:after="30"/>
        <w:ind w:left="482" w:hanging="482"/>
      </w:pPr>
      <w:r>
        <w:rPr>
          <w:rFonts w:ascii="SimSun" w:hAnsi="SimSun" w:eastAsia="SimSun"/>
          <w:b w:val="0"/>
          <w:sz w:val="20"/>
        </w:rPr>
        <w:t>[38] NASA. NASA Systems Engineering Handbook (SP-2016-6105 Rev2). National Aeronautics and Space Administration, 2016.</w:t>
      </w:r>
    </w:p>
    <w:p>
      <w:pPr>
        <w:spacing w:line="360" w:lineRule="exact" w:before="30" w:after="30"/>
        <w:ind w:left="482" w:hanging="482"/>
      </w:pPr>
      <w:r>
        <w:rPr>
          <w:rFonts w:ascii="SimSun" w:hAnsi="SimSun" w:eastAsia="SimSun"/>
          <w:b w:val="0"/>
          <w:sz w:val="20"/>
        </w:rPr>
        <w:t>[39] Rawlings J B, Mayne D Q, Diehl M M. Model Predictive Control: Theory, Computation, and Design (2nd ed.). Nob Hill Publishing, 2017.</w:t>
      </w:r>
    </w:p>
    <w:p>
      <w:pPr>
        <w:spacing w:line="360" w:lineRule="exact" w:before="30" w:after="30"/>
        <w:ind w:left="482" w:hanging="482"/>
      </w:pPr>
      <w:r>
        <w:rPr>
          <w:rFonts w:ascii="SimSun" w:hAnsi="SimSun" w:eastAsia="SimSun"/>
          <w:b w:val="0"/>
          <w:sz w:val="20"/>
        </w:rPr>
        <w:t>[40] Cantoni M, Weyer E, Li Y, et al. Control of large-scale irrigation networks. Proceedings of the IEEE, 2007, 95(1): 75-91.</w:t>
      </w:r>
    </w:p>
    <w:p>
      <w:pPr>
        <w:spacing w:line="360" w:lineRule="exact" w:before="30" w:after="30"/>
        <w:ind w:left="482" w:hanging="482"/>
      </w:pPr>
      <w:r>
        <w:rPr>
          <w:rFonts w:ascii="SimSun" w:hAnsi="SimSun" w:eastAsia="SimSun"/>
          <w:b w:val="0"/>
          <w:sz w:val="20"/>
        </w:rPr>
        <w:t>[41] Negenborn R R, van Overloop P J, Keviczky T, et al. Distributed model predictive control of irrigation canals. Networks and Heterogeneous Media, 2009, 4(2): 359-380.</w:t>
      </w:r>
    </w:p>
    <w:p>
      <w:pPr>
        <w:spacing w:line="360" w:lineRule="exact" w:before="30" w:after="30"/>
        <w:ind w:left="482" w:hanging="482"/>
      </w:pPr>
      <w:r>
        <w:rPr>
          <w:rFonts w:ascii="SimSun" w:hAnsi="SimSun" w:eastAsia="SimSun"/>
          <w:b w:val="0"/>
          <w:sz w:val="20"/>
        </w:rPr>
        <w:t>[42] Castelletti A, Galelli S, Restelli M, et al. Tree-based reinforcement learning for optimal water reservoir operation. Water Resources Research, 2010, 46(9): W09507.</w:t>
      </w:r>
    </w:p>
    <w:sectPr w:rsidR="00FC693F" w:rsidRPr="0006063C" w:rsidSect="00034616">
      <w:pgSz w:w="11906" w:h="16838"/>
      <w:pgMar w:top="1440" w:right="1304" w:bottom="144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before="60" w:after="60"/>
    </w:pPr>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