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68B9" w14:textId="77777777" w:rsidR="000D05E4" w:rsidRDefault="00000000">
      <w:pPr>
        <w:spacing w:before="360" w:after="240"/>
        <w:rPr>
          <w:rFonts w:hint="eastAsia"/>
          <w:lang w:eastAsia="zh-CN"/>
        </w:rPr>
      </w:pPr>
      <w:r>
        <w:rPr>
          <w:b/>
          <w:sz w:val="32"/>
          <w:lang w:eastAsia="zh-CN"/>
        </w:rPr>
        <w:t>第五章  关键技术</w:t>
      </w:r>
      <w:proofErr w:type="gramStart"/>
      <w:r>
        <w:rPr>
          <w:b/>
          <w:sz w:val="32"/>
          <w:lang w:eastAsia="zh-CN"/>
        </w:rPr>
        <w:t>一</w:t>
      </w:r>
      <w:proofErr w:type="gramEnd"/>
      <w:r>
        <w:rPr>
          <w:b/>
          <w:sz w:val="32"/>
          <w:lang w:eastAsia="zh-CN"/>
        </w:rPr>
        <w:t>：统一建模与降阶</w:t>
      </w:r>
    </w:p>
    <w:p w14:paraId="05014745" w14:textId="77777777" w:rsidR="000D05E4" w:rsidRDefault="00000000">
      <w:pPr>
        <w:spacing w:before="80" w:after="200"/>
        <w:rPr>
          <w:rFonts w:hint="eastAsia"/>
          <w:lang w:eastAsia="zh-CN"/>
        </w:rPr>
      </w:pPr>
      <w:r>
        <w:rPr>
          <w:b/>
          <w:lang w:eastAsia="zh-CN"/>
        </w:rPr>
        <w:t>—— 从Saint-</w:t>
      </w:r>
      <w:proofErr w:type="spellStart"/>
      <w:r>
        <w:rPr>
          <w:b/>
          <w:lang w:eastAsia="zh-CN"/>
        </w:rPr>
        <w:t>Venant</w:t>
      </w:r>
      <w:proofErr w:type="spellEnd"/>
      <w:r>
        <w:rPr>
          <w:b/>
          <w:lang w:eastAsia="zh-CN"/>
        </w:rPr>
        <w:t>方程到可控模型族</w:t>
      </w:r>
    </w:p>
    <w:p w14:paraId="1D17CF2D" w14:textId="77777777" w:rsidR="000D05E4" w:rsidRDefault="00000000">
      <w:pPr>
        <w:spacing w:before="280" w:after="200"/>
        <w:rPr>
          <w:rFonts w:hint="eastAsia"/>
          <w:lang w:eastAsia="zh-CN"/>
        </w:rPr>
      </w:pPr>
      <w:r>
        <w:rPr>
          <w:b/>
          <w:sz w:val="28"/>
          <w:lang w:eastAsia="zh-CN"/>
        </w:rPr>
        <w:t>5.1 建模挑战与需求分析</w:t>
      </w:r>
    </w:p>
    <w:p w14:paraId="3573B229" w14:textId="77777777" w:rsidR="000D05E4" w:rsidRDefault="00000000">
      <w:pPr>
        <w:spacing w:before="200" w:after="160"/>
        <w:rPr>
          <w:rFonts w:hint="eastAsia"/>
          <w:lang w:eastAsia="zh-CN"/>
        </w:rPr>
      </w:pPr>
      <w:r>
        <w:rPr>
          <w:b/>
          <w:lang w:eastAsia="zh-CN"/>
        </w:rPr>
        <w:t>5.1.1 精度与速度的核心矛盾</w:t>
      </w:r>
    </w:p>
    <w:p w14:paraId="3286AD4E" w14:textId="77777777" w:rsidR="000D05E4" w:rsidRDefault="00000000">
      <w:pPr>
        <w:ind w:firstLine="482"/>
        <w:rPr>
          <w:rFonts w:hint="eastAsia"/>
          <w:lang w:eastAsia="zh-CN"/>
        </w:rPr>
      </w:pPr>
      <w:r>
        <w:rPr>
          <w:lang w:eastAsia="zh-CN"/>
        </w:rPr>
        <w:t>水网智能调控的建模面临一个贯穿始终的核心矛盾：精度与速度的矛盾。一方面，水网系统的物理过程——非恒定明渠流、闸门水力学、管道瞬变流、水质输移——需要高保真的数学模型才能准确描述；另一方面，实时控制要求模型在有限的计算时间窗口内（通常为控制周期的1/10至1/5）完成一次完整的预测计算[1]。以南水北调中线为例，全线1432公里、64座节制闸、97座分水口门和54座退水闸构成了一个超大规模的控制对象，若采用全线Saint-</w:t>
      </w:r>
      <w:proofErr w:type="spellStart"/>
      <w:r>
        <w:rPr>
          <w:lang w:eastAsia="zh-CN"/>
        </w:rPr>
        <w:t>Venant</w:t>
      </w:r>
      <w:proofErr w:type="spellEnd"/>
      <w:r>
        <w:rPr>
          <w:lang w:eastAsia="zh-CN"/>
        </w:rPr>
        <w:t>方程进行实时仿真，节点数可达3000以上，单</w:t>
      </w:r>
      <w:proofErr w:type="gramStart"/>
      <w:r>
        <w:rPr>
          <w:lang w:eastAsia="zh-CN"/>
        </w:rPr>
        <w:t>步计算</w:t>
      </w:r>
      <w:proofErr w:type="gramEnd"/>
      <w:r>
        <w:rPr>
          <w:lang w:eastAsia="zh-CN"/>
        </w:rPr>
        <w:t>耗时数秒至数十秒，远不能满足MPC优化控制对模型求解速度的要求[2]。</w:t>
      </w:r>
    </w:p>
    <w:p w14:paraId="73B35E14" w14:textId="77777777" w:rsidR="000D05E4" w:rsidRDefault="00000000">
      <w:pPr>
        <w:ind w:firstLine="482"/>
        <w:rPr>
          <w:rFonts w:hint="eastAsia"/>
          <w:lang w:eastAsia="zh-CN"/>
        </w:rPr>
      </w:pPr>
      <w:r>
        <w:rPr>
          <w:lang w:eastAsia="zh-CN"/>
        </w:rPr>
        <w:t>这一矛盾不是水利行业独有的，但在水网系统中表现得尤为突出。首先，水网系统的时空尺度跨度极大：空间尺度从单个闸门的局部水力学（米级）到整条输水线路（</w:t>
      </w:r>
      <w:proofErr w:type="gramStart"/>
      <w:r>
        <w:rPr>
          <w:lang w:eastAsia="zh-CN"/>
        </w:rPr>
        <w:t>千公里</w:t>
      </w:r>
      <w:proofErr w:type="gramEnd"/>
      <w:r>
        <w:rPr>
          <w:lang w:eastAsia="zh-CN"/>
        </w:rPr>
        <w:t>级），时间尺度从水锤的秒级响应到调水计划</w:t>
      </w:r>
      <w:proofErr w:type="gramStart"/>
      <w:r>
        <w:rPr>
          <w:lang w:eastAsia="zh-CN"/>
        </w:rPr>
        <w:t>的月级周期</w:t>
      </w:r>
      <w:proofErr w:type="gramEnd"/>
      <w:r>
        <w:rPr>
          <w:lang w:eastAsia="zh-CN"/>
        </w:rPr>
        <w:t>。其次，水网系统的状态变量分布在连续的空间域上，本质上是无穷维系统，任何有限维模型都是</w:t>
      </w:r>
      <w:proofErr w:type="gramStart"/>
      <w:r>
        <w:rPr>
          <w:lang w:eastAsia="zh-CN"/>
        </w:rPr>
        <w:t>近似[</w:t>
      </w:r>
      <w:proofErr w:type="gramEnd"/>
      <w:r>
        <w:rPr>
          <w:lang w:eastAsia="zh-CN"/>
        </w:rPr>
        <w:t>3]。第三，水网系统的边界条件（取水口流量、降雨径流、闸门操作）既有确定性部分也有随机性部分，模型必须具备处理不确定性的能力。</w:t>
      </w:r>
    </w:p>
    <w:p w14:paraId="432D0FD0" w14:textId="77777777" w:rsidR="000D05E4" w:rsidRDefault="00000000">
      <w:pPr>
        <w:spacing w:before="200" w:after="160"/>
        <w:rPr>
          <w:rFonts w:hint="eastAsia"/>
          <w:lang w:eastAsia="zh-CN"/>
        </w:rPr>
      </w:pPr>
      <w:r>
        <w:rPr>
          <w:b/>
          <w:lang w:eastAsia="zh-CN"/>
        </w:rPr>
        <w:t>5.1.2 可控模型族的层次化架构</w:t>
      </w:r>
    </w:p>
    <w:p w14:paraId="32C483CB" w14:textId="77777777" w:rsidR="000D05E4" w:rsidRDefault="00000000">
      <w:pPr>
        <w:ind w:firstLine="482"/>
        <w:rPr>
          <w:rFonts w:hint="eastAsia"/>
        </w:rPr>
      </w:pPr>
      <w:proofErr w:type="spellStart"/>
      <w:r>
        <w:t>解决精度与速度矛盾的关键在于建立"可控模型族（Controllable</w:t>
      </w:r>
      <w:proofErr w:type="spellEnd"/>
      <w:r>
        <w:t xml:space="preserve"> Model Family）"——一组不同精度等级、不同用途、相互验证的模型集合。可控模型族的概念借鉴了航空工业的"飞行力学模型层级"[</w:t>
      </w:r>
      <w:proofErr w:type="gramStart"/>
      <w:r>
        <w:t>4]和电力行业的</w:t>
      </w:r>
      <w:proofErr w:type="gramEnd"/>
      <w:r>
        <w:t>"多时间尺度仿真体系"[</w:t>
      </w:r>
      <w:proofErr w:type="gramStart"/>
      <w:r>
        <w:t>5]，</w:t>
      </w:r>
      <w:proofErr w:type="gramEnd"/>
      <w:r>
        <w:t>其核心思想是：用正确精度等级的模型做正确的事。</w:t>
      </w:r>
    </w:p>
    <w:p w14:paraId="7728665D" w14:textId="77777777" w:rsidR="008C6D8C" w:rsidRDefault="00000000">
      <w:pPr>
        <w:ind w:firstLine="482"/>
        <w:rPr>
          <w:lang w:eastAsia="zh-CN"/>
        </w:rPr>
      </w:pPr>
      <w:r>
        <w:rPr>
          <w:lang w:eastAsia="zh-CN"/>
        </w:rPr>
        <w:t>可控模型族由四个层次构成。</w:t>
      </w:r>
    </w:p>
    <w:p w14:paraId="6F592635" w14:textId="77777777" w:rsidR="008C6D8C" w:rsidRDefault="00000000">
      <w:pPr>
        <w:ind w:firstLine="482"/>
        <w:rPr>
          <w:lang w:eastAsia="zh-CN"/>
        </w:rPr>
      </w:pPr>
      <w:r>
        <w:rPr>
          <w:lang w:eastAsia="zh-CN"/>
        </w:rPr>
        <w:t>第一层是高保真机理模型，基于Saint-</w:t>
      </w:r>
      <w:proofErr w:type="spellStart"/>
      <w:r>
        <w:rPr>
          <w:lang w:eastAsia="zh-CN"/>
        </w:rPr>
        <w:t>Venant</w:t>
      </w:r>
      <w:proofErr w:type="spellEnd"/>
      <w:r>
        <w:rPr>
          <w:lang w:eastAsia="zh-CN"/>
        </w:rPr>
        <w:t>方程的全非线性求解，用于离线场景库生成、数字孪生基座构建和事后校核审计，精度要求</w:t>
      </w:r>
      <w:proofErr w:type="gramStart"/>
      <w:r>
        <w:rPr>
          <w:lang w:eastAsia="zh-CN"/>
        </w:rPr>
        <w:t>最高但</w:t>
      </w:r>
      <w:proofErr w:type="gramEnd"/>
      <w:r>
        <w:rPr>
          <w:lang w:eastAsia="zh-CN"/>
        </w:rPr>
        <w:t>实时性不做硬约束。</w:t>
      </w:r>
    </w:p>
    <w:p w14:paraId="22708127" w14:textId="77777777" w:rsidR="008C6D8C" w:rsidRDefault="00000000">
      <w:pPr>
        <w:ind w:firstLine="482"/>
        <w:rPr>
          <w:lang w:eastAsia="zh-CN"/>
        </w:rPr>
      </w:pPr>
      <w:r>
        <w:rPr>
          <w:lang w:eastAsia="zh-CN"/>
        </w:rPr>
        <w:t>第二层是控制导向的降阶模型，采用ID/IDZ传递函数模型或线性化状态空间模型，精度适中但计算速度满足MPC在线优化求解需求，是实时控制的核心模型。</w:t>
      </w:r>
    </w:p>
    <w:p w14:paraId="0AB46C81" w14:textId="77777777" w:rsidR="008C6D8C" w:rsidRDefault="00000000">
      <w:pPr>
        <w:ind w:firstLine="482"/>
        <w:rPr>
          <w:lang w:eastAsia="zh-CN"/>
        </w:rPr>
      </w:pPr>
      <w:r>
        <w:rPr>
          <w:lang w:eastAsia="zh-CN"/>
        </w:rPr>
        <w:t>第三层是数据增强模型，利用机器学习（如LSTM、Physics-Informed Neural Network）对机理模型残差进行在线修正，弥补机理模型在非标工况下的精度不足[6]。</w:t>
      </w:r>
    </w:p>
    <w:p w14:paraId="3800C56F" w14:textId="51176CC4" w:rsidR="000D05E4" w:rsidRDefault="00000000">
      <w:pPr>
        <w:ind w:firstLine="482"/>
        <w:rPr>
          <w:rFonts w:hint="eastAsia"/>
          <w:lang w:eastAsia="zh-CN"/>
        </w:rPr>
      </w:pPr>
      <w:r>
        <w:rPr>
          <w:lang w:eastAsia="zh-CN"/>
        </w:rPr>
        <w:lastRenderedPageBreak/>
        <w:t>第四层是</w:t>
      </w:r>
      <w:proofErr w:type="gramStart"/>
      <w:r>
        <w:rPr>
          <w:lang w:eastAsia="zh-CN"/>
        </w:rPr>
        <w:t>极简快速</w:t>
      </w:r>
      <w:proofErr w:type="gramEnd"/>
      <w:r>
        <w:rPr>
          <w:lang w:eastAsia="zh-CN"/>
        </w:rPr>
        <w:t>模型，用于边缘计算设备的本地应急决策，如基于查表法或简化经验公式的快速响应模型，计算耗时要求毫秒级。</w:t>
      </w:r>
    </w:p>
    <w:p w14:paraId="10A30021" w14:textId="77777777" w:rsidR="000D05E4" w:rsidRDefault="00000000">
      <w:pPr>
        <w:ind w:firstLine="482"/>
        <w:rPr>
          <w:rFonts w:hint="eastAsia"/>
          <w:lang w:eastAsia="zh-CN"/>
        </w:rPr>
      </w:pPr>
      <w:r>
        <w:rPr>
          <w:lang w:eastAsia="zh-CN"/>
        </w:rPr>
        <w:t>四层模型之间通过"精度继承"机制保持一致性：降阶模型的参数从高保真模型的仿真结果中辨识获得；数据增强模型的训练数据由高保真模型和实测数据共同提供；极简模型的查找表由降阶模型的批量计算生成。任何一层模型的更新都需要在上一层模型中进行验证，形成"高保真校核→降阶辨识→数据增强→</w:t>
      </w:r>
      <w:proofErr w:type="gramStart"/>
      <w:r>
        <w:rPr>
          <w:lang w:eastAsia="zh-CN"/>
        </w:rPr>
        <w:t>极</w:t>
      </w:r>
      <w:proofErr w:type="gramEnd"/>
      <w:r>
        <w:rPr>
          <w:lang w:eastAsia="zh-CN"/>
        </w:rPr>
        <w:t>简抽取"的模型管理链条[7]。</w:t>
      </w:r>
    </w:p>
    <w:p w14:paraId="5848AC6E" w14:textId="77777777" w:rsidR="000D05E4" w:rsidRDefault="00000000">
      <w:pPr>
        <w:spacing w:before="200" w:after="160"/>
        <w:rPr>
          <w:rFonts w:hint="eastAsia"/>
          <w:lang w:eastAsia="zh-CN"/>
        </w:rPr>
      </w:pPr>
      <w:r>
        <w:rPr>
          <w:b/>
          <w:lang w:eastAsia="zh-CN"/>
        </w:rPr>
        <w:t>5.1.3 建模对象的分类与边界</w:t>
      </w:r>
    </w:p>
    <w:p w14:paraId="1045AFA6" w14:textId="77777777" w:rsidR="00C713F9" w:rsidRDefault="00000000">
      <w:pPr>
        <w:ind w:firstLine="482"/>
        <w:rPr>
          <w:lang w:eastAsia="zh-CN"/>
        </w:rPr>
      </w:pPr>
      <w:r>
        <w:rPr>
          <w:lang w:eastAsia="zh-CN"/>
        </w:rPr>
        <w:t>水网系统的建模对象可以按照水力特征分为四大类。</w:t>
      </w:r>
    </w:p>
    <w:p w14:paraId="58D112B1" w14:textId="77777777" w:rsidR="00C713F9" w:rsidRDefault="00000000">
      <w:pPr>
        <w:ind w:firstLine="482"/>
        <w:rPr>
          <w:lang w:eastAsia="zh-CN"/>
        </w:rPr>
      </w:pPr>
      <w:r>
        <w:rPr>
          <w:lang w:eastAsia="zh-CN"/>
        </w:rPr>
        <w:t>第一类是</w:t>
      </w:r>
      <w:proofErr w:type="gramStart"/>
      <w:r>
        <w:rPr>
          <w:lang w:eastAsia="zh-CN"/>
        </w:rPr>
        <w:t>明渠非恒定</w:t>
      </w:r>
      <w:proofErr w:type="gramEnd"/>
      <w:r>
        <w:rPr>
          <w:lang w:eastAsia="zh-CN"/>
        </w:rPr>
        <w:t>流，以南水北调中线总干渠为代表，控制方程为Saint-</w:t>
      </w:r>
      <w:proofErr w:type="spellStart"/>
      <w:r>
        <w:rPr>
          <w:lang w:eastAsia="zh-CN"/>
        </w:rPr>
        <w:t>Venant</w:t>
      </w:r>
      <w:proofErr w:type="spellEnd"/>
      <w:r>
        <w:rPr>
          <w:lang w:eastAsia="zh-CN"/>
        </w:rPr>
        <w:t>方程，主要特征是自由水面、重力驱动、Froude数远小于1的缓流[8]。</w:t>
      </w:r>
    </w:p>
    <w:p w14:paraId="59416883" w14:textId="77777777" w:rsidR="00C713F9" w:rsidRDefault="00000000">
      <w:pPr>
        <w:ind w:firstLine="482"/>
        <w:rPr>
          <w:lang w:eastAsia="zh-CN"/>
        </w:rPr>
      </w:pPr>
      <w:r>
        <w:rPr>
          <w:lang w:eastAsia="zh-CN"/>
        </w:rPr>
        <w:t>第二类是有压管道瞬变流，以城市供水管网和部分倒</w:t>
      </w:r>
      <w:proofErr w:type="gramStart"/>
      <w:r>
        <w:rPr>
          <w:lang w:eastAsia="zh-CN"/>
        </w:rPr>
        <w:t>虹吸为</w:t>
      </w:r>
      <w:proofErr w:type="gramEnd"/>
      <w:r>
        <w:rPr>
          <w:lang w:eastAsia="zh-CN"/>
        </w:rPr>
        <w:t>代表，控制方程为水锤方程组，主要特征是满管流、弹性波传播、响应时间极短（秒级）[9]。</w:t>
      </w:r>
    </w:p>
    <w:p w14:paraId="3DD8C9F0" w14:textId="77777777" w:rsidR="00C713F9" w:rsidRDefault="00000000">
      <w:pPr>
        <w:ind w:firstLine="482"/>
        <w:rPr>
          <w:lang w:eastAsia="zh-CN"/>
        </w:rPr>
      </w:pPr>
      <w:r>
        <w:rPr>
          <w:lang w:eastAsia="zh-CN"/>
        </w:rPr>
        <w:t>第三类是明渠-管道混合流，存在</w:t>
      </w:r>
      <w:proofErr w:type="gramStart"/>
      <w:r>
        <w:rPr>
          <w:lang w:eastAsia="zh-CN"/>
        </w:rPr>
        <w:t>于渠道</w:t>
      </w:r>
      <w:proofErr w:type="gramEnd"/>
      <w:r>
        <w:rPr>
          <w:lang w:eastAsia="zh-CN"/>
        </w:rPr>
        <w:t>与倒虹吸的衔接段以及城市排水系统中，需要处理自由面流与有压流的动态转换[10]。</w:t>
      </w:r>
    </w:p>
    <w:p w14:paraId="770BEBDF" w14:textId="3D53405B" w:rsidR="000D05E4" w:rsidRDefault="00000000">
      <w:pPr>
        <w:ind w:firstLine="482"/>
        <w:rPr>
          <w:rFonts w:hint="eastAsia"/>
          <w:lang w:eastAsia="zh-CN"/>
        </w:rPr>
      </w:pPr>
      <w:r>
        <w:rPr>
          <w:lang w:eastAsia="zh-CN"/>
        </w:rPr>
        <w:t>第四类是水库与湖泊，通常采用零维（水量平衡）或准二维模型，重点是库容-水位-泄流关系曲线。</w:t>
      </w:r>
    </w:p>
    <w:p w14:paraId="1F64CA24" w14:textId="77777777" w:rsidR="000D05E4" w:rsidRDefault="00000000">
      <w:pPr>
        <w:ind w:firstLine="482"/>
        <w:rPr>
          <w:rFonts w:hint="eastAsia"/>
          <w:lang w:eastAsia="zh-CN"/>
        </w:rPr>
      </w:pPr>
      <w:r>
        <w:rPr>
          <w:lang w:eastAsia="zh-CN"/>
        </w:rPr>
        <w:t>南水北调中线的建模尤其复杂，因为它同时包含了上述前三类建模对象：总干渠为典型的</w:t>
      </w:r>
      <w:proofErr w:type="gramStart"/>
      <w:r>
        <w:rPr>
          <w:lang w:eastAsia="zh-CN"/>
        </w:rPr>
        <w:t>明渠非恒定</w:t>
      </w:r>
      <w:proofErr w:type="gramEnd"/>
      <w:r>
        <w:rPr>
          <w:lang w:eastAsia="zh-CN"/>
        </w:rPr>
        <w:t>流，沿线27座渡槽和54座倒虹吸涉及明渠-管道的频繁转换，部分倒</w:t>
      </w:r>
      <w:proofErr w:type="gramStart"/>
      <w:r>
        <w:rPr>
          <w:lang w:eastAsia="zh-CN"/>
        </w:rPr>
        <w:t>虹吸在</w:t>
      </w:r>
      <w:proofErr w:type="gramEnd"/>
      <w:r>
        <w:rPr>
          <w:lang w:eastAsia="zh-CN"/>
        </w:rPr>
        <w:t>特定水位条件下可能出现有压-无压交替流态。这种混合流特征要求建立统一的数学框架来处理不同流态之间的平滑过渡，这是第5.3节将专门讨论的内容。</w:t>
      </w:r>
    </w:p>
    <w:p w14:paraId="78AB91EE" w14:textId="77777777" w:rsidR="000D05E4" w:rsidRDefault="00000000">
      <w:pPr>
        <w:spacing w:before="280" w:after="200"/>
        <w:rPr>
          <w:rFonts w:hint="eastAsia"/>
        </w:rPr>
      </w:pPr>
      <w:r>
        <w:rPr>
          <w:b/>
          <w:sz w:val="28"/>
        </w:rPr>
        <w:t xml:space="preserve">5.2 </w:t>
      </w:r>
      <w:proofErr w:type="spellStart"/>
      <w:r>
        <w:rPr>
          <w:b/>
          <w:sz w:val="28"/>
        </w:rPr>
        <w:t>高保真机理模型：Saint-Venant方程体系</w:t>
      </w:r>
      <w:proofErr w:type="spellEnd"/>
    </w:p>
    <w:p w14:paraId="690A42E8" w14:textId="77777777" w:rsidR="000D05E4" w:rsidRDefault="00000000">
      <w:pPr>
        <w:spacing w:before="200" w:after="160"/>
        <w:rPr>
          <w:rFonts w:hint="eastAsia"/>
        </w:rPr>
      </w:pPr>
      <w:r>
        <w:rPr>
          <w:b/>
        </w:rPr>
        <w:t>5.2.1 基本控制方程</w:t>
      </w:r>
    </w:p>
    <w:p w14:paraId="49B5AA67" w14:textId="77777777" w:rsidR="000D05E4" w:rsidRDefault="00000000">
      <w:pPr>
        <w:ind w:firstLine="482"/>
        <w:rPr>
          <w:rFonts w:hint="eastAsia"/>
        </w:rPr>
      </w:pPr>
      <w:r>
        <w:t>Saint-Venant方程是描述明渠非恒定流的基本控制方程，由连续性方程和动量方程组成[8]。对于棱柱形渠道，其守恒形式可以写为：</w:t>
      </w:r>
    </w:p>
    <w:p w14:paraId="59570F60" w14:textId="3ED1615E" w:rsidR="000D05E4" w:rsidRDefault="00000000">
      <w:pPr>
        <w:spacing w:before="120" w:after="120"/>
        <w:jc w:val="center"/>
        <w:rPr>
          <w:rFonts w:hint="eastAsia"/>
        </w:rPr>
      </w:pPr>
      <w:proofErr w:type="gramStart"/>
      <w:r>
        <w:t>∂A/∂</w:t>
      </w:r>
      <w:proofErr w:type="gramEnd"/>
      <w:r>
        <w:t xml:space="preserve">t+∂Q/∂x=q </w:t>
      </w:r>
      <w:proofErr w:type="gramStart"/>
      <w:r>
        <w:t xml:space="preserve">   (</w:t>
      </w:r>
      <w:proofErr w:type="gramEnd"/>
      <w:r>
        <w:t>式5-1)</w:t>
      </w:r>
    </w:p>
    <w:p w14:paraId="7BF5CD88" w14:textId="63CC48B9" w:rsidR="000D05E4" w:rsidRDefault="00000000">
      <w:pPr>
        <w:spacing w:before="120" w:after="120"/>
        <w:jc w:val="center"/>
        <w:rPr>
          <w:rFonts w:hint="eastAsia"/>
        </w:rPr>
      </w:pPr>
      <w:r>
        <w:t>∂Q/∂t+∂(Q²/A)/∂</w:t>
      </w:r>
      <w:proofErr w:type="spellStart"/>
      <w:r>
        <w:t>x+gA∂h</w:t>
      </w:r>
      <w:proofErr w:type="spellEnd"/>
      <w:r>
        <w:t>/∂x=</w:t>
      </w:r>
      <w:proofErr w:type="spellStart"/>
      <w:r>
        <w:t>gA</w:t>
      </w:r>
      <w:proofErr w:type="spellEnd"/>
      <w:r>
        <w:t>(S₀−</w:t>
      </w:r>
      <w:proofErr w:type="gramStart"/>
      <w:r>
        <w:t xml:space="preserve">Sᶠ)   </w:t>
      </w:r>
      <w:proofErr w:type="gramEnd"/>
      <w:r>
        <w:t xml:space="preserve"> (式5-2)</w:t>
      </w:r>
    </w:p>
    <w:p w14:paraId="1FDADDAF" w14:textId="77777777" w:rsidR="000D05E4" w:rsidRDefault="00000000">
      <w:pPr>
        <w:ind w:firstLine="482"/>
        <w:rPr>
          <w:rFonts w:hint="eastAsia"/>
          <w:lang w:eastAsia="zh-CN"/>
        </w:rPr>
      </w:pPr>
      <w:r>
        <w:rPr>
          <w:lang w:eastAsia="zh-CN"/>
        </w:rPr>
        <w:t>式中：A为过水断面面积(m²)；Q为流量(m³/s)；q为侧向入流量(m²/s)；h为水位(m)；g为重力加速度(m/s²)；S₀为底坡；Sᶠ为摩阻坡。</w:t>
      </w:r>
      <w:proofErr w:type="gramStart"/>
      <w:r>
        <w:rPr>
          <w:lang w:eastAsia="zh-CN"/>
        </w:rPr>
        <w:t>摩阻坡</w:t>
      </w:r>
      <w:proofErr w:type="gramEnd"/>
      <w:r>
        <w:rPr>
          <w:lang w:eastAsia="zh-CN"/>
        </w:rPr>
        <w:t>Sᶠ通常采用Manning公式计算：</w:t>
      </w:r>
    </w:p>
    <w:p w14:paraId="2A773F0B" w14:textId="1E8B50F9" w:rsidR="000D05E4" w:rsidRDefault="00000000">
      <w:pPr>
        <w:spacing w:before="120" w:after="120"/>
        <w:jc w:val="center"/>
        <w:rPr>
          <w:rFonts w:hint="eastAsia"/>
          <w:lang w:eastAsia="zh-CN"/>
        </w:rPr>
      </w:pPr>
      <w:r>
        <w:rPr>
          <w:lang w:eastAsia="zh-CN"/>
        </w:rPr>
        <w:t>Sᶠ=n²Q|Q|/(A²R⁴˳³)    (式5-3)</w:t>
      </w:r>
    </w:p>
    <w:p w14:paraId="3BBA52E0" w14:textId="77777777" w:rsidR="000D05E4" w:rsidRDefault="00000000">
      <w:pPr>
        <w:ind w:firstLine="482"/>
        <w:rPr>
          <w:rFonts w:hint="eastAsia"/>
          <w:lang w:eastAsia="zh-CN"/>
        </w:rPr>
      </w:pPr>
      <w:r>
        <w:rPr>
          <w:lang w:eastAsia="zh-CN"/>
        </w:rPr>
        <w:lastRenderedPageBreak/>
        <w:t>式中：n为Manning粗糙系数；R为水力半径(m)。Manning公式的适用性在以下条件下需要特别注意：当Froude数接近1时（如陡坡渠段），需要考虑急变流效应；</w:t>
      </w:r>
      <w:proofErr w:type="gramStart"/>
      <w:r>
        <w:rPr>
          <w:lang w:eastAsia="zh-CN"/>
        </w:rPr>
        <w:t>当渠道</w:t>
      </w:r>
      <w:proofErr w:type="gramEnd"/>
      <w:r>
        <w:rPr>
          <w:lang w:eastAsia="zh-CN"/>
        </w:rPr>
        <w:t>断面变化剧烈时（如渡槽入口），局部水头损失不可忽略；当存在冰盖时（如冬季运行），Manning系数需要修正为复合粗糙系数[11]。</w:t>
      </w:r>
    </w:p>
    <w:p w14:paraId="760A38F5" w14:textId="77777777" w:rsidR="000D05E4" w:rsidRDefault="00000000">
      <w:pPr>
        <w:ind w:firstLine="482"/>
        <w:rPr>
          <w:rFonts w:hint="eastAsia"/>
          <w:lang w:eastAsia="zh-CN"/>
        </w:rPr>
      </w:pPr>
      <w:r>
        <w:rPr>
          <w:lang w:eastAsia="zh-CN"/>
        </w:rPr>
        <w:t>对于南水北调中线总干渠的典型断面参数：底宽7–25m，边坡1:2–1:2.5，设计水深6–8m，设计流量350m³/s（渠首）至50m³/s（末端）。Manning粗糙系数n=0.014–0.017（混凝土衬砌），</w:t>
      </w:r>
      <w:proofErr w:type="gramStart"/>
      <w:r>
        <w:rPr>
          <w:lang w:eastAsia="zh-CN"/>
        </w:rPr>
        <w:t>底坡</w:t>
      </w:r>
      <w:proofErr w:type="gramEnd"/>
      <w:r>
        <w:rPr>
          <w:lang w:eastAsia="zh-CN"/>
        </w:rPr>
        <w:t>S₀=1/25000–1/30000。在这些参数范围内，Saint-</w:t>
      </w:r>
      <w:proofErr w:type="spellStart"/>
      <w:r>
        <w:rPr>
          <w:lang w:eastAsia="zh-CN"/>
        </w:rPr>
        <w:t>Venant</w:t>
      </w:r>
      <w:proofErr w:type="spellEnd"/>
      <w:r>
        <w:rPr>
          <w:lang w:eastAsia="zh-CN"/>
        </w:rPr>
        <w:t>方程的双</w:t>
      </w:r>
      <w:proofErr w:type="gramStart"/>
      <w:r>
        <w:rPr>
          <w:lang w:eastAsia="zh-CN"/>
        </w:rPr>
        <w:t>曲特征</w:t>
      </w:r>
      <w:proofErr w:type="gramEnd"/>
      <w:r>
        <w:rPr>
          <w:lang w:eastAsia="zh-CN"/>
        </w:rPr>
        <w:t>保持良好，适合采用隐式差分格式进行数值求解[12]。</w:t>
      </w:r>
    </w:p>
    <w:p w14:paraId="01380A31" w14:textId="77777777" w:rsidR="000D05E4" w:rsidRDefault="00000000">
      <w:pPr>
        <w:spacing w:before="200" w:after="160"/>
        <w:rPr>
          <w:rFonts w:hint="eastAsia"/>
          <w:lang w:eastAsia="zh-CN"/>
        </w:rPr>
      </w:pPr>
      <w:r>
        <w:rPr>
          <w:b/>
          <w:lang w:eastAsia="zh-CN"/>
        </w:rPr>
        <w:t xml:space="preserve">5.2.2 </w:t>
      </w:r>
      <w:proofErr w:type="spellStart"/>
      <w:r>
        <w:rPr>
          <w:b/>
          <w:lang w:eastAsia="zh-CN"/>
        </w:rPr>
        <w:t>Preissmann</w:t>
      </w:r>
      <w:proofErr w:type="spellEnd"/>
      <w:r>
        <w:rPr>
          <w:b/>
          <w:lang w:eastAsia="zh-CN"/>
        </w:rPr>
        <w:t>四点隐式差分格式</w:t>
      </w:r>
    </w:p>
    <w:p w14:paraId="5DEB9E97" w14:textId="77777777" w:rsidR="000D05E4" w:rsidRDefault="00000000">
      <w:pPr>
        <w:ind w:firstLine="482"/>
        <w:rPr>
          <w:rFonts w:hint="eastAsia"/>
          <w:lang w:eastAsia="zh-CN"/>
        </w:rPr>
      </w:pPr>
      <w:proofErr w:type="spellStart"/>
      <w:r>
        <w:rPr>
          <w:lang w:eastAsia="zh-CN"/>
        </w:rPr>
        <w:t>Preissmann</w:t>
      </w:r>
      <w:proofErr w:type="spellEnd"/>
      <w:r>
        <w:rPr>
          <w:lang w:eastAsia="zh-CN"/>
        </w:rPr>
        <w:t>格式是水利工程中应用最广泛的数值格式，由法国水力学家Alexandre Preissmann于1961年提出[13]。其核心思想是在时间-空间网格的四个节点上进行加权插值。对于任意函数f，其在(x, t)平面上的离散化表达为：</w:t>
      </w:r>
    </w:p>
    <w:p w14:paraId="332FE7D1" w14:textId="6710A4F1" w:rsidR="000D05E4" w:rsidRDefault="00000000">
      <w:pPr>
        <w:spacing w:before="120" w:after="120"/>
        <w:jc w:val="center"/>
        <w:rPr>
          <w:rFonts w:hint="eastAsia"/>
        </w:rPr>
      </w:pPr>
      <w:proofErr w:type="spellStart"/>
      <w:r>
        <w:t>f≈θ</w:t>
      </w:r>
      <w:proofErr w:type="spellEnd"/>
      <w:r>
        <w:t>[</w:t>
      </w:r>
      <w:proofErr w:type="spellStart"/>
      <w:r>
        <w:t>ψf</w:t>
      </w:r>
      <w:proofErr w:type="spellEnd"/>
      <w:r>
        <w:t>ᵢ₊₁ⁿ⁺¹+(1−</w:t>
      </w:r>
      <w:proofErr w:type="gramStart"/>
      <w:r>
        <w:t>ψ)fᵢⁿ</w:t>
      </w:r>
      <w:proofErr w:type="gramEnd"/>
      <w:r>
        <w:t>⁺</w:t>
      </w:r>
      <w:proofErr w:type="gramStart"/>
      <w:r>
        <w:t>¹]+(</w:t>
      </w:r>
      <w:proofErr w:type="gramEnd"/>
      <w:r>
        <w:t>1−</w:t>
      </w:r>
      <w:proofErr w:type="gramStart"/>
      <w:r>
        <w:t>θ)[</w:t>
      </w:r>
      <w:proofErr w:type="spellStart"/>
      <w:proofErr w:type="gramEnd"/>
      <w:r>
        <w:t>ψf</w:t>
      </w:r>
      <w:proofErr w:type="spellEnd"/>
      <w:r>
        <w:t>ᵢ₊₁ⁿ+(1−</w:t>
      </w:r>
      <w:proofErr w:type="gramStart"/>
      <w:r>
        <w:t>ψ)fᵢⁿ</w:t>
      </w:r>
      <w:proofErr w:type="gramEnd"/>
      <w:r>
        <w:t xml:space="preserve">] </w:t>
      </w:r>
      <w:proofErr w:type="gramStart"/>
      <w:r>
        <w:t xml:space="preserve">   (</w:t>
      </w:r>
      <w:proofErr w:type="gramEnd"/>
      <w:r>
        <w:t>式5-4)</w:t>
      </w:r>
    </w:p>
    <w:p w14:paraId="4FDCFD83" w14:textId="77777777" w:rsidR="000D05E4" w:rsidRDefault="00000000">
      <w:pPr>
        <w:ind w:firstLine="482"/>
        <w:rPr>
          <w:rFonts w:hint="eastAsia"/>
          <w:lang w:eastAsia="zh-CN"/>
        </w:rPr>
      </w:pPr>
      <w:r>
        <w:rPr>
          <w:lang w:eastAsia="zh-CN"/>
        </w:rPr>
        <w:t>式中：</w:t>
      </w:r>
      <w:r>
        <w:t>θ</w:t>
      </w:r>
      <w:r>
        <w:rPr>
          <w:lang w:eastAsia="zh-CN"/>
        </w:rPr>
        <w:t>为时间加权系数（0.5≤</w:t>
      </w:r>
      <w:r>
        <w:t>θ</w:t>
      </w:r>
      <w:r>
        <w:rPr>
          <w:lang w:eastAsia="zh-CN"/>
        </w:rPr>
        <w:t>≤1.0）；</w:t>
      </w:r>
      <w:r>
        <w:t>ψ</w:t>
      </w:r>
      <w:r>
        <w:rPr>
          <w:lang w:eastAsia="zh-CN"/>
        </w:rPr>
        <w:t>为空间加权系数（通常取</w:t>
      </w:r>
      <w:r>
        <w:t>ψ</w:t>
      </w:r>
      <w:r>
        <w:rPr>
          <w:lang w:eastAsia="zh-CN"/>
        </w:rPr>
        <w:t>=0.5）；上标n、n+1表示时间层，下标</w:t>
      </w:r>
      <w:proofErr w:type="spellStart"/>
      <w:r>
        <w:rPr>
          <w:lang w:eastAsia="zh-CN"/>
        </w:rPr>
        <w:t>i</w:t>
      </w:r>
      <w:proofErr w:type="spellEnd"/>
      <w:r>
        <w:rPr>
          <w:lang w:eastAsia="zh-CN"/>
        </w:rPr>
        <w:t>、i+1表示空间节点。当</w:t>
      </w:r>
      <w:r>
        <w:t>θ</w:t>
      </w:r>
      <w:r>
        <w:rPr>
          <w:lang w:eastAsia="zh-CN"/>
        </w:rPr>
        <w:t>≥0.5时，格式无条件稳定，这是</w:t>
      </w:r>
      <w:proofErr w:type="spellStart"/>
      <w:r>
        <w:rPr>
          <w:lang w:eastAsia="zh-CN"/>
        </w:rPr>
        <w:t>Preissmann</w:t>
      </w:r>
      <w:proofErr w:type="spellEnd"/>
      <w:r>
        <w:rPr>
          <w:lang w:eastAsia="zh-CN"/>
        </w:rPr>
        <w:t>格式在工程中被广泛采用的主要原因。</w:t>
      </w:r>
    </w:p>
    <w:p w14:paraId="6BF67A75" w14:textId="77777777" w:rsidR="000D05E4" w:rsidRDefault="00000000">
      <w:pPr>
        <w:ind w:firstLine="482"/>
        <w:rPr>
          <w:rFonts w:hint="eastAsia"/>
          <w:lang w:eastAsia="zh-CN"/>
        </w:rPr>
      </w:pPr>
      <w:r>
        <w:rPr>
          <w:lang w:eastAsia="zh-CN"/>
        </w:rPr>
        <w:t>将</w:t>
      </w:r>
      <w:proofErr w:type="spellStart"/>
      <w:r>
        <w:rPr>
          <w:lang w:eastAsia="zh-CN"/>
        </w:rPr>
        <w:t>Preissmann</w:t>
      </w:r>
      <w:proofErr w:type="spellEnd"/>
      <w:r>
        <w:rPr>
          <w:lang w:eastAsia="zh-CN"/>
        </w:rPr>
        <w:t>格式应用于连续性方程和动量方程，对每个空间步长</w:t>
      </w:r>
      <w:proofErr w:type="spellStart"/>
      <w:r>
        <w:t>Δ</w:t>
      </w:r>
      <w:r>
        <w:rPr>
          <w:lang w:eastAsia="zh-CN"/>
        </w:rPr>
        <w:t>x</w:t>
      </w:r>
      <w:proofErr w:type="spellEnd"/>
      <w:r>
        <w:rPr>
          <w:lang w:eastAsia="zh-CN"/>
        </w:rPr>
        <w:t>得到两个非线性代数方程。对于包含N</w:t>
      </w:r>
      <w:proofErr w:type="gramStart"/>
      <w:r>
        <w:rPr>
          <w:lang w:eastAsia="zh-CN"/>
        </w:rPr>
        <w:t>个</w:t>
      </w:r>
      <w:proofErr w:type="gramEnd"/>
      <w:r>
        <w:rPr>
          <w:lang w:eastAsia="zh-CN"/>
        </w:rPr>
        <w:t>计算节点的渠道，形成包含2(N−1)</w:t>
      </w:r>
      <w:proofErr w:type="gramStart"/>
      <w:r>
        <w:rPr>
          <w:lang w:eastAsia="zh-CN"/>
        </w:rPr>
        <w:t>个</w:t>
      </w:r>
      <w:proofErr w:type="gramEnd"/>
      <w:r>
        <w:rPr>
          <w:lang w:eastAsia="zh-CN"/>
        </w:rPr>
        <w:t>方程、未知数为2N的非线性方程组，补充上下游边界条件后采用Newton-Raphson迭代求解。整个方程组具有带状结构，可用追赶法（double-sweep method）高效求解，计算复杂度为O(N)[13]。</w:t>
      </w:r>
    </w:p>
    <w:p w14:paraId="69C4BB9C" w14:textId="77777777" w:rsidR="000D05E4" w:rsidRDefault="00000000">
      <w:pPr>
        <w:ind w:firstLine="482"/>
        <w:rPr>
          <w:rFonts w:hint="eastAsia"/>
          <w:lang w:eastAsia="zh-CN"/>
        </w:rPr>
      </w:pPr>
      <w:r>
        <w:rPr>
          <w:lang w:eastAsia="zh-CN"/>
        </w:rPr>
        <w:t>收敛性是</w:t>
      </w:r>
      <w:proofErr w:type="spellStart"/>
      <w:r>
        <w:rPr>
          <w:lang w:eastAsia="zh-CN"/>
        </w:rPr>
        <w:t>Preissmann</w:t>
      </w:r>
      <w:proofErr w:type="spellEnd"/>
      <w:r>
        <w:rPr>
          <w:lang w:eastAsia="zh-CN"/>
        </w:rPr>
        <w:t>格式的关键挑战。实践中影响收敛性的主要因素包括三个方面。第一，Courant数条件：虽然</w:t>
      </w:r>
      <w:proofErr w:type="spellStart"/>
      <w:r>
        <w:rPr>
          <w:lang w:eastAsia="zh-CN"/>
        </w:rPr>
        <w:t>Preissmann</w:t>
      </w:r>
      <w:proofErr w:type="spellEnd"/>
      <w:r>
        <w:rPr>
          <w:lang w:eastAsia="zh-CN"/>
        </w:rPr>
        <w:t>格式理论上无条件稳定，但Courant数Cr = (</w:t>
      </w:r>
      <w:proofErr w:type="spellStart"/>
      <w:r>
        <w:rPr>
          <w:lang w:eastAsia="zh-CN"/>
        </w:rPr>
        <w:t>V+c</w:t>
      </w:r>
      <w:proofErr w:type="spellEnd"/>
      <w:r>
        <w:rPr>
          <w:lang w:eastAsia="zh-CN"/>
        </w:rPr>
        <w:t>)</w:t>
      </w:r>
      <w:proofErr w:type="spellStart"/>
      <w:r>
        <w:t>Δ</w:t>
      </w:r>
      <w:r>
        <w:rPr>
          <w:lang w:eastAsia="zh-CN"/>
        </w:rPr>
        <w:t>t</w:t>
      </w:r>
      <w:proofErr w:type="spellEnd"/>
      <w:r>
        <w:rPr>
          <w:lang w:eastAsia="zh-CN"/>
        </w:rPr>
        <w:t>/</w:t>
      </w:r>
      <w:proofErr w:type="spellStart"/>
      <w:r>
        <w:t>Δ</w:t>
      </w:r>
      <w:r>
        <w:rPr>
          <w:lang w:eastAsia="zh-CN"/>
        </w:rPr>
        <w:t>x</w:t>
      </w:r>
      <w:proofErr w:type="spellEnd"/>
      <w:r>
        <w:rPr>
          <w:lang w:eastAsia="zh-CN"/>
        </w:rPr>
        <w:t>过大时数值色散严重，建议Cr≤1.0以保证精度。第二，时间步长</w:t>
      </w:r>
      <w:proofErr w:type="spellStart"/>
      <w:r>
        <w:t>Δ</w:t>
      </w:r>
      <w:r>
        <w:rPr>
          <w:lang w:eastAsia="zh-CN"/>
        </w:rPr>
        <w:t>t</w:t>
      </w:r>
      <w:proofErr w:type="spellEnd"/>
      <w:r>
        <w:rPr>
          <w:lang w:eastAsia="zh-CN"/>
        </w:rPr>
        <w:t>应小于系统的特征时间尺度（如闸门操作时间），否则会漏掉快速瞬态过程。第三，Manning粗糙系数n的取值对小流量工况特别敏感，当水深较浅时，微小的n值变化可能导致迭代发散[14]。</w:t>
      </w:r>
    </w:p>
    <w:p w14:paraId="3B5E3919" w14:textId="77777777" w:rsidR="000D05E4" w:rsidRDefault="00000000">
      <w:pPr>
        <w:ind w:firstLine="482"/>
        <w:rPr>
          <w:rFonts w:hint="eastAsia"/>
          <w:lang w:eastAsia="zh-CN"/>
        </w:rPr>
      </w:pPr>
      <w:r>
        <w:rPr>
          <w:lang w:eastAsia="zh-CN"/>
        </w:rPr>
        <w:t>南水北调中线全线1432公里的典型差分参数为：</w:t>
      </w:r>
      <w:proofErr w:type="spellStart"/>
      <w:r>
        <w:t>Δ</w:t>
      </w:r>
      <w:r>
        <w:rPr>
          <w:lang w:eastAsia="zh-CN"/>
        </w:rPr>
        <w:t>x</w:t>
      </w:r>
      <w:proofErr w:type="spellEnd"/>
      <w:r>
        <w:rPr>
          <w:lang w:eastAsia="zh-CN"/>
        </w:rPr>
        <w:t>=500–2000m，</w:t>
      </w:r>
      <w:proofErr w:type="spellStart"/>
      <w:r>
        <w:t>Δ</w:t>
      </w:r>
      <w:r>
        <w:rPr>
          <w:lang w:eastAsia="zh-CN"/>
        </w:rPr>
        <w:t>t</w:t>
      </w:r>
      <w:proofErr w:type="spellEnd"/>
      <w:r>
        <w:rPr>
          <w:lang w:eastAsia="zh-CN"/>
        </w:rPr>
        <w:t>=10–60s，节点数N≈700–2800。在实际工程应用中，渠首至沙河南段（约500km）采用</w:t>
      </w:r>
      <w:proofErr w:type="spellStart"/>
      <w:r>
        <w:t>Δ</w:t>
      </w:r>
      <w:r>
        <w:rPr>
          <w:lang w:eastAsia="zh-CN"/>
        </w:rPr>
        <w:t>x</w:t>
      </w:r>
      <w:proofErr w:type="spellEnd"/>
      <w:r>
        <w:rPr>
          <w:lang w:eastAsia="zh-CN"/>
        </w:rPr>
        <w:t>=1000m、</w:t>
      </w:r>
      <w:proofErr w:type="spellStart"/>
      <w:r>
        <w:t>Δ</w:t>
      </w:r>
      <w:r>
        <w:rPr>
          <w:lang w:eastAsia="zh-CN"/>
        </w:rPr>
        <w:t>t</w:t>
      </w:r>
      <w:proofErr w:type="spellEnd"/>
      <w:r>
        <w:rPr>
          <w:lang w:eastAsia="zh-CN"/>
        </w:rPr>
        <w:t>=30s；</w:t>
      </w:r>
      <w:proofErr w:type="gramStart"/>
      <w:r>
        <w:rPr>
          <w:lang w:eastAsia="zh-CN"/>
        </w:rPr>
        <w:t>沙河南</w:t>
      </w:r>
      <w:proofErr w:type="gramEnd"/>
      <w:r>
        <w:rPr>
          <w:lang w:eastAsia="zh-CN"/>
        </w:rPr>
        <w:t>至黄河以南段（约400km）</w:t>
      </w:r>
      <w:proofErr w:type="gramStart"/>
      <w:r>
        <w:rPr>
          <w:lang w:eastAsia="zh-CN"/>
        </w:rPr>
        <w:t>因底坡较陡采用</w:t>
      </w:r>
      <w:proofErr w:type="spellStart"/>
      <w:proofErr w:type="gramEnd"/>
      <w:r>
        <w:t>Δ</w:t>
      </w:r>
      <w:r>
        <w:rPr>
          <w:lang w:eastAsia="zh-CN"/>
        </w:rPr>
        <w:t>x</w:t>
      </w:r>
      <w:proofErr w:type="spellEnd"/>
      <w:r>
        <w:rPr>
          <w:lang w:eastAsia="zh-CN"/>
        </w:rPr>
        <w:t>=500m、</w:t>
      </w:r>
      <w:proofErr w:type="spellStart"/>
      <w:r>
        <w:t>Δ</w:t>
      </w:r>
      <w:r>
        <w:rPr>
          <w:lang w:eastAsia="zh-CN"/>
        </w:rPr>
        <w:t>t</w:t>
      </w:r>
      <w:proofErr w:type="spellEnd"/>
      <w:r>
        <w:rPr>
          <w:lang w:eastAsia="zh-CN"/>
        </w:rPr>
        <w:t>=20s；黄河以北至北京段（约500km）采用</w:t>
      </w:r>
      <w:proofErr w:type="spellStart"/>
      <w:r>
        <w:t>Δ</w:t>
      </w:r>
      <w:r>
        <w:rPr>
          <w:lang w:eastAsia="zh-CN"/>
        </w:rPr>
        <w:t>x</w:t>
      </w:r>
      <w:proofErr w:type="spellEnd"/>
      <w:r>
        <w:rPr>
          <w:lang w:eastAsia="zh-CN"/>
        </w:rPr>
        <w:t>=1000m、</w:t>
      </w:r>
      <w:proofErr w:type="spellStart"/>
      <w:r>
        <w:t>Δ</w:t>
      </w:r>
      <w:r>
        <w:rPr>
          <w:lang w:eastAsia="zh-CN"/>
        </w:rPr>
        <w:t>t</w:t>
      </w:r>
      <w:proofErr w:type="spellEnd"/>
      <w:r>
        <w:rPr>
          <w:lang w:eastAsia="zh-CN"/>
        </w:rPr>
        <w:t>=30s。全线单次仿真</w:t>
      </w:r>
      <w:proofErr w:type="gramStart"/>
      <w:r>
        <w:rPr>
          <w:lang w:eastAsia="zh-CN"/>
        </w:rPr>
        <w:t>约需求解</w:t>
      </w:r>
      <w:proofErr w:type="gramEnd"/>
      <w:r>
        <w:rPr>
          <w:lang w:eastAsia="zh-CN"/>
        </w:rPr>
        <w:t>2000 5000个节点，采用追赶法在现代CPU上耗时约0.5–2秒[2]。</w:t>
      </w:r>
    </w:p>
    <w:p w14:paraId="28C13D5D" w14:textId="77777777" w:rsidR="000D05E4" w:rsidRDefault="00000000">
      <w:pPr>
        <w:spacing w:before="200" w:after="160"/>
        <w:rPr>
          <w:rFonts w:hint="eastAsia"/>
          <w:lang w:eastAsia="zh-CN"/>
        </w:rPr>
      </w:pPr>
      <w:r>
        <w:rPr>
          <w:b/>
          <w:lang w:eastAsia="zh-CN"/>
        </w:rPr>
        <w:t>5.2.3 稳定性与精度的定量分析</w:t>
      </w:r>
    </w:p>
    <w:p w14:paraId="185BE4FD" w14:textId="77777777" w:rsidR="000D05E4" w:rsidRDefault="00000000">
      <w:pPr>
        <w:ind w:firstLine="482"/>
        <w:rPr>
          <w:rFonts w:hint="eastAsia"/>
          <w:lang w:eastAsia="zh-CN"/>
        </w:rPr>
      </w:pPr>
      <w:proofErr w:type="spellStart"/>
      <w:r>
        <w:rPr>
          <w:lang w:eastAsia="zh-CN"/>
        </w:rPr>
        <w:lastRenderedPageBreak/>
        <w:t>Preissmann</w:t>
      </w:r>
      <w:proofErr w:type="spellEnd"/>
      <w:r>
        <w:rPr>
          <w:lang w:eastAsia="zh-CN"/>
        </w:rPr>
        <w:t>格式的数值色散与数值振荡可通过Fourier分析定量评估[15]。格式的数值色散系数正比于(2</w:t>
      </w:r>
      <w:r>
        <w:t>θ</w:t>
      </w:r>
      <w:r>
        <w:rPr>
          <w:lang w:eastAsia="zh-CN"/>
        </w:rPr>
        <w:t>−1)</w:t>
      </w:r>
      <w:r>
        <w:t>Δ</w:t>
      </w:r>
      <w:r>
        <w:rPr>
          <w:lang w:eastAsia="zh-CN"/>
        </w:rPr>
        <w:t>x²/(2</w:t>
      </w:r>
      <w:r>
        <w:t>Δ</w:t>
      </w:r>
      <w:r>
        <w:rPr>
          <w:lang w:eastAsia="zh-CN"/>
        </w:rPr>
        <w:t>t)，当</w:t>
      </w:r>
      <w:r>
        <w:t>θ</w:t>
      </w:r>
      <w:r>
        <w:rPr>
          <w:lang w:eastAsia="zh-CN"/>
        </w:rPr>
        <w:t>=0.5时数值色散最小但可能产生虚假振荡（尤其在间断解附近），当</w:t>
      </w:r>
      <w:r>
        <w:t>θ</w:t>
      </w:r>
      <w:r>
        <w:rPr>
          <w:lang w:eastAsia="zh-CN"/>
        </w:rPr>
        <w:t>=1.0时数值色散最大但稳定性最好。工程实践中通常取</w:t>
      </w:r>
      <w:r>
        <w:t>θ</w:t>
      </w:r>
      <w:r>
        <w:rPr>
          <w:lang w:eastAsia="zh-CN"/>
        </w:rPr>
        <w:t>=0.55–0.70以平衡精度与稳定性。</w:t>
      </w:r>
    </w:p>
    <w:p w14:paraId="186C8D56" w14:textId="77777777" w:rsidR="000D05E4" w:rsidRDefault="00000000">
      <w:pPr>
        <w:ind w:firstLine="482"/>
        <w:rPr>
          <w:rFonts w:hint="eastAsia"/>
          <w:lang w:eastAsia="zh-CN"/>
        </w:rPr>
      </w:pPr>
      <w:r>
        <w:rPr>
          <w:lang w:eastAsia="zh-CN"/>
        </w:rPr>
        <w:t>对于南水北调中线的典型工况，通过系统的数值实验可以给出以下参数建议。正常输水工况（流量变化缓慢）：</w:t>
      </w:r>
      <w:r>
        <w:t>θ</w:t>
      </w:r>
      <w:r>
        <w:rPr>
          <w:lang w:eastAsia="zh-CN"/>
        </w:rPr>
        <w:t>=0.55，</w:t>
      </w:r>
      <w:proofErr w:type="spellStart"/>
      <w:r>
        <w:t>Δ</w:t>
      </w:r>
      <w:r>
        <w:rPr>
          <w:lang w:eastAsia="zh-CN"/>
        </w:rPr>
        <w:t>t</w:t>
      </w:r>
      <w:proofErr w:type="spellEnd"/>
      <w:r>
        <w:rPr>
          <w:lang w:eastAsia="zh-CN"/>
        </w:rPr>
        <w:t>=30s，全线RMSE&lt;0.02m。闸门调节工况（流量阶跃变化）：</w:t>
      </w:r>
      <w:r>
        <w:t>θ</w:t>
      </w:r>
      <w:r>
        <w:rPr>
          <w:lang w:eastAsia="zh-CN"/>
        </w:rPr>
        <w:t>=0.60–0.65，</w:t>
      </w:r>
      <w:proofErr w:type="spellStart"/>
      <w:r>
        <w:t>Δ</w:t>
      </w:r>
      <w:r>
        <w:rPr>
          <w:lang w:eastAsia="zh-CN"/>
        </w:rPr>
        <w:t>t</w:t>
      </w:r>
      <w:proofErr w:type="spellEnd"/>
      <w:r>
        <w:rPr>
          <w:lang w:eastAsia="zh-CN"/>
        </w:rPr>
        <w:t>=15–20s，下游水位波动的峰值误差&lt;0.05m。事故工况（闸门突然关闭）：</w:t>
      </w:r>
      <w:r>
        <w:t>θ</w:t>
      </w:r>
      <w:r>
        <w:rPr>
          <w:lang w:eastAsia="zh-CN"/>
        </w:rPr>
        <w:t>=0.70，</w:t>
      </w:r>
      <w:proofErr w:type="spellStart"/>
      <w:r>
        <w:t>Δ</w:t>
      </w:r>
      <w:r>
        <w:rPr>
          <w:lang w:eastAsia="zh-CN"/>
        </w:rPr>
        <w:t>t</w:t>
      </w:r>
      <w:proofErr w:type="spellEnd"/>
      <w:r>
        <w:rPr>
          <w:lang w:eastAsia="zh-CN"/>
        </w:rPr>
        <w:t>=10s，需特别关注闸门上游的壅水和下游的退水过程。冰期工况（冰盖条件下）：</w:t>
      </w:r>
      <w:r>
        <w:t>θ</w:t>
      </w:r>
      <w:r>
        <w:rPr>
          <w:lang w:eastAsia="zh-CN"/>
        </w:rPr>
        <w:t>=0.60，Manning系数需修正为</w:t>
      </w:r>
      <w:proofErr w:type="spellStart"/>
      <w:r>
        <w:rPr>
          <w:lang w:eastAsia="zh-CN"/>
        </w:rPr>
        <w:t>n_ice</w:t>
      </w:r>
      <w:proofErr w:type="spellEnd"/>
      <w:r>
        <w:rPr>
          <w:lang w:eastAsia="zh-CN"/>
        </w:rPr>
        <w:t>=0.020–0.030，</w:t>
      </w:r>
      <w:proofErr w:type="spellStart"/>
      <w:r>
        <w:t>Δ</w:t>
      </w:r>
      <w:r>
        <w:rPr>
          <w:lang w:eastAsia="zh-CN"/>
        </w:rPr>
        <w:t>t</w:t>
      </w:r>
      <w:proofErr w:type="spellEnd"/>
      <w:r>
        <w:rPr>
          <w:lang w:eastAsia="zh-CN"/>
        </w:rPr>
        <w:t>=20s[16]。</w:t>
      </w:r>
    </w:p>
    <w:p w14:paraId="1776E467" w14:textId="77777777" w:rsidR="000D05E4" w:rsidRDefault="00000000">
      <w:pPr>
        <w:spacing w:before="200" w:after="160"/>
        <w:rPr>
          <w:rFonts w:hint="eastAsia"/>
          <w:lang w:eastAsia="zh-CN"/>
        </w:rPr>
      </w:pPr>
      <w:r>
        <w:rPr>
          <w:b/>
          <w:lang w:eastAsia="zh-CN"/>
        </w:rPr>
        <w:t>5.2.4 边界条件与闸门水力学模型</w:t>
      </w:r>
    </w:p>
    <w:p w14:paraId="4724F3D2" w14:textId="77777777" w:rsidR="000D05E4" w:rsidRDefault="00000000">
      <w:pPr>
        <w:ind w:firstLine="482"/>
        <w:rPr>
          <w:rFonts w:hint="eastAsia"/>
          <w:lang w:eastAsia="zh-CN"/>
        </w:rPr>
      </w:pPr>
      <w:r>
        <w:rPr>
          <w:lang w:eastAsia="zh-CN"/>
        </w:rPr>
        <w:t>Saint-</w:t>
      </w:r>
      <w:proofErr w:type="spellStart"/>
      <w:r>
        <w:rPr>
          <w:lang w:eastAsia="zh-CN"/>
        </w:rPr>
        <w:t>Venant</w:t>
      </w:r>
      <w:proofErr w:type="spellEnd"/>
      <w:r>
        <w:rPr>
          <w:lang w:eastAsia="zh-CN"/>
        </w:rPr>
        <w:t>方程的数值求解需要合理的边界条件。对于南水北调中线，上游边界通常给定渠首流量Q(0,t)，下游边界给定末端水位h(</w:t>
      </w:r>
      <w:proofErr w:type="spellStart"/>
      <w:r>
        <w:rPr>
          <w:lang w:eastAsia="zh-CN"/>
        </w:rPr>
        <w:t>L,t</w:t>
      </w:r>
      <w:proofErr w:type="spellEnd"/>
      <w:r>
        <w:rPr>
          <w:lang w:eastAsia="zh-CN"/>
        </w:rPr>
        <w:t>)或闸门水位-流量关系。内边界（闸门）的处理是整个数值模型的关键难点[17]。</w:t>
      </w:r>
    </w:p>
    <w:p w14:paraId="6FAAA62A" w14:textId="77777777" w:rsidR="000D05E4" w:rsidRDefault="00000000">
      <w:pPr>
        <w:ind w:firstLine="482"/>
        <w:rPr>
          <w:rFonts w:hint="eastAsia"/>
          <w:lang w:eastAsia="zh-CN"/>
        </w:rPr>
      </w:pPr>
      <w:r>
        <w:rPr>
          <w:lang w:eastAsia="zh-CN"/>
        </w:rPr>
        <w:t>节制闸的水力学模型根据上下游水位差和闸门开度确定过闸流量。对于自由出流条件（下游水位低于闸底）：</w:t>
      </w:r>
    </w:p>
    <w:p w14:paraId="00B58229" w14:textId="47D706DB" w:rsidR="000D05E4" w:rsidRDefault="00000000">
      <w:pPr>
        <w:spacing w:before="120" w:after="120"/>
        <w:jc w:val="center"/>
        <w:rPr>
          <w:rFonts w:hint="eastAsia"/>
        </w:rPr>
      </w:pPr>
      <w:r>
        <w:t>Q=</w:t>
      </w:r>
      <w:proofErr w:type="spellStart"/>
      <w:r>
        <w:t>C_d·B·e</w:t>
      </w:r>
      <w:proofErr w:type="spellEnd"/>
      <w:r>
        <w:t>·√(2g·H</w:t>
      </w:r>
      <w:proofErr w:type="gramStart"/>
      <w:r>
        <w:t xml:space="preserve">₁)   </w:t>
      </w:r>
      <w:proofErr w:type="gramEnd"/>
      <w:r>
        <w:t xml:space="preserve"> (式5-5)</w:t>
      </w:r>
    </w:p>
    <w:p w14:paraId="4E4F1DC2" w14:textId="77777777" w:rsidR="000D05E4" w:rsidRDefault="00000000">
      <w:pPr>
        <w:ind w:firstLine="482"/>
        <w:rPr>
          <w:rFonts w:hint="eastAsia"/>
          <w:lang w:eastAsia="zh-CN"/>
        </w:rPr>
      </w:pPr>
      <w:r>
        <w:rPr>
          <w:lang w:eastAsia="zh-CN"/>
        </w:rPr>
        <w:t>对于淹没出流条件（下游水位高于闸底）：</w:t>
      </w:r>
    </w:p>
    <w:p w14:paraId="4C358487" w14:textId="651FFB29" w:rsidR="000D05E4" w:rsidRDefault="00000000">
      <w:pPr>
        <w:spacing w:before="120" w:after="120"/>
        <w:jc w:val="center"/>
        <w:rPr>
          <w:rFonts w:hint="eastAsia"/>
        </w:rPr>
      </w:pPr>
      <w:r>
        <w:t>Q=</w:t>
      </w:r>
      <w:proofErr w:type="spellStart"/>
      <w:r>
        <w:t>C_d·C_s·B·e</w:t>
      </w:r>
      <w:proofErr w:type="spellEnd"/>
      <w:r>
        <w:t>·√(2g·H</w:t>
      </w:r>
      <w:proofErr w:type="gramStart"/>
      <w:r>
        <w:t xml:space="preserve">₁)   </w:t>
      </w:r>
      <w:proofErr w:type="gramEnd"/>
      <w:r>
        <w:t xml:space="preserve"> (式5-6)</w:t>
      </w:r>
    </w:p>
    <w:p w14:paraId="3C2A074F" w14:textId="77777777" w:rsidR="000D05E4" w:rsidRDefault="00000000">
      <w:pPr>
        <w:ind w:firstLine="482"/>
        <w:rPr>
          <w:rFonts w:hint="eastAsia"/>
          <w:lang w:eastAsia="zh-CN"/>
        </w:rPr>
      </w:pPr>
      <w:r>
        <w:rPr>
          <w:lang w:eastAsia="zh-CN"/>
        </w:rPr>
        <w:t>式中：</w:t>
      </w:r>
      <w:proofErr w:type="spellStart"/>
      <w:r>
        <w:rPr>
          <w:lang w:eastAsia="zh-CN"/>
        </w:rPr>
        <w:t>C_d</w:t>
      </w:r>
      <w:proofErr w:type="spellEnd"/>
      <w:r>
        <w:rPr>
          <w:lang w:eastAsia="zh-CN"/>
        </w:rPr>
        <w:t>为流量系数；C_s为淹没系数（C_s&lt;1）；B为闸孔总宽度(m)；e为闸门开度(m)；H₁为闸前水头(m)。流量系数</w:t>
      </w:r>
      <w:proofErr w:type="spellStart"/>
      <w:r>
        <w:rPr>
          <w:lang w:eastAsia="zh-CN"/>
        </w:rPr>
        <w:t>C_d</w:t>
      </w:r>
      <w:proofErr w:type="spellEnd"/>
      <w:r>
        <w:rPr>
          <w:lang w:eastAsia="zh-CN"/>
        </w:rPr>
        <w:t>和淹没系数C_s是闸门几何参数和水流条件的函数，需要通过率</w:t>
      </w:r>
      <w:proofErr w:type="gramStart"/>
      <w:r>
        <w:rPr>
          <w:lang w:eastAsia="zh-CN"/>
        </w:rPr>
        <w:t>定试验</w:t>
      </w:r>
      <w:proofErr w:type="gramEnd"/>
      <w:r>
        <w:rPr>
          <w:lang w:eastAsia="zh-CN"/>
        </w:rPr>
        <w:t>或经验公式确定。对于南水北调中线的典型弧形闸门，</w:t>
      </w:r>
      <w:proofErr w:type="spellStart"/>
      <w:r>
        <w:rPr>
          <w:lang w:eastAsia="zh-CN"/>
        </w:rPr>
        <w:t>C_d</w:t>
      </w:r>
      <w:proofErr w:type="spellEnd"/>
      <w:r>
        <w:rPr>
          <w:lang w:eastAsia="zh-CN"/>
        </w:rPr>
        <w:t>=0.60–0.75，淹没系数C_s采用</w:t>
      </w:r>
      <w:proofErr w:type="spellStart"/>
      <w:r>
        <w:rPr>
          <w:lang w:eastAsia="zh-CN"/>
        </w:rPr>
        <w:t>Villemonte</w:t>
      </w:r>
      <w:proofErr w:type="spellEnd"/>
      <w:r>
        <w:rPr>
          <w:lang w:eastAsia="zh-CN"/>
        </w:rPr>
        <w:t>公式计算[18]。</w:t>
      </w:r>
    </w:p>
    <w:p w14:paraId="33673A7E" w14:textId="77777777" w:rsidR="000D05E4" w:rsidRDefault="00000000">
      <w:pPr>
        <w:ind w:firstLine="482"/>
        <w:rPr>
          <w:rFonts w:hint="eastAsia"/>
          <w:lang w:eastAsia="zh-CN"/>
        </w:rPr>
      </w:pPr>
      <w:r>
        <w:rPr>
          <w:lang w:eastAsia="zh-CN"/>
        </w:rPr>
        <w:t>分水口门的建模更为复杂，因为涉及侧向分流。</w:t>
      </w:r>
      <w:proofErr w:type="gramStart"/>
      <w:r>
        <w:rPr>
          <w:lang w:eastAsia="zh-CN"/>
        </w:rPr>
        <w:t>侧向分流</w:t>
      </w:r>
      <w:proofErr w:type="gramEnd"/>
      <w:r>
        <w:rPr>
          <w:lang w:eastAsia="zh-CN"/>
        </w:rPr>
        <w:t>会在主渠道中产生横向流速分量，导致局部水头损失和水面横比降。工程中通常采用经验系数法将</w:t>
      </w:r>
      <w:proofErr w:type="gramStart"/>
      <w:r>
        <w:rPr>
          <w:lang w:eastAsia="zh-CN"/>
        </w:rPr>
        <w:t>侧向分流</w:t>
      </w:r>
      <w:proofErr w:type="gramEnd"/>
      <w:r>
        <w:rPr>
          <w:lang w:eastAsia="zh-CN"/>
        </w:rPr>
        <w:t>简化为Saint-</w:t>
      </w:r>
      <w:proofErr w:type="spellStart"/>
      <w:r>
        <w:rPr>
          <w:lang w:eastAsia="zh-CN"/>
        </w:rPr>
        <w:t>Venant</w:t>
      </w:r>
      <w:proofErr w:type="spellEnd"/>
      <w:r>
        <w:rPr>
          <w:lang w:eastAsia="zh-CN"/>
        </w:rPr>
        <w:t>方程的点源项q，但对于大流量分水（分流比&gt;20%）的口门，需要采用二维浅水方程进行局部精细化建模，再将结果耦合回一维模型[19]。</w:t>
      </w:r>
    </w:p>
    <w:p w14:paraId="1A3BB09E" w14:textId="77777777" w:rsidR="000D05E4" w:rsidRDefault="00000000">
      <w:pPr>
        <w:ind w:firstLine="482"/>
        <w:rPr>
          <w:rFonts w:hint="eastAsia"/>
          <w:lang w:eastAsia="zh-CN"/>
        </w:rPr>
      </w:pPr>
      <w:r>
        <w:rPr>
          <w:lang w:eastAsia="zh-CN"/>
        </w:rPr>
        <w:t>倒虹吸的水力学模型是另一个关键难点。南水北调中线全线54座倒虹吸的进出口涉及明渠流与有压流的转换。在进口段，水流从自由面流过渡到有压流，需要处理自由面的消失；在出口段则相反。这种流态转换不仅是数值上的挑战（方程组的类型从双曲型变为椭圆型），也是工程上的难点（转换区域可能出现不稳定的空气裹挟和水锤压力）。第5.3节将专门讨论统一处理这一问题的数学框架。</w:t>
      </w:r>
    </w:p>
    <w:p w14:paraId="7EF363C1" w14:textId="77777777" w:rsidR="000D05E4" w:rsidRDefault="00000000">
      <w:pPr>
        <w:spacing w:before="280" w:after="200"/>
        <w:rPr>
          <w:rFonts w:hint="eastAsia"/>
          <w:lang w:eastAsia="zh-CN"/>
        </w:rPr>
      </w:pPr>
      <w:r>
        <w:rPr>
          <w:b/>
          <w:sz w:val="28"/>
          <w:lang w:eastAsia="zh-CN"/>
        </w:rPr>
        <w:lastRenderedPageBreak/>
        <w:t>5.3 混合流统一建模框架</w:t>
      </w:r>
    </w:p>
    <w:p w14:paraId="5A46D275" w14:textId="77777777" w:rsidR="000D05E4" w:rsidRDefault="00000000">
      <w:pPr>
        <w:spacing w:before="200" w:after="160"/>
        <w:rPr>
          <w:rFonts w:hint="eastAsia"/>
          <w:lang w:eastAsia="zh-CN"/>
        </w:rPr>
      </w:pPr>
      <w:r>
        <w:rPr>
          <w:b/>
          <w:lang w:eastAsia="zh-CN"/>
        </w:rPr>
        <w:t>5.3.1 明渠-管道混合流的数学描述</w:t>
      </w:r>
    </w:p>
    <w:p w14:paraId="6A04A958" w14:textId="77777777" w:rsidR="000D05E4" w:rsidRDefault="00000000">
      <w:pPr>
        <w:ind w:firstLine="482"/>
        <w:rPr>
          <w:rFonts w:hint="eastAsia"/>
          <w:lang w:eastAsia="zh-CN"/>
        </w:rPr>
      </w:pPr>
      <w:r>
        <w:rPr>
          <w:lang w:eastAsia="zh-CN"/>
        </w:rPr>
        <w:t>在水网系统中，</w:t>
      </w:r>
      <w:proofErr w:type="gramStart"/>
      <w:r>
        <w:rPr>
          <w:lang w:eastAsia="zh-CN"/>
        </w:rPr>
        <w:t>明渠非恒定</w:t>
      </w:r>
      <w:proofErr w:type="gramEnd"/>
      <w:r>
        <w:rPr>
          <w:lang w:eastAsia="zh-CN"/>
        </w:rPr>
        <w:t>流与有压管道瞬变流常常并存且动态转换，需要建立统一的数学框架来处理两种流态[10]。目前国际上主流的处理方法有三种：</w:t>
      </w:r>
      <w:proofErr w:type="spellStart"/>
      <w:r>
        <w:rPr>
          <w:lang w:eastAsia="zh-CN"/>
        </w:rPr>
        <w:t>Preissmann</w:t>
      </w:r>
      <w:proofErr w:type="spellEnd"/>
      <w:r>
        <w:rPr>
          <w:lang w:eastAsia="zh-CN"/>
        </w:rPr>
        <w:t>窄缝法（</w:t>
      </w:r>
      <w:proofErr w:type="spellStart"/>
      <w:r>
        <w:rPr>
          <w:lang w:eastAsia="zh-CN"/>
        </w:rPr>
        <w:t>Preissmann</w:t>
      </w:r>
      <w:proofErr w:type="spellEnd"/>
      <w:r>
        <w:rPr>
          <w:lang w:eastAsia="zh-CN"/>
        </w:rPr>
        <w:t xml:space="preserve"> Slot）、两相流模型和刚性水柱模型[20]。</w:t>
      </w:r>
    </w:p>
    <w:p w14:paraId="4FE182D0" w14:textId="77777777" w:rsidR="000D05E4" w:rsidRDefault="00000000">
      <w:pPr>
        <w:ind w:firstLine="482"/>
        <w:rPr>
          <w:rFonts w:hint="eastAsia"/>
          <w:lang w:eastAsia="zh-CN"/>
        </w:rPr>
      </w:pPr>
      <w:proofErr w:type="spellStart"/>
      <w:r>
        <w:rPr>
          <w:lang w:eastAsia="zh-CN"/>
        </w:rPr>
        <w:t>Preissmann</w:t>
      </w:r>
      <w:proofErr w:type="spellEnd"/>
      <w:r>
        <w:rPr>
          <w:lang w:eastAsia="zh-CN"/>
        </w:rPr>
        <w:t>窄缝法是</w:t>
      </w:r>
      <w:proofErr w:type="gramStart"/>
      <w:r>
        <w:rPr>
          <w:lang w:eastAsia="zh-CN"/>
        </w:rPr>
        <w:t>最</w:t>
      </w:r>
      <w:proofErr w:type="gramEnd"/>
      <w:r>
        <w:rPr>
          <w:lang w:eastAsia="zh-CN"/>
        </w:rPr>
        <w:t>经典也最实用的方法。其核心思想是在管道截面顶部假设存在一条极窄的虚拟缝隙（宽度</w:t>
      </w:r>
      <w:proofErr w:type="spellStart"/>
      <w:r>
        <w:rPr>
          <w:lang w:eastAsia="zh-CN"/>
        </w:rPr>
        <w:t>T_slot</w:t>
      </w:r>
      <w:proofErr w:type="spellEnd"/>
      <w:r>
        <w:rPr>
          <w:lang w:eastAsia="zh-CN"/>
        </w:rPr>
        <w:t>通常取管径的1%–5%），使得有压管道也具有"自由面"。当</w:t>
      </w:r>
      <w:proofErr w:type="gramStart"/>
      <w:r>
        <w:rPr>
          <w:lang w:eastAsia="zh-CN"/>
        </w:rPr>
        <w:t>管道满管时</w:t>
      </w:r>
      <w:proofErr w:type="gramEnd"/>
      <w:r>
        <w:rPr>
          <w:lang w:eastAsia="zh-CN"/>
        </w:rPr>
        <w:t>，水位上升到窄缝内，自由面仍然存在，Saint-</w:t>
      </w:r>
      <w:proofErr w:type="spellStart"/>
      <w:r>
        <w:rPr>
          <w:lang w:eastAsia="zh-CN"/>
        </w:rPr>
        <w:t>Venant</w:t>
      </w:r>
      <w:proofErr w:type="spellEnd"/>
      <w:r>
        <w:rPr>
          <w:lang w:eastAsia="zh-CN"/>
        </w:rPr>
        <w:t>方程依然适用；窄缝中的水面高度对应有压管道中的测压管水头[20]。</w:t>
      </w:r>
    </w:p>
    <w:p w14:paraId="19644A58" w14:textId="00274096" w:rsidR="000D05E4" w:rsidRDefault="00000000">
      <w:pPr>
        <w:spacing w:before="120" w:after="120"/>
        <w:jc w:val="center"/>
        <w:rPr>
          <w:rFonts w:hint="eastAsia"/>
        </w:rPr>
      </w:pPr>
      <w:proofErr w:type="spellStart"/>
      <w:r>
        <w:t>T_slot</w:t>
      </w:r>
      <w:proofErr w:type="spellEnd"/>
      <w:r>
        <w:t>=</w:t>
      </w:r>
      <w:proofErr w:type="spellStart"/>
      <w:r>
        <w:t>gA_pipe</w:t>
      </w:r>
      <w:proofErr w:type="spellEnd"/>
      <w:r>
        <w:t xml:space="preserve">/c² </w:t>
      </w:r>
      <w:proofErr w:type="gramStart"/>
      <w:r>
        <w:t xml:space="preserve">   (</w:t>
      </w:r>
      <w:proofErr w:type="gramEnd"/>
      <w:r>
        <w:t>式5-7)</w:t>
      </w:r>
    </w:p>
    <w:p w14:paraId="3784D136" w14:textId="77777777" w:rsidR="000D05E4" w:rsidRDefault="00000000">
      <w:pPr>
        <w:ind w:firstLine="482"/>
        <w:rPr>
          <w:rFonts w:hint="eastAsia"/>
          <w:lang w:eastAsia="zh-CN"/>
        </w:rPr>
      </w:pPr>
      <w:r>
        <w:rPr>
          <w:lang w:eastAsia="zh-CN"/>
        </w:rPr>
        <w:t>式中：</w:t>
      </w:r>
      <w:proofErr w:type="spellStart"/>
      <w:r>
        <w:rPr>
          <w:lang w:eastAsia="zh-CN"/>
        </w:rPr>
        <w:t>A_pipe</w:t>
      </w:r>
      <w:proofErr w:type="spellEnd"/>
      <w:r>
        <w:rPr>
          <w:lang w:eastAsia="zh-CN"/>
        </w:rPr>
        <w:t>为</w:t>
      </w:r>
      <w:proofErr w:type="gramStart"/>
      <w:r>
        <w:rPr>
          <w:lang w:eastAsia="zh-CN"/>
        </w:rPr>
        <w:t>管道满管断面</w:t>
      </w:r>
      <w:proofErr w:type="gramEnd"/>
      <w:r>
        <w:rPr>
          <w:lang w:eastAsia="zh-CN"/>
        </w:rPr>
        <w:t>面积(m²)；c为压力波速(m/s)，通常取800–1200m/s。这个等价关系确保了窄缝中波速与实际压力波速一致。</w:t>
      </w:r>
      <w:proofErr w:type="spellStart"/>
      <w:r>
        <w:rPr>
          <w:lang w:eastAsia="zh-CN"/>
        </w:rPr>
        <w:t>Preissmann</w:t>
      </w:r>
      <w:proofErr w:type="spellEnd"/>
      <w:r>
        <w:rPr>
          <w:lang w:eastAsia="zh-CN"/>
        </w:rPr>
        <w:t>窄缝法的最大优势是可以用同一套Saint-</w:t>
      </w:r>
      <w:proofErr w:type="spellStart"/>
      <w:r>
        <w:rPr>
          <w:lang w:eastAsia="zh-CN"/>
        </w:rPr>
        <w:t>Venant</w:t>
      </w:r>
      <w:proofErr w:type="spellEnd"/>
      <w:r>
        <w:rPr>
          <w:lang w:eastAsia="zh-CN"/>
        </w:rPr>
        <w:t>方程求解</w:t>
      </w:r>
      <w:proofErr w:type="gramStart"/>
      <w:r>
        <w:rPr>
          <w:lang w:eastAsia="zh-CN"/>
        </w:rPr>
        <w:t>器统一</w:t>
      </w:r>
      <w:proofErr w:type="gramEnd"/>
      <w:r>
        <w:rPr>
          <w:lang w:eastAsia="zh-CN"/>
        </w:rPr>
        <w:t>处理明渠和管道流，无需在不同流态之间切换方程类型，避免了流态判别和方程切换带来的数值不稳定。</w:t>
      </w:r>
    </w:p>
    <w:p w14:paraId="7D5AC3C7" w14:textId="77777777" w:rsidR="000D05E4" w:rsidRDefault="00000000">
      <w:pPr>
        <w:ind w:firstLine="482"/>
        <w:rPr>
          <w:rFonts w:hint="eastAsia"/>
          <w:lang w:eastAsia="zh-CN"/>
        </w:rPr>
      </w:pPr>
      <w:r>
        <w:rPr>
          <w:lang w:eastAsia="zh-CN"/>
        </w:rPr>
        <w:t>对于南水北调中线的倒虹吸建模，</w:t>
      </w:r>
      <w:proofErr w:type="spellStart"/>
      <w:r>
        <w:rPr>
          <w:lang w:eastAsia="zh-CN"/>
        </w:rPr>
        <w:t>Preissmann</w:t>
      </w:r>
      <w:proofErr w:type="spellEnd"/>
      <w:r>
        <w:rPr>
          <w:lang w:eastAsia="zh-CN"/>
        </w:rPr>
        <w:t>窄缝法特别适用。以穿黄隧洞为例（内径7.0m，长度4250m），窄缝宽度T_slot≈0.035m（取管径的0.5%），对应的等效波速c≈990m/s。在渠道-倒虹吸衔接处，断面形状从梯形渐变为圆形再回到梯形，几何参数的变化需要通过插值函数平滑处理，以避免断面突变导致的数值振荡[21]。</w:t>
      </w:r>
    </w:p>
    <w:p w14:paraId="1E15AE38" w14:textId="77777777" w:rsidR="000D05E4" w:rsidRDefault="00000000">
      <w:pPr>
        <w:spacing w:before="200" w:after="160"/>
        <w:rPr>
          <w:rFonts w:hint="eastAsia"/>
          <w:lang w:eastAsia="zh-CN"/>
        </w:rPr>
      </w:pPr>
      <w:r>
        <w:rPr>
          <w:b/>
          <w:lang w:eastAsia="zh-CN"/>
        </w:rPr>
        <w:t>5.3.2 渠-管-渠串联系统的耦合策略</w:t>
      </w:r>
    </w:p>
    <w:p w14:paraId="40C956D0" w14:textId="77777777" w:rsidR="000D05E4" w:rsidRDefault="00000000">
      <w:pPr>
        <w:ind w:firstLine="482"/>
        <w:rPr>
          <w:rFonts w:hint="eastAsia"/>
          <w:lang w:eastAsia="zh-CN"/>
        </w:rPr>
      </w:pPr>
      <w:r>
        <w:rPr>
          <w:lang w:eastAsia="zh-CN"/>
        </w:rPr>
        <w:t>南水北调中线的典型渠段结构为"渠道-倒虹吸/渡槽-渠道"的交替排列。对于这种串联系统，需要建立合理的耦合策略来保证质量守恒和动量守恒。耦合策略分为两个层次：几何耦合和水力耦合[22]。</w:t>
      </w:r>
    </w:p>
    <w:p w14:paraId="07143372" w14:textId="77777777" w:rsidR="000D05E4" w:rsidRDefault="00000000">
      <w:pPr>
        <w:ind w:firstLine="482"/>
        <w:rPr>
          <w:rFonts w:hint="eastAsia"/>
          <w:lang w:eastAsia="zh-CN"/>
        </w:rPr>
      </w:pPr>
      <w:r>
        <w:rPr>
          <w:lang w:eastAsia="zh-CN"/>
        </w:rPr>
        <w:t>几何耦合解决断面形状的平滑过渡问题。在渠道进入倒虹吸的渐变段，断面从梯形逐渐变为圆形。工程上通常采用Hermite插值来构造过渡断面的面积-水位关系A(h)和湿周-水位关系P(h)，确保一阶导数连续。对于渡槽的矩形截面，过渡相对简单但仍需注意进出口的收缩和扩大导致的局部水头损失。</w:t>
      </w:r>
    </w:p>
    <w:p w14:paraId="2D0653A3" w14:textId="77777777" w:rsidR="000D05E4" w:rsidRDefault="00000000">
      <w:pPr>
        <w:ind w:firstLine="482"/>
        <w:rPr>
          <w:rFonts w:hint="eastAsia"/>
          <w:lang w:eastAsia="zh-CN"/>
        </w:rPr>
      </w:pPr>
      <w:r>
        <w:rPr>
          <w:lang w:eastAsia="zh-CN"/>
        </w:rPr>
        <w:t>水力耦合解决不同渠段之间的连接条件。在节制闸处，上游渠段的末端和下游渠段的起端通过闸门水力学方程（式5-5、5-6）耦合。在倒虹吸的进出口，通过能量方程耦合：</w:t>
      </w:r>
    </w:p>
    <w:p w14:paraId="66C36908" w14:textId="248B5EC5" w:rsidR="000D05E4" w:rsidRDefault="00000000">
      <w:pPr>
        <w:spacing w:before="120" w:after="120"/>
        <w:jc w:val="center"/>
        <w:rPr>
          <w:rFonts w:hint="eastAsia"/>
        </w:rPr>
      </w:pPr>
      <w:r>
        <w:t>h_up+V²_up/(2</w:t>
      </w:r>
      <w:proofErr w:type="gramStart"/>
      <w:r>
        <w:t>g)=</w:t>
      </w:r>
      <w:proofErr w:type="gramEnd"/>
      <w:r>
        <w:t>h_down+V²_down/(2</w:t>
      </w:r>
      <w:proofErr w:type="gramStart"/>
      <w:r>
        <w:t>g)+</w:t>
      </w:r>
      <w:proofErr w:type="spellStart"/>
      <w:proofErr w:type="gramEnd"/>
      <w:r>
        <w:t>Δh_loss</w:t>
      </w:r>
      <w:proofErr w:type="spellEnd"/>
      <w:r>
        <w:t xml:space="preserve"> </w:t>
      </w:r>
      <w:proofErr w:type="gramStart"/>
      <w:r>
        <w:t xml:space="preserve">   (</w:t>
      </w:r>
      <w:proofErr w:type="gramEnd"/>
      <w:r>
        <w:t>式5-8)</w:t>
      </w:r>
    </w:p>
    <w:p w14:paraId="71A1496B" w14:textId="77777777" w:rsidR="000D05E4" w:rsidRDefault="00000000">
      <w:pPr>
        <w:ind w:firstLine="482"/>
        <w:rPr>
          <w:rFonts w:hint="eastAsia"/>
          <w:lang w:eastAsia="zh-CN"/>
        </w:rPr>
      </w:pPr>
      <w:r>
        <w:rPr>
          <w:lang w:eastAsia="zh-CN"/>
        </w:rPr>
        <w:lastRenderedPageBreak/>
        <w:t>式中：</w:t>
      </w:r>
      <w:proofErr w:type="spellStart"/>
      <w:r>
        <w:t>Δ</w:t>
      </w:r>
      <w:r>
        <w:rPr>
          <w:lang w:eastAsia="zh-CN"/>
        </w:rPr>
        <w:t>h_loss</w:t>
      </w:r>
      <w:proofErr w:type="spellEnd"/>
      <w:r>
        <w:rPr>
          <w:lang w:eastAsia="zh-CN"/>
        </w:rPr>
        <w:t>为局部水头损失，包括进口收缩损失、出口扩大损失和弯道损失。对于南水北调中线的典型倒虹吸，进口损失系数</w:t>
      </w:r>
      <w:proofErr w:type="spellStart"/>
      <w:r>
        <w:t>ξ</w:t>
      </w:r>
      <w:r>
        <w:rPr>
          <w:lang w:eastAsia="zh-CN"/>
        </w:rPr>
        <w:t>_in</w:t>
      </w:r>
      <w:proofErr w:type="spellEnd"/>
      <w:r>
        <w:rPr>
          <w:lang w:eastAsia="zh-CN"/>
        </w:rPr>
        <w:t>=0.3–0.5，出口损失系数</w:t>
      </w:r>
      <w:proofErr w:type="spellStart"/>
      <w:r>
        <w:t>ξ</w:t>
      </w:r>
      <w:r>
        <w:rPr>
          <w:lang w:eastAsia="zh-CN"/>
        </w:rPr>
        <w:t>_out</w:t>
      </w:r>
      <w:proofErr w:type="spellEnd"/>
      <w:r>
        <w:rPr>
          <w:lang w:eastAsia="zh-CN"/>
        </w:rPr>
        <w:t>=0.5–1.0。这些系数的准确率</w:t>
      </w:r>
      <w:proofErr w:type="gramStart"/>
      <w:r>
        <w:rPr>
          <w:lang w:eastAsia="zh-CN"/>
        </w:rPr>
        <w:t>定对于</w:t>
      </w:r>
      <w:proofErr w:type="gramEnd"/>
      <w:r>
        <w:rPr>
          <w:lang w:eastAsia="zh-CN"/>
        </w:rPr>
        <w:t>全线水力模型的精度至关重要。</w:t>
      </w:r>
    </w:p>
    <w:p w14:paraId="538A9531" w14:textId="77777777" w:rsidR="000D05E4" w:rsidRDefault="00000000">
      <w:pPr>
        <w:spacing w:before="200" w:after="160"/>
        <w:rPr>
          <w:rFonts w:hint="eastAsia"/>
          <w:lang w:eastAsia="zh-CN"/>
        </w:rPr>
      </w:pPr>
      <w:r>
        <w:rPr>
          <w:b/>
          <w:lang w:eastAsia="zh-CN"/>
        </w:rPr>
        <w:t>5.3.3 冰期工况的水力-热力耦合建模</w:t>
      </w:r>
    </w:p>
    <w:p w14:paraId="068A5471" w14:textId="77777777" w:rsidR="000D05E4" w:rsidRDefault="00000000">
      <w:pPr>
        <w:ind w:firstLine="482"/>
        <w:rPr>
          <w:rFonts w:hint="eastAsia"/>
          <w:lang w:eastAsia="zh-CN"/>
        </w:rPr>
      </w:pPr>
      <w:r>
        <w:rPr>
          <w:lang w:eastAsia="zh-CN"/>
        </w:rPr>
        <w:t>南水北调中线北京段和河北段在冬季（12月至次年2月）存在冰期运行工况，需要将水力模型与热力模型耦合[11]。冰期建模的核心方程在Saint-</w:t>
      </w:r>
      <w:proofErr w:type="spellStart"/>
      <w:r>
        <w:rPr>
          <w:lang w:eastAsia="zh-CN"/>
        </w:rPr>
        <w:t>Venant</w:t>
      </w:r>
      <w:proofErr w:type="spellEnd"/>
      <w:r>
        <w:rPr>
          <w:lang w:eastAsia="zh-CN"/>
        </w:rPr>
        <w:t>方程基础上增加热量传递方程：</w:t>
      </w:r>
    </w:p>
    <w:p w14:paraId="03D62C26" w14:textId="020C7B05" w:rsidR="000D05E4" w:rsidRDefault="00000000">
      <w:pPr>
        <w:spacing w:before="120" w:after="120"/>
        <w:jc w:val="center"/>
        <w:rPr>
          <w:rFonts w:hint="eastAsia"/>
          <w:lang w:eastAsia="zh-CN"/>
        </w:rPr>
      </w:pPr>
      <w:r>
        <w:rPr>
          <w:lang w:eastAsia="zh-CN"/>
        </w:rPr>
        <w:t>∂(AT)/∂t+∂(QT)/∂x=</w:t>
      </w:r>
      <w:proofErr w:type="spellStart"/>
      <w:r>
        <w:rPr>
          <w:lang w:eastAsia="zh-CN"/>
        </w:rPr>
        <w:t>B_w·</w:t>
      </w:r>
      <w:r>
        <w:t>Φ</w:t>
      </w:r>
      <w:r>
        <w:rPr>
          <w:lang w:eastAsia="zh-CN"/>
        </w:rPr>
        <w:t>_net</w:t>
      </w:r>
      <w:proofErr w:type="spellEnd"/>
      <w:r>
        <w:rPr>
          <w:lang w:eastAsia="zh-CN"/>
        </w:rPr>
        <w:t>/(</w:t>
      </w:r>
      <w:proofErr w:type="spellStart"/>
      <w:r>
        <w:t>ρ</w:t>
      </w:r>
      <w:r>
        <w:rPr>
          <w:lang w:eastAsia="zh-CN"/>
        </w:rPr>
        <w:t>c_p</w:t>
      </w:r>
      <w:proofErr w:type="spellEnd"/>
      <w:r>
        <w:rPr>
          <w:lang w:eastAsia="zh-CN"/>
        </w:rPr>
        <w:t>)    (式5-9)</w:t>
      </w:r>
    </w:p>
    <w:p w14:paraId="4A687104" w14:textId="77777777" w:rsidR="000D05E4" w:rsidRDefault="00000000">
      <w:pPr>
        <w:ind w:firstLine="482"/>
        <w:rPr>
          <w:rFonts w:hint="eastAsia"/>
          <w:lang w:eastAsia="zh-CN"/>
        </w:rPr>
      </w:pPr>
      <w:r>
        <w:rPr>
          <w:lang w:eastAsia="zh-CN"/>
        </w:rPr>
        <w:t>式中：T为水温(°C)；</w:t>
      </w:r>
      <w:proofErr w:type="spellStart"/>
      <w:r>
        <w:rPr>
          <w:lang w:eastAsia="zh-CN"/>
        </w:rPr>
        <w:t>B_w</w:t>
      </w:r>
      <w:proofErr w:type="spellEnd"/>
      <w:r>
        <w:rPr>
          <w:lang w:eastAsia="zh-CN"/>
        </w:rPr>
        <w:t>为水面宽度(m)；</w:t>
      </w:r>
      <w:r>
        <w:t>Φ</w:t>
      </w:r>
      <w:r>
        <w:rPr>
          <w:lang w:eastAsia="zh-CN"/>
        </w:rPr>
        <w:t>_net为水面净热通量(W/m²)，由短波辐射、长波辐射、蒸发散热和对流换热四项组成；</w:t>
      </w:r>
      <w:r>
        <w:t>ρ</w:t>
      </w:r>
      <w:r>
        <w:rPr>
          <w:lang w:eastAsia="zh-CN"/>
        </w:rPr>
        <w:t>为水的密度(kg/m³)；</w:t>
      </w:r>
      <w:proofErr w:type="spellStart"/>
      <w:r>
        <w:rPr>
          <w:lang w:eastAsia="zh-CN"/>
        </w:rPr>
        <w:t>c_p</w:t>
      </w:r>
      <w:proofErr w:type="spellEnd"/>
      <w:r>
        <w:rPr>
          <w:lang w:eastAsia="zh-CN"/>
        </w:rPr>
        <w:t>为水的比热容(J/(kg·°C))[23]。</w:t>
      </w:r>
    </w:p>
    <w:p w14:paraId="23C47DAC" w14:textId="77777777" w:rsidR="000D05E4" w:rsidRDefault="00000000">
      <w:pPr>
        <w:ind w:firstLine="482"/>
        <w:rPr>
          <w:rFonts w:hint="eastAsia"/>
          <w:lang w:eastAsia="zh-CN"/>
        </w:rPr>
      </w:pPr>
      <w:r>
        <w:rPr>
          <w:lang w:eastAsia="zh-CN"/>
        </w:rPr>
        <w:t>当水温降至0°C以下时，冰的形成过程可以分为三个阶段：流冰阶段（水中出现冰晶和冰花）、封冻阶段（冰盖形成并向上游推进）和融冰阶段（冰盖破碎并向下游漂移）。冰盖的形成改变了水力条件——Manning公式需要修正为考虑冰盖影响的复合公式[24]：</w:t>
      </w:r>
    </w:p>
    <w:p w14:paraId="4415F372" w14:textId="712BEEA9" w:rsidR="000D05E4" w:rsidRDefault="00000000">
      <w:pPr>
        <w:spacing w:before="120" w:after="120"/>
        <w:jc w:val="center"/>
        <w:rPr>
          <w:rFonts w:hint="eastAsia"/>
        </w:rPr>
      </w:pPr>
      <w:proofErr w:type="spellStart"/>
      <w:r>
        <w:t>n_comp</w:t>
      </w:r>
      <w:proofErr w:type="spellEnd"/>
      <w:proofErr w:type="gramStart"/>
      <w:r>
        <w:t>=[(</w:t>
      </w:r>
      <w:proofErr w:type="spellStart"/>
      <w:proofErr w:type="gramEnd"/>
      <w:r>
        <w:t>n_b</w:t>
      </w:r>
      <w:proofErr w:type="spellEnd"/>
      <w:r>
        <w:t>^(3/</w:t>
      </w:r>
      <w:proofErr w:type="gramStart"/>
      <w:r>
        <w:t>2)+</w:t>
      </w:r>
      <w:proofErr w:type="spellStart"/>
      <w:proofErr w:type="gramEnd"/>
      <w:r>
        <w:t>n_i</w:t>
      </w:r>
      <w:proofErr w:type="spellEnd"/>
      <w:proofErr w:type="gramStart"/>
      <w:r>
        <w:t>^(</w:t>
      </w:r>
      <w:proofErr w:type="gramEnd"/>
      <w:r>
        <w:t>3/2))/</w:t>
      </w:r>
      <w:proofErr w:type="gramStart"/>
      <w:r>
        <w:t>2]^</w:t>
      </w:r>
      <w:proofErr w:type="gramEnd"/>
      <w:r>
        <w:t xml:space="preserve">(2/3) </w:t>
      </w:r>
      <w:proofErr w:type="gramStart"/>
      <w:r>
        <w:t xml:space="preserve">   (</w:t>
      </w:r>
      <w:proofErr w:type="gramEnd"/>
      <w:r>
        <w:t>式5-10)</w:t>
      </w:r>
    </w:p>
    <w:p w14:paraId="19292C97" w14:textId="77777777" w:rsidR="000D05E4" w:rsidRDefault="00000000">
      <w:pPr>
        <w:ind w:firstLine="482"/>
        <w:rPr>
          <w:rFonts w:hint="eastAsia"/>
          <w:lang w:eastAsia="zh-CN"/>
        </w:rPr>
      </w:pPr>
      <w:r>
        <w:rPr>
          <w:lang w:eastAsia="zh-CN"/>
        </w:rPr>
        <w:t>式中：</w:t>
      </w:r>
      <w:proofErr w:type="spellStart"/>
      <w:r>
        <w:rPr>
          <w:lang w:eastAsia="zh-CN"/>
        </w:rPr>
        <w:t>n_comp</w:t>
      </w:r>
      <w:proofErr w:type="spellEnd"/>
      <w:r>
        <w:rPr>
          <w:lang w:eastAsia="zh-CN"/>
        </w:rPr>
        <w:t>为复合粗糙系数；</w:t>
      </w:r>
      <w:proofErr w:type="spellStart"/>
      <w:r>
        <w:rPr>
          <w:lang w:eastAsia="zh-CN"/>
        </w:rPr>
        <w:t>n_b</w:t>
      </w:r>
      <w:proofErr w:type="spellEnd"/>
      <w:r>
        <w:rPr>
          <w:lang w:eastAsia="zh-CN"/>
        </w:rPr>
        <w:t>为渠底粗糙系数（0.014–0.017）；</w:t>
      </w:r>
      <w:proofErr w:type="spellStart"/>
      <w:r>
        <w:rPr>
          <w:lang w:eastAsia="zh-CN"/>
        </w:rPr>
        <w:t>n_i</w:t>
      </w:r>
      <w:proofErr w:type="spellEnd"/>
      <w:r>
        <w:rPr>
          <w:lang w:eastAsia="zh-CN"/>
        </w:rPr>
        <w:t>为冰盖底面粗糙系数（0.012–0.030，取决于冰面光滑度）。冰盖的厚度演化由Stefan方程描述，与气温的累积负温度成正比。在南水北调中线的实际运行中，冰期流量通常限制在设计流量的30%–50%，冰盖厚度一般不超过30cm，冰期持续约60–90天[25]。</w:t>
      </w:r>
    </w:p>
    <w:p w14:paraId="5BA05DF7" w14:textId="77777777" w:rsidR="000D05E4" w:rsidRDefault="00000000">
      <w:pPr>
        <w:spacing w:before="280" w:after="200"/>
        <w:rPr>
          <w:rFonts w:hint="eastAsia"/>
          <w:lang w:eastAsia="zh-CN"/>
        </w:rPr>
      </w:pPr>
      <w:r>
        <w:rPr>
          <w:b/>
          <w:sz w:val="28"/>
          <w:lang w:eastAsia="zh-CN"/>
        </w:rPr>
        <w:t>5.4 控制导向的降阶模型</w:t>
      </w:r>
    </w:p>
    <w:p w14:paraId="3241C704" w14:textId="77777777" w:rsidR="000D05E4" w:rsidRDefault="00000000">
      <w:pPr>
        <w:spacing w:before="200" w:after="160"/>
        <w:rPr>
          <w:rFonts w:hint="eastAsia"/>
          <w:lang w:eastAsia="zh-CN"/>
        </w:rPr>
      </w:pPr>
      <w:r>
        <w:rPr>
          <w:b/>
          <w:lang w:eastAsia="zh-CN"/>
        </w:rPr>
        <w:t>5.4.1 降阶建模的理论基础</w:t>
      </w:r>
    </w:p>
    <w:p w14:paraId="207CA8B7" w14:textId="77777777" w:rsidR="000D05E4" w:rsidRDefault="00000000">
      <w:pPr>
        <w:ind w:firstLine="482"/>
        <w:rPr>
          <w:rFonts w:hint="eastAsia"/>
          <w:lang w:eastAsia="zh-CN"/>
        </w:rPr>
      </w:pPr>
      <w:r>
        <w:rPr>
          <w:lang w:eastAsia="zh-CN"/>
        </w:rPr>
        <w:t>高保真模型虽然精度高，但其维度通常在数千甚至数万量级，无法直接用于在线MPC优化求解。降阶建模（Model Order Reduction, MOR）的目标是在保留系统关键动态特征的前提下，将模型维度降低到可控水平[3]。</w:t>
      </w:r>
    </w:p>
    <w:p w14:paraId="3CC3F021" w14:textId="77777777" w:rsidR="003806FD" w:rsidRDefault="00000000">
      <w:pPr>
        <w:ind w:firstLine="482"/>
        <w:rPr>
          <w:lang w:eastAsia="zh-CN"/>
        </w:rPr>
      </w:pPr>
      <w:r>
        <w:rPr>
          <w:lang w:eastAsia="zh-CN"/>
        </w:rPr>
        <w:t>水力系统的降阶建模有三条主要路径。</w:t>
      </w:r>
    </w:p>
    <w:p w14:paraId="02094E7C" w14:textId="77777777" w:rsidR="003806FD" w:rsidRDefault="00000000">
      <w:pPr>
        <w:ind w:firstLine="482"/>
        <w:rPr>
          <w:lang w:eastAsia="zh-CN"/>
        </w:rPr>
      </w:pPr>
      <w:r>
        <w:rPr>
          <w:lang w:eastAsia="zh-CN"/>
        </w:rPr>
        <w:t>第一条路径是物理驱动的解析降阶：基于渠道水力学的特征分析，提取系统的主导物理机制（积分效应和延迟效应），建立低维传递函数模型，代表方法是ID/IDZ模型[26]。</w:t>
      </w:r>
    </w:p>
    <w:p w14:paraId="45C178F4" w14:textId="77777777" w:rsidR="003806FD" w:rsidRDefault="00000000">
      <w:pPr>
        <w:ind w:firstLine="482"/>
        <w:rPr>
          <w:lang w:eastAsia="zh-CN"/>
        </w:rPr>
      </w:pPr>
      <w:r>
        <w:rPr>
          <w:lang w:eastAsia="zh-CN"/>
        </w:rPr>
        <w:lastRenderedPageBreak/>
        <w:t>第二条路径是数据驱动的投影降阶：利用高保真模型的仿真数据，通过正交投影（如POD/PCA）提取主要模态，将原始PDE系统投影到低维子空间上[27]。</w:t>
      </w:r>
    </w:p>
    <w:p w14:paraId="69613A29" w14:textId="3A14A9C3" w:rsidR="000D05E4" w:rsidRDefault="00000000">
      <w:pPr>
        <w:ind w:firstLine="482"/>
        <w:rPr>
          <w:rFonts w:hint="eastAsia"/>
          <w:lang w:eastAsia="zh-CN"/>
        </w:rPr>
      </w:pPr>
      <w:r>
        <w:rPr>
          <w:lang w:eastAsia="zh-CN"/>
        </w:rPr>
        <w:t>第三条路径是平衡截断（Balanced Truncation）：通过计算系统的</w:t>
      </w:r>
      <w:proofErr w:type="gramStart"/>
      <w:r>
        <w:rPr>
          <w:lang w:eastAsia="zh-CN"/>
        </w:rPr>
        <w:t>能观性和能控性</w:t>
      </w:r>
      <w:proofErr w:type="spellStart"/>
      <w:proofErr w:type="gramEnd"/>
      <w:r>
        <w:rPr>
          <w:lang w:eastAsia="zh-CN"/>
        </w:rPr>
        <w:t>Gramian</w:t>
      </w:r>
      <w:proofErr w:type="spellEnd"/>
      <w:r>
        <w:rPr>
          <w:lang w:eastAsia="zh-CN"/>
        </w:rPr>
        <w:t>矩阵，识别出对输入-输出行为贡献最小的状态并予以截断[28]。</w:t>
      </w:r>
    </w:p>
    <w:p w14:paraId="52013440" w14:textId="77777777" w:rsidR="000D05E4" w:rsidRDefault="00000000">
      <w:pPr>
        <w:ind w:firstLine="482"/>
        <w:rPr>
          <w:rFonts w:hint="eastAsia"/>
          <w:lang w:eastAsia="zh-CN"/>
        </w:rPr>
      </w:pPr>
      <w:r>
        <w:rPr>
          <w:lang w:eastAsia="zh-CN"/>
        </w:rPr>
        <w:t>对于南水北调中线这类长距离输水渠道，ID/IDZ模型因其物理含义清晰、参数可解释、计算速度极快而成为首选方法。但对于包含多个倒</w:t>
      </w:r>
      <w:proofErr w:type="gramStart"/>
      <w:r>
        <w:rPr>
          <w:lang w:eastAsia="zh-CN"/>
        </w:rPr>
        <w:t>虹吸和</w:t>
      </w:r>
      <w:proofErr w:type="gramEnd"/>
      <w:r>
        <w:rPr>
          <w:lang w:eastAsia="zh-CN"/>
        </w:rPr>
        <w:t>渡槽的复杂渠段，POD降</w:t>
      </w:r>
      <w:proofErr w:type="gramStart"/>
      <w:r>
        <w:rPr>
          <w:lang w:eastAsia="zh-CN"/>
        </w:rPr>
        <w:t>阶方法</w:t>
      </w:r>
      <w:proofErr w:type="gramEnd"/>
      <w:r>
        <w:rPr>
          <w:lang w:eastAsia="zh-CN"/>
        </w:rPr>
        <w:t>可以作为补充，用于捕捉ID/IDZ模型难以描述的高阶动态。两种方法的协同使用构成了"降阶模型工具箱"的核心。</w:t>
      </w:r>
    </w:p>
    <w:p w14:paraId="133E50AC" w14:textId="77777777" w:rsidR="000D05E4" w:rsidRDefault="00000000">
      <w:pPr>
        <w:spacing w:before="200" w:after="160"/>
        <w:rPr>
          <w:rFonts w:hint="eastAsia"/>
          <w:lang w:eastAsia="zh-CN"/>
        </w:rPr>
      </w:pPr>
      <w:r>
        <w:rPr>
          <w:b/>
          <w:lang w:eastAsia="zh-CN"/>
        </w:rPr>
        <w:t>5.4.2 ID模型：积分-延迟传递函数</w:t>
      </w:r>
    </w:p>
    <w:p w14:paraId="58A98CA8" w14:textId="77777777" w:rsidR="000D05E4" w:rsidRDefault="00000000">
      <w:pPr>
        <w:ind w:firstLine="482"/>
        <w:rPr>
          <w:rFonts w:hint="eastAsia"/>
          <w:lang w:eastAsia="zh-CN"/>
        </w:rPr>
      </w:pPr>
      <w:r>
        <w:rPr>
          <w:lang w:eastAsia="zh-CN"/>
        </w:rPr>
        <w:t>Schuurmans等人在1999年提出的积分-延迟（Integrator-Delay, ID）模型是目前应用最广泛的渠道控制导向模型[26]。ID模型的核心假设是：</w:t>
      </w:r>
      <w:proofErr w:type="gramStart"/>
      <w:r>
        <w:rPr>
          <w:lang w:eastAsia="zh-CN"/>
        </w:rPr>
        <w:t>渠池的</w:t>
      </w:r>
      <w:proofErr w:type="gramEnd"/>
      <w:r>
        <w:rPr>
          <w:lang w:eastAsia="zh-CN"/>
        </w:rPr>
        <w:t>动态行为可以用两个物理效应来近似描述——流量变化以有限速度</w:t>
      </w:r>
      <w:proofErr w:type="gramStart"/>
      <w:r>
        <w:rPr>
          <w:lang w:eastAsia="zh-CN"/>
        </w:rPr>
        <w:t>沿渠道</w:t>
      </w:r>
      <w:proofErr w:type="gramEnd"/>
      <w:r>
        <w:rPr>
          <w:lang w:eastAsia="zh-CN"/>
        </w:rPr>
        <w:t>传播（延迟效应）和渠池蓄水量随水位变化而变化（积分效应）。</w:t>
      </w:r>
    </w:p>
    <w:p w14:paraId="7B85EF61" w14:textId="77777777" w:rsidR="000D05E4" w:rsidRDefault="00000000">
      <w:pPr>
        <w:ind w:firstLine="482"/>
        <w:rPr>
          <w:rFonts w:hint="eastAsia"/>
          <w:lang w:eastAsia="zh-CN"/>
        </w:rPr>
      </w:pPr>
      <w:r>
        <w:rPr>
          <w:lang w:eastAsia="zh-CN"/>
        </w:rPr>
        <w:t>对于单个渠池，ID模型将下游水位变化与上下游流量变化的关系表达为传递函数形式：</w:t>
      </w:r>
    </w:p>
    <w:p w14:paraId="5C3D6116" w14:textId="581770A8" w:rsidR="000D05E4" w:rsidRDefault="00000000">
      <w:pPr>
        <w:spacing w:before="120" w:after="120"/>
        <w:jc w:val="center"/>
        <w:rPr>
          <w:rFonts w:hint="eastAsia"/>
        </w:rPr>
      </w:pPr>
      <w:r>
        <w:t>G(s)=</w:t>
      </w:r>
      <w:proofErr w:type="spellStart"/>
      <w:r>
        <w:t>Δy_x</w:t>
      </w:r>
      <w:proofErr w:type="spellEnd"/>
      <w:r>
        <w:t>(s)/</w:t>
      </w:r>
      <w:proofErr w:type="spellStart"/>
      <w:r>
        <w:t>Δq</w:t>
      </w:r>
      <w:proofErr w:type="spellEnd"/>
      <w:r>
        <w:t>(s)=e^(−</w:t>
      </w:r>
      <w:proofErr w:type="spellStart"/>
      <w:r>
        <w:t>τs</w:t>
      </w:r>
      <w:proofErr w:type="spellEnd"/>
      <w:r>
        <w:t>)/(</w:t>
      </w:r>
      <w:proofErr w:type="spellStart"/>
      <w:r>
        <w:t>A_s·</w:t>
      </w:r>
      <w:proofErr w:type="gramStart"/>
      <w:r>
        <w:t>s</w:t>
      </w:r>
      <w:proofErr w:type="spellEnd"/>
      <w:r>
        <w:t xml:space="preserve">)   </w:t>
      </w:r>
      <w:proofErr w:type="gramEnd"/>
      <w:r>
        <w:t xml:space="preserve"> (式5-11)</w:t>
      </w:r>
    </w:p>
    <w:p w14:paraId="39C264C8" w14:textId="77777777" w:rsidR="000D05E4" w:rsidRDefault="00000000">
      <w:pPr>
        <w:ind w:firstLine="482"/>
        <w:rPr>
          <w:rFonts w:hint="eastAsia"/>
          <w:lang w:eastAsia="zh-CN"/>
        </w:rPr>
      </w:pPr>
      <w:r>
        <w:rPr>
          <w:lang w:eastAsia="zh-CN"/>
        </w:rPr>
        <w:t>式中：</w:t>
      </w:r>
      <w:proofErr w:type="spellStart"/>
      <w:r>
        <w:t>Δ</w:t>
      </w:r>
      <w:r>
        <w:rPr>
          <w:lang w:eastAsia="zh-CN"/>
        </w:rPr>
        <w:t>y_x</w:t>
      </w:r>
      <w:proofErr w:type="spellEnd"/>
      <w:r>
        <w:rPr>
          <w:lang w:eastAsia="zh-CN"/>
        </w:rPr>
        <w:t>为下游水位偏差(m)；</w:t>
      </w:r>
      <w:proofErr w:type="spellStart"/>
      <w:r>
        <w:t>Δ</w:t>
      </w:r>
      <w:r>
        <w:rPr>
          <w:lang w:eastAsia="zh-CN"/>
        </w:rPr>
        <w:t>q</w:t>
      </w:r>
      <w:proofErr w:type="spellEnd"/>
      <w:r>
        <w:rPr>
          <w:lang w:eastAsia="zh-CN"/>
        </w:rPr>
        <w:t>为流量偏差(m³/s)；</w:t>
      </w:r>
      <w:r>
        <w:t>τ</w:t>
      </w:r>
      <w:r>
        <w:rPr>
          <w:lang w:eastAsia="zh-CN"/>
        </w:rPr>
        <w:t>为水流传播延迟时间(s)；A_s为渠池蓄水面积(m²)；s为Laplace变换变量。延迟时间</w:t>
      </w:r>
      <w:r>
        <w:t>τ</w:t>
      </w:r>
      <w:r>
        <w:rPr>
          <w:lang w:eastAsia="zh-CN"/>
        </w:rPr>
        <w:t>可由渠道长度L与波速估算：</w:t>
      </w:r>
    </w:p>
    <w:p w14:paraId="71A113B0" w14:textId="5241D558" w:rsidR="000D05E4" w:rsidRDefault="00000000">
      <w:pPr>
        <w:spacing w:before="120" w:after="120"/>
        <w:jc w:val="center"/>
        <w:rPr>
          <w:rFonts w:hint="eastAsia"/>
          <w:lang w:eastAsia="zh-CN"/>
        </w:rPr>
      </w:pPr>
      <w:proofErr w:type="spellStart"/>
      <w:r>
        <w:t>τ</w:t>
      </w:r>
      <w:r>
        <w:rPr>
          <w:lang w:eastAsia="zh-CN"/>
        </w:rPr>
        <w:t>≈L</w:t>
      </w:r>
      <w:proofErr w:type="spellEnd"/>
      <w:r>
        <w:rPr>
          <w:lang w:eastAsia="zh-CN"/>
        </w:rPr>
        <w:t>/(</w:t>
      </w:r>
      <w:proofErr w:type="spellStart"/>
      <w:r>
        <w:rPr>
          <w:lang w:eastAsia="zh-CN"/>
        </w:rPr>
        <w:t>V+c</w:t>
      </w:r>
      <w:proofErr w:type="spellEnd"/>
      <w:r>
        <w:rPr>
          <w:lang w:eastAsia="zh-CN"/>
        </w:rPr>
        <w:t>), 其中 c=√(</w:t>
      </w:r>
      <w:proofErr w:type="spellStart"/>
      <w:r>
        <w:rPr>
          <w:lang w:eastAsia="zh-CN"/>
        </w:rPr>
        <w:t>gA</w:t>
      </w:r>
      <w:proofErr w:type="spellEnd"/>
      <w:r>
        <w:rPr>
          <w:lang w:eastAsia="zh-CN"/>
        </w:rPr>
        <w:t>/T)    (式5-12)</w:t>
      </w:r>
    </w:p>
    <w:p w14:paraId="4B7D2845" w14:textId="77777777" w:rsidR="000D05E4" w:rsidRDefault="00000000">
      <w:pPr>
        <w:ind w:firstLine="482"/>
        <w:rPr>
          <w:rFonts w:hint="eastAsia"/>
          <w:lang w:eastAsia="zh-CN"/>
        </w:rPr>
      </w:pPr>
      <w:r>
        <w:rPr>
          <w:lang w:eastAsia="zh-CN"/>
        </w:rPr>
        <w:t>式中：V为断面平均流速(m/s)；c为微小波速(m/s)；T为水面宽度(m)。</w:t>
      </w:r>
    </w:p>
    <w:p w14:paraId="1B7EB71C" w14:textId="77777777" w:rsidR="000D05E4" w:rsidRDefault="00000000">
      <w:pPr>
        <w:ind w:firstLine="482"/>
        <w:rPr>
          <w:rFonts w:hint="eastAsia"/>
          <w:lang w:eastAsia="zh-CN"/>
        </w:rPr>
      </w:pPr>
      <w:r>
        <w:rPr>
          <w:lang w:eastAsia="zh-CN"/>
        </w:rPr>
        <w:t>ID模型的物理含义非常直观：上游流量的变化经过</w:t>
      </w:r>
      <w:r>
        <w:t>τ</w:t>
      </w:r>
      <w:r>
        <w:rPr>
          <w:lang w:eastAsia="zh-CN"/>
        </w:rPr>
        <w:t>时间后到达下游，并以1/A_s的增益累积为下游水位的变化。这一简洁的描述捕捉了渠道水力学的两个</w:t>
      </w:r>
      <w:proofErr w:type="gramStart"/>
      <w:r>
        <w:rPr>
          <w:lang w:eastAsia="zh-CN"/>
        </w:rPr>
        <w:t>最</w:t>
      </w:r>
      <w:proofErr w:type="gramEnd"/>
      <w:r>
        <w:rPr>
          <w:lang w:eastAsia="zh-CN"/>
        </w:rPr>
        <w:t>本质特征，但忽略了回水效应（下游水位变化对上游的反向影响）。对于长渠池和缓坡渠道，回水效应较弱，ID模型精度良好；对于短渠池或急变流工况，回水效应不可忽略，需要采用更高精度的IDZ模型[29]。</w:t>
      </w:r>
    </w:p>
    <w:p w14:paraId="6743710E" w14:textId="77777777" w:rsidR="000D05E4" w:rsidRDefault="00000000">
      <w:pPr>
        <w:spacing w:before="200" w:after="160"/>
        <w:rPr>
          <w:rFonts w:hint="eastAsia"/>
          <w:lang w:eastAsia="zh-CN"/>
        </w:rPr>
      </w:pPr>
      <w:r>
        <w:rPr>
          <w:b/>
          <w:lang w:eastAsia="zh-CN"/>
        </w:rPr>
        <w:t>5.4.3 IDZ模型及其状态空间形式</w:t>
      </w:r>
    </w:p>
    <w:p w14:paraId="215515A8" w14:textId="77777777" w:rsidR="000D05E4" w:rsidRDefault="00000000">
      <w:pPr>
        <w:ind w:firstLine="482"/>
        <w:rPr>
          <w:rFonts w:hint="eastAsia"/>
          <w:lang w:eastAsia="zh-CN"/>
        </w:rPr>
      </w:pPr>
      <w:r>
        <w:rPr>
          <w:lang w:eastAsia="zh-CN"/>
        </w:rPr>
        <w:t>IDZ模型在ID基础上增加了一个零点，用于描述波到达前的瞬态响应（即回水效应）[26]：</w:t>
      </w:r>
    </w:p>
    <w:p w14:paraId="582C9344" w14:textId="25699CC4" w:rsidR="000D05E4" w:rsidRDefault="00000000">
      <w:pPr>
        <w:spacing w:before="120" w:after="120"/>
        <w:jc w:val="center"/>
        <w:rPr>
          <w:rFonts w:hint="eastAsia"/>
        </w:rPr>
      </w:pPr>
      <w:r>
        <w:t>G(s)=(1+τ_</w:t>
      </w:r>
      <w:proofErr w:type="gramStart"/>
      <w:r>
        <w:t>zs)·</w:t>
      </w:r>
      <w:proofErr w:type="gramEnd"/>
      <w:r>
        <w:t>e^(−</w:t>
      </w:r>
      <w:proofErr w:type="spellStart"/>
      <w:r>
        <w:t>τs</w:t>
      </w:r>
      <w:proofErr w:type="spellEnd"/>
      <w:r>
        <w:t>)/(</w:t>
      </w:r>
      <w:proofErr w:type="spellStart"/>
      <w:r>
        <w:t>A_s·</w:t>
      </w:r>
      <w:proofErr w:type="gramStart"/>
      <w:r>
        <w:t>s</w:t>
      </w:r>
      <w:proofErr w:type="spellEnd"/>
      <w:r>
        <w:t xml:space="preserve">)   </w:t>
      </w:r>
      <w:proofErr w:type="gramEnd"/>
      <w:r>
        <w:t xml:space="preserve"> (式5-13)</w:t>
      </w:r>
    </w:p>
    <w:p w14:paraId="411A6B40" w14:textId="77777777" w:rsidR="000D05E4" w:rsidRDefault="00000000">
      <w:pPr>
        <w:ind w:firstLine="482"/>
        <w:rPr>
          <w:rFonts w:hint="eastAsia"/>
          <w:lang w:eastAsia="zh-CN"/>
        </w:rPr>
      </w:pPr>
      <w:r>
        <w:rPr>
          <w:lang w:eastAsia="zh-CN"/>
        </w:rPr>
        <w:lastRenderedPageBreak/>
        <w:t>式中：</w:t>
      </w:r>
      <w:proofErr w:type="spellStart"/>
      <w:r>
        <w:t>τ</w:t>
      </w:r>
      <w:r>
        <w:rPr>
          <w:lang w:eastAsia="zh-CN"/>
        </w:rPr>
        <w:t>_z</w:t>
      </w:r>
      <w:proofErr w:type="spellEnd"/>
      <w:r>
        <w:rPr>
          <w:lang w:eastAsia="zh-CN"/>
        </w:rPr>
        <w:t>为零点时间常数(s)，反映渠池的回水效应。</w:t>
      </w:r>
      <w:proofErr w:type="spellStart"/>
      <w:r>
        <w:t>τ</w:t>
      </w:r>
      <w:r>
        <w:rPr>
          <w:lang w:eastAsia="zh-CN"/>
        </w:rPr>
        <w:t>_z</w:t>
      </w:r>
      <w:proofErr w:type="spellEnd"/>
      <w:r>
        <w:rPr>
          <w:lang w:eastAsia="zh-CN"/>
        </w:rPr>
        <w:t>的物理含义是：当下游流量突然变化时，回水波以速度(c−V)向上游传播，使得上游水位在主波到达之前就开始响应。</w:t>
      </w:r>
      <w:proofErr w:type="spellStart"/>
      <w:r>
        <w:t>τ</w:t>
      </w:r>
      <w:r>
        <w:rPr>
          <w:lang w:eastAsia="zh-CN"/>
        </w:rPr>
        <w:t>_z</w:t>
      </w:r>
      <w:proofErr w:type="spellEnd"/>
      <w:r>
        <w:rPr>
          <w:lang w:eastAsia="zh-CN"/>
        </w:rPr>
        <w:t xml:space="preserve">的值与渠道长度、Froude数和断面形状有关，通常满足0 &lt; </w:t>
      </w:r>
      <w:proofErr w:type="spellStart"/>
      <w:r>
        <w:t>τ</w:t>
      </w:r>
      <w:r>
        <w:rPr>
          <w:lang w:eastAsia="zh-CN"/>
        </w:rPr>
        <w:t>_z</w:t>
      </w:r>
      <w:proofErr w:type="spellEnd"/>
      <w:r>
        <w:rPr>
          <w:lang w:eastAsia="zh-CN"/>
        </w:rPr>
        <w:t xml:space="preserve"> &lt; </w:t>
      </w:r>
      <w:r>
        <w:t>τ</w:t>
      </w:r>
      <w:r>
        <w:rPr>
          <w:lang w:eastAsia="zh-CN"/>
        </w:rPr>
        <w:t>。</w:t>
      </w:r>
    </w:p>
    <w:p w14:paraId="2D913E08" w14:textId="77777777" w:rsidR="000D05E4" w:rsidRDefault="00000000">
      <w:pPr>
        <w:ind w:firstLine="482"/>
        <w:rPr>
          <w:rFonts w:hint="eastAsia"/>
          <w:lang w:eastAsia="zh-CN"/>
        </w:rPr>
      </w:pPr>
      <w:r>
        <w:rPr>
          <w:lang w:eastAsia="zh-CN"/>
        </w:rPr>
        <w:t>将IDZ模型离散化后转换为状态空间形式，对于包含n</w:t>
      </w:r>
      <w:proofErr w:type="gramStart"/>
      <w:r>
        <w:rPr>
          <w:lang w:eastAsia="zh-CN"/>
        </w:rPr>
        <w:t>个</w:t>
      </w:r>
      <w:proofErr w:type="gramEnd"/>
      <w:r>
        <w:rPr>
          <w:lang w:eastAsia="zh-CN"/>
        </w:rPr>
        <w:t>渠池的串联系统：</w:t>
      </w:r>
    </w:p>
    <w:p w14:paraId="38059332" w14:textId="5848CE8E" w:rsidR="000D05E4" w:rsidRDefault="00000000">
      <w:pPr>
        <w:spacing w:before="120" w:after="120"/>
        <w:jc w:val="center"/>
        <w:rPr>
          <w:rFonts w:hint="eastAsia"/>
        </w:rPr>
      </w:pPr>
      <w:r>
        <w:t>x(k+</w:t>
      </w:r>
      <w:proofErr w:type="gramStart"/>
      <w:r>
        <w:t>1)=</w:t>
      </w:r>
      <w:proofErr w:type="gramEnd"/>
      <w:r>
        <w:t>Ax(k)+Bu(k)+</w:t>
      </w:r>
      <w:proofErr w:type="spellStart"/>
      <w:r>
        <w:t>B</w:t>
      </w:r>
      <w:proofErr w:type="gramStart"/>
      <w:r>
        <w:t>_d·</w:t>
      </w:r>
      <w:proofErr w:type="gramEnd"/>
      <w:r>
        <w:t>d</w:t>
      </w:r>
      <w:proofErr w:type="spellEnd"/>
      <w:r>
        <w:t>(</w:t>
      </w:r>
      <w:proofErr w:type="gramStart"/>
      <w:r>
        <w:t xml:space="preserve">k)   </w:t>
      </w:r>
      <w:proofErr w:type="gramEnd"/>
      <w:r>
        <w:t xml:space="preserve"> (式5-14)</w:t>
      </w:r>
    </w:p>
    <w:p w14:paraId="48ECBA48" w14:textId="4F298E69" w:rsidR="000D05E4" w:rsidRDefault="00000000">
      <w:pPr>
        <w:spacing w:before="120" w:after="120"/>
        <w:jc w:val="center"/>
        <w:rPr>
          <w:rFonts w:hint="eastAsia"/>
          <w:lang w:eastAsia="zh-CN"/>
        </w:rPr>
      </w:pPr>
      <w:r>
        <w:rPr>
          <w:lang w:eastAsia="zh-CN"/>
        </w:rPr>
        <w:t>y(k)=</w:t>
      </w:r>
      <w:proofErr w:type="spellStart"/>
      <w:r>
        <w:rPr>
          <w:lang w:eastAsia="zh-CN"/>
        </w:rPr>
        <w:t>Cx</w:t>
      </w:r>
      <w:proofErr w:type="spellEnd"/>
      <w:r>
        <w:rPr>
          <w:lang w:eastAsia="zh-CN"/>
        </w:rPr>
        <w:t>(k)    (式5-15)</w:t>
      </w:r>
    </w:p>
    <w:p w14:paraId="3CB3432F" w14:textId="77777777" w:rsidR="000D05E4" w:rsidRDefault="00000000">
      <w:pPr>
        <w:ind w:firstLine="482"/>
        <w:rPr>
          <w:rFonts w:hint="eastAsia"/>
          <w:lang w:eastAsia="zh-CN"/>
        </w:rPr>
      </w:pPr>
      <w:r>
        <w:rPr>
          <w:lang w:eastAsia="zh-CN"/>
        </w:rPr>
        <w:t>式中：</w:t>
      </w:r>
      <w:proofErr w:type="spellStart"/>
      <w:r>
        <w:rPr>
          <w:lang w:eastAsia="zh-CN"/>
        </w:rPr>
        <w:t>x∈R</w:t>
      </w:r>
      <w:proofErr w:type="spellEnd"/>
      <w:r>
        <w:rPr>
          <w:lang w:eastAsia="zh-CN"/>
        </w:rPr>
        <w:t>ⁿ为状态向量（</w:t>
      </w:r>
      <w:proofErr w:type="gramStart"/>
      <w:r>
        <w:rPr>
          <w:lang w:eastAsia="zh-CN"/>
        </w:rPr>
        <w:t>各渠池水位</w:t>
      </w:r>
      <w:proofErr w:type="gramEnd"/>
      <w:r>
        <w:rPr>
          <w:lang w:eastAsia="zh-CN"/>
        </w:rPr>
        <w:t>偏差）；</w:t>
      </w:r>
      <w:proofErr w:type="spellStart"/>
      <w:r>
        <w:rPr>
          <w:lang w:eastAsia="zh-CN"/>
        </w:rPr>
        <w:t>u∈R</w:t>
      </w:r>
      <w:proofErr w:type="spellEnd"/>
      <w:r>
        <w:rPr>
          <w:lang w:eastAsia="zh-CN"/>
        </w:rPr>
        <w:t>ᵐ为控制输入（闸门开度或流量设定值）；d为可测扰动（取水口流量）；A、B、</w:t>
      </w:r>
      <w:proofErr w:type="spellStart"/>
      <w:r>
        <w:rPr>
          <w:lang w:eastAsia="zh-CN"/>
        </w:rPr>
        <w:t>B_d</w:t>
      </w:r>
      <w:proofErr w:type="spellEnd"/>
      <w:r>
        <w:rPr>
          <w:lang w:eastAsia="zh-CN"/>
        </w:rPr>
        <w:t>、C为系统矩阵。该状态空间形式可直接用于MPC控制器设计[30]。</w:t>
      </w:r>
    </w:p>
    <w:tbl>
      <w:tblPr>
        <w:tblStyle w:val="aff1"/>
        <w:tblW w:w="0" w:type="auto"/>
        <w:jc w:val="center"/>
        <w:tblLook w:val="04A0" w:firstRow="1" w:lastRow="0" w:firstColumn="1" w:lastColumn="0" w:noHBand="0" w:noVBand="1"/>
      </w:tblPr>
      <w:tblGrid>
        <w:gridCol w:w="1701"/>
        <w:gridCol w:w="1984"/>
        <w:gridCol w:w="1984"/>
        <w:gridCol w:w="1984"/>
      </w:tblGrid>
      <w:tr w:rsidR="000D05E4" w14:paraId="638C359C" w14:textId="77777777">
        <w:trPr>
          <w:jc w:val="center"/>
        </w:trPr>
        <w:tc>
          <w:tcPr>
            <w:tcW w:w="1701" w:type="dxa"/>
            <w:shd w:val="clear" w:color="auto" w:fill="D9E2F3"/>
          </w:tcPr>
          <w:p w14:paraId="4425328C" w14:textId="77777777" w:rsidR="000D05E4" w:rsidRDefault="00000000">
            <w:pPr>
              <w:jc w:val="center"/>
              <w:rPr>
                <w:rFonts w:hint="eastAsia"/>
              </w:rPr>
            </w:pPr>
            <w:proofErr w:type="spellStart"/>
            <w:r>
              <w:rPr>
                <w:b/>
                <w:sz w:val="20"/>
              </w:rPr>
              <w:t>参数</w:t>
            </w:r>
            <w:proofErr w:type="spellEnd"/>
          </w:p>
        </w:tc>
        <w:tc>
          <w:tcPr>
            <w:tcW w:w="1984" w:type="dxa"/>
            <w:shd w:val="clear" w:color="auto" w:fill="D9E2F3"/>
          </w:tcPr>
          <w:p w14:paraId="621101D8" w14:textId="77777777" w:rsidR="000D05E4" w:rsidRDefault="00000000">
            <w:pPr>
              <w:jc w:val="center"/>
              <w:rPr>
                <w:rFonts w:hint="eastAsia"/>
              </w:rPr>
            </w:pPr>
            <w:r>
              <w:rPr>
                <w:b/>
                <w:sz w:val="20"/>
              </w:rPr>
              <w:t>物理含义</w:t>
            </w:r>
          </w:p>
        </w:tc>
        <w:tc>
          <w:tcPr>
            <w:tcW w:w="1984" w:type="dxa"/>
            <w:shd w:val="clear" w:color="auto" w:fill="D9E2F3"/>
          </w:tcPr>
          <w:p w14:paraId="4180A545" w14:textId="77777777" w:rsidR="000D05E4" w:rsidRDefault="00000000">
            <w:pPr>
              <w:jc w:val="center"/>
              <w:rPr>
                <w:rFonts w:hint="eastAsia"/>
              </w:rPr>
            </w:pPr>
            <w:r>
              <w:rPr>
                <w:b/>
                <w:sz w:val="20"/>
              </w:rPr>
              <w:t>南水北调中线典型值</w:t>
            </w:r>
          </w:p>
        </w:tc>
        <w:tc>
          <w:tcPr>
            <w:tcW w:w="1984" w:type="dxa"/>
            <w:shd w:val="clear" w:color="auto" w:fill="D9E2F3"/>
          </w:tcPr>
          <w:p w14:paraId="7F510DD2" w14:textId="77777777" w:rsidR="000D05E4" w:rsidRDefault="00000000">
            <w:pPr>
              <w:jc w:val="center"/>
              <w:rPr>
                <w:rFonts w:hint="eastAsia"/>
              </w:rPr>
            </w:pPr>
            <w:r>
              <w:rPr>
                <w:b/>
                <w:sz w:val="20"/>
              </w:rPr>
              <w:t>辨识方法</w:t>
            </w:r>
          </w:p>
        </w:tc>
      </w:tr>
      <w:tr w:rsidR="000D05E4" w14:paraId="375C5D3F" w14:textId="77777777">
        <w:trPr>
          <w:jc w:val="center"/>
        </w:trPr>
        <w:tc>
          <w:tcPr>
            <w:tcW w:w="1701" w:type="dxa"/>
          </w:tcPr>
          <w:p w14:paraId="14F1997C" w14:textId="77777777" w:rsidR="000D05E4" w:rsidRDefault="00000000">
            <w:pPr>
              <w:jc w:val="center"/>
              <w:rPr>
                <w:rFonts w:hint="eastAsia"/>
              </w:rPr>
            </w:pPr>
            <w:r>
              <w:rPr>
                <w:sz w:val="20"/>
              </w:rPr>
              <w:t>渠池长度L</w:t>
            </w:r>
          </w:p>
        </w:tc>
        <w:tc>
          <w:tcPr>
            <w:tcW w:w="1984" w:type="dxa"/>
          </w:tcPr>
          <w:p w14:paraId="1399EE89" w14:textId="77777777" w:rsidR="000D05E4" w:rsidRDefault="00000000">
            <w:pPr>
              <w:jc w:val="center"/>
              <w:rPr>
                <w:rFonts w:hint="eastAsia"/>
              </w:rPr>
            </w:pPr>
            <w:r>
              <w:rPr>
                <w:sz w:val="20"/>
              </w:rPr>
              <w:t>相邻闸门间距</w:t>
            </w:r>
          </w:p>
        </w:tc>
        <w:tc>
          <w:tcPr>
            <w:tcW w:w="1984" w:type="dxa"/>
          </w:tcPr>
          <w:p w14:paraId="1360B1FF" w14:textId="77777777" w:rsidR="000D05E4" w:rsidRDefault="00000000">
            <w:pPr>
              <w:jc w:val="center"/>
              <w:rPr>
                <w:rFonts w:hint="eastAsia"/>
              </w:rPr>
            </w:pPr>
            <w:r>
              <w:rPr>
                <w:sz w:val="20"/>
              </w:rPr>
              <w:t>3–40 km</w:t>
            </w:r>
          </w:p>
        </w:tc>
        <w:tc>
          <w:tcPr>
            <w:tcW w:w="1984" w:type="dxa"/>
          </w:tcPr>
          <w:p w14:paraId="7F994E43" w14:textId="77777777" w:rsidR="000D05E4" w:rsidRDefault="00000000">
            <w:pPr>
              <w:jc w:val="center"/>
              <w:rPr>
                <w:rFonts w:hint="eastAsia"/>
              </w:rPr>
            </w:pPr>
            <w:r>
              <w:rPr>
                <w:sz w:val="20"/>
              </w:rPr>
              <w:t>设计资料</w:t>
            </w:r>
          </w:p>
        </w:tc>
      </w:tr>
      <w:tr w:rsidR="000D05E4" w14:paraId="4FDB94F4" w14:textId="77777777">
        <w:trPr>
          <w:jc w:val="center"/>
        </w:trPr>
        <w:tc>
          <w:tcPr>
            <w:tcW w:w="1701" w:type="dxa"/>
          </w:tcPr>
          <w:p w14:paraId="6D720BEE" w14:textId="77777777" w:rsidR="000D05E4" w:rsidRDefault="00000000">
            <w:pPr>
              <w:jc w:val="center"/>
              <w:rPr>
                <w:rFonts w:hint="eastAsia"/>
              </w:rPr>
            </w:pPr>
            <w:r>
              <w:rPr>
                <w:sz w:val="20"/>
              </w:rPr>
              <w:t>延迟时间τ</w:t>
            </w:r>
          </w:p>
        </w:tc>
        <w:tc>
          <w:tcPr>
            <w:tcW w:w="1984" w:type="dxa"/>
          </w:tcPr>
          <w:p w14:paraId="4B40A5B1" w14:textId="77777777" w:rsidR="000D05E4" w:rsidRDefault="00000000">
            <w:pPr>
              <w:jc w:val="center"/>
              <w:rPr>
                <w:rFonts w:hint="eastAsia"/>
              </w:rPr>
            </w:pPr>
            <w:r>
              <w:rPr>
                <w:sz w:val="20"/>
              </w:rPr>
              <w:t>水流传播时间</w:t>
            </w:r>
          </w:p>
        </w:tc>
        <w:tc>
          <w:tcPr>
            <w:tcW w:w="1984" w:type="dxa"/>
          </w:tcPr>
          <w:p w14:paraId="0A215770" w14:textId="77777777" w:rsidR="000D05E4" w:rsidRDefault="00000000">
            <w:pPr>
              <w:jc w:val="center"/>
              <w:rPr>
                <w:rFonts w:hint="eastAsia"/>
              </w:rPr>
            </w:pPr>
            <w:r>
              <w:rPr>
                <w:sz w:val="20"/>
              </w:rPr>
              <w:t>20–300 min</w:t>
            </w:r>
          </w:p>
        </w:tc>
        <w:tc>
          <w:tcPr>
            <w:tcW w:w="1984" w:type="dxa"/>
          </w:tcPr>
          <w:p w14:paraId="3C2418E3" w14:textId="77777777" w:rsidR="000D05E4" w:rsidRDefault="00000000">
            <w:pPr>
              <w:jc w:val="center"/>
              <w:rPr>
                <w:rFonts w:hint="eastAsia"/>
              </w:rPr>
            </w:pPr>
            <w:r>
              <w:rPr>
                <w:sz w:val="20"/>
              </w:rPr>
              <w:t>L/(V+c)估算+RLS校核</w:t>
            </w:r>
          </w:p>
        </w:tc>
      </w:tr>
      <w:tr w:rsidR="000D05E4" w14:paraId="6DDAAEE6" w14:textId="77777777">
        <w:trPr>
          <w:jc w:val="center"/>
        </w:trPr>
        <w:tc>
          <w:tcPr>
            <w:tcW w:w="1701" w:type="dxa"/>
          </w:tcPr>
          <w:p w14:paraId="35EE4256" w14:textId="77777777" w:rsidR="000D05E4" w:rsidRDefault="00000000">
            <w:pPr>
              <w:jc w:val="center"/>
              <w:rPr>
                <w:rFonts w:hint="eastAsia"/>
              </w:rPr>
            </w:pPr>
            <w:r>
              <w:rPr>
                <w:sz w:val="20"/>
              </w:rPr>
              <w:t>蓄水面积A_s</w:t>
            </w:r>
          </w:p>
        </w:tc>
        <w:tc>
          <w:tcPr>
            <w:tcW w:w="1984" w:type="dxa"/>
          </w:tcPr>
          <w:p w14:paraId="1073B416" w14:textId="77777777" w:rsidR="000D05E4" w:rsidRDefault="00000000">
            <w:pPr>
              <w:jc w:val="center"/>
              <w:rPr>
                <w:rFonts w:hint="eastAsia"/>
              </w:rPr>
            </w:pPr>
            <w:r>
              <w:rPr>
                <w:sz w:val="20"/>
              </w:rPr>
              <w:t>单位水位变化的蓄量</w:t>
            </w:r>
          </w:p>
        </w:tc>
        <w:tc>
          <w:tcPr>
            <w:tcW w:w="1984" w:type="dxa"/>
          </w:tcPr>
          <w:p w14:paraId="41D07779" w14:textId="77777777" w:rsidR="000D05E4" w:rsidRDefault="00000000">
            <w:pPr>
              <w:jc w:val="center"/>
              <w:rPr>
                <w:rFonts w:hint="eastAsia"/>
              </w:rPr>
            </w:pPr>
            <w:r>
              <w:rPr>
                <w:sz w:val="20"/>
              </w:rPr>
              <w:t>50000–800000 m²</w:t>
            </w:r>
          </w:p>
        </w:tc>
        <w:tc>
          <w:tcPr>
            <w:tcW w:w="1984" w:type="dxa"/>
          </w:tcPr>
          <w:p w14:paraId="758441BC" w14:textId="77777777" w:rsidR="000D05E4" w:rsidRDefault="00000000">
            <w:pPr>
              <w:jc w:val="center"/>
              <w:rPr>
                <w:rFonts w:hint="eastAsia"/>
                <w:lang w:eastAsia="zh-CN"/>
              </w:rPr>
            </w:pPr>
            <w:r>
              <w:rPr>
                <w:sz w:val="20"/>
                <w:lang w:eastAsia="zh-CN"/>
              </w:rPr>
              <w:t>断面积分+RLS在线辨识</w:t>
            </w:r>
          </w:p>
        </w:tc>
      </w:tr>
      <w:tr w:rsidR="000D05E4" w14:paraId="3DA672D0" w14:textId="77777777">
        <w:trPr>
          <w:jc w:val="center"/>
        </w:trPr>
        <w:tc>
          <w:tcPr>
            <w:tcW w:w="1701" w:type="dxa"/>
          </w:tcPr>
          <w:p w14:paraId="79749314" w14:textId="77777777" w:rsidR="000D05E4" w:rsidRDefault="00000000">
            <w:pPr>
              <w:jc w:val="center"/>
              <w:rPr>
                <w:rFonts w:hint="eastAsia"/>
              </w:rPr>
            </w:pPr>
            <w:proofErr w:type="spellStart"/>
            <w:r>
              <w:rPr>
                <w:sz w:val="20"/>
              </w:rPr>
              <w:t>零点时间常数τ_z</w:t>
            </w:r>
            <w:proofErr w:type="spellEnd"/>
          </w:p>
        </w:tc>
        <w:tc>
          <w:tcPr>
            <w:tcW w:w="1984" w:type="dxa"/>
          </w:tcPr>
          <w:p w14:paraId="083B6B44" w14:textId="77777777" w:rsidR="000D05E4" w:rsidRDefault="00000000">
            <w:pPr>
              <w:jc w:val="center"/>
              <w:rPr>
                <w:rFonts w:hint="eastAsia"/>
              </w:rPr>
            </w:pPr>
            <w:r>
              <w:rPr>
                <w:sz w:val="20"/>
              </w:rPr>
              <w:t>回水效应强度</w:t>
            </w:r>
          </w:p>
        </w:tc>
        <w:tc>
          <w:tcPr>
            <w:tcW w:w="1984" w:type="dxa"/>
          </w:tcPr>
          <w:p w14:paraId="6A8ED310" w14:textId="77777777" w:rsidR="000D05E4" w:rsidRDefault="00000000">
            <w:pPr>
              <w:jc w:val="center"/>
              <w:rPr>
                <w:rFonts w:hint="eastAsia"/>
              </w:rPr>
            </w:pPr>
            <w:r>
              <w:rPr>
                <w:sz w:val="20"/>
              </w:rPr>
              <w:t>5–80 min</w:t>
            </w:r>
          </w:p>
        </w:tc>
        <w:tc>
          <w:tcPr>
            <w:tcW w:w="1984" w:type="dxa"/>
          </w:tcPr>
          <w:p w14:paraId="0443F1F8" w14:textId="77777777" w:rsidR="000D05E4" w:rsidRDefault="00000000">
            <w:pPr>
              <w:jc w:val="center"/>
              <w:rPr>
                <w:rFonts w:hint="eastAsia"/>
              </w:rPr>
            </w:pPr>
            <w:r>
              <w:rPr>
                <w:sz w:val="20"/>
              </w:rPr>
              <w:t>仅RLS在线辨识</w:t>
            </w:r>
          </w:p>
        </w:tc>
      </w:tr>
      <w:tr w:rsidR="000D05E4" w14:paraId="43DC95E1" w14:textId="77777777">
        <w:trPr>
          <w:jc w:val="center"/>
        </w:trPr>
        <w:tc>
          <w:tcPr>
            <w:tcW w:w="1701" w:type="dxa"/>
          </w:tcPr>
          <w:p w14:paraId="358F667C" w14:textId="77777777" w:rsidR="000D05E4" w:rsidRDefault="00000000">
            <w:pPr>
              <w:jc w:val="center"/>
              <w:rPr>
                <w:rFonts w:hint="eastAsia"/>
              </w:rPr>
            </w:pPr>
            <w:r>
              <w:rPr>
                <w:sz w:val="20"/>
              </w:rPr>
              <w:t>控制周期Δt</w:t>
            </w:r>
          </w:p>
        </w:tc>
        <w:tc>
          <w:tcPr>
            <w:tcW w:w="1984" w:type="dxa"/>
          </w:tcPr>
          <w:p w14:paraId="595B837A" w14:textId="77777777" w:rsidR="000D05E4" w:rsidRDefault="00000000">
            <w:pPr>
              <w:jc w:val="center"/>
              <w:rPr>
                <w:rFonts w:hint="eastAsia"/>
              </w:rPr>
            </w:pPr>
            <w:r>
              <w:rPr>
                <w:sz w:val="20"/>
              </w:rPr>
              <w:t>MPC采样间隔</w:t>
            </w:r>
          </w:p>
        </w:tc>
        <w:tc>
          <w:tcPr>
            <w:tcW w:w="1984" w:type="dxa"/>
          </w:tcPr>
          <w:p w14:paraId="26CFD6C2" w14:textId="77777777" w:rsidR="000D05E4" w:rsidRDefault="00000000">
            <w:pPr>
              <w:jc w:val="center"/>
              <w:rPr>
                <w:rFonts w:hint="eastAsia"/>
              </w:rPr>
            </w:pPr>
            <w:r>
              <w:rPr>
                <w:sz w:val="20"/>
              </w:rPr>
              <w:t>5–15 min</w:t>
            </w:r>
          </w:p>
        </w:tc>
        <w:tc>
          <w:tcPr>
            <w:tcW w:w="1984" w:type="dxa"/>
          </w:tcPr>
          <w:p w14:paraId="0E6E987C" w14:textId="77777777" w:rsidR="000D05E4" w:rsidRDefault="00000000">
            <w:pPr>
              <w:jc w:val="center"/>
              <w:rPr>
                <w:rFonts w:hint="eastAsia"/>
              </w:rPr>
            </w:pPr>
            <w:r>
              <w:rPr>
                <w:sz w:val="20"/>
              </w:rPr>
              <w:t>根据τ选取</w:t>
            </w:r>
          </w:p>
        </w:tc>
      </w:tr>
    </w:tbl>
    <w:p w14:paraId="006EA17F" w14:textId="77777777" w:rsidR="000D05E4" w:rsidRDefault="00000000">
      <w:pPr>
        <w:spacing w:before="40" w:after="160"/>
        <w:jc w:val="center"/>
        <w:rPr>
          <w:rFonts w:hint="eastAsia"/>
          <w:lang w:eastAsia="zh-CN"/>
        </w:rPr>
      </w:pPr>
      <w:r>
        <w:rPr>
          <w:b/>
          <w:sz w:val="20"/>
          <w:lang w:eastAsia="zh-CN"/>
        </w:rPr>
        <w:t>表5-1  IDZ模型关键参数及南水北调中线典型值</w:t>
      </w:r>
    </w:p>
    <w:p w14:paraId="2F3646ED" w14:textId="77777777" w:rsidR="000D05E4" w:rsidRDefault="00000000">
      <w:pPr>
        <w:ind w:firstLine="482"/>
        <w:rPr>
          <w:rFonts w:hint="eastAsia"/>
          <w:lang w:eastAsia="zh-CN"/>
        </w:rPr>
      </w:pPr>
      <w:r>
        <w:rPr>
          <w:lang w:eastAsia="zh-CN"/>
        </w:rPr>
        <w:t>对于南水北调中线全线63个渠池的串联状态空间模型，状态维度为63，控制输入维度为64（64座节制闸），可测扰动维度为97（97座分水口门）。相比Saint-</w:t>
      </w:r>
      <w:proofErr w:type="spellStart"/>
      <w:r>
        <w:rPr>
          <w:lang w:eastAsia="zh-CN"/>
        </w:rPr>
        <w:t>Venant</w:t>
      </w:r>
      <w:proofErr w:type="spellEnd"/>
      <w:r>
        <w:rPr>
          <w:lang w:eastAsia="zh-CN"/>
        </w:rPr>
        <w:t>方程的数千维，降低了两个数量级，MPC优化问题在标准PC上的求解时间从</w:t>
      </w:r>
      <w:proofErr w:type="gramStart"/>
      <w:r>
        <w:rPr>
          <w:lang w:eastAsia="zh-CN"/>
        </w:rPr>
        <w:t>分钟级</w:t>
      </w:r>
      <w:proofErr w:type="gramEnd"/>
      <w:r>
        <w:rPr>
          <w:lang w:eastAsia="zh-CN"/>
        </w:rPr>
        <w:t>降至秒级，完全满足在线控制需求[2]。</w:t>
      </w:r>
    </w:p>
    <w:p w14:paraId="504BB802" w14:textId="77777777" w:rsidR="000D05E4" w:rsidRDefault="00000000">
      <w:pPr>
        <w:spacing w:before="200" w:after="160"/>
        <w:rPr>
          <w:rFonts w:hint="eastAsia"/>
          <w:lang w:eastAsia="zh-CN"/>
        </w:rPr>
      </w:pPr>
      <w:r>
        <w:rPr>
          <w:b/>
          <w:lang w:eastAsia="zh-CN"/>
        </w:rPr>
        <w:t>5.4.4 数据驱动降阶方法：POD与PINN</w:t>
      </w:r>
    </w:p>
    <w:p w14:paraId="03DEF5C4" w14:textId="77777777" w:rsidR="000D05E4" w:rsidRDefault="00000000">
      <w:pPr>
        <w:ind w:firstLine="482"/>
        <w:rPr>
          <w:rFonts w:hint="eastAsia"/>
          <w:lang w:eastAsia="zh-CN"/>
        </w:rPr>
      </w:pPr>
      <w:r>
        <w:rPr>
          <w:lang w:eastAsia="zh-CN"/>
        </w:rPr>
        <w:t>对于ID/IDZ模型难以准确描述的复杂工况（如大流量变化时的强非线性、多个倒虹吸的耦合效应），数据驱动降</w:t>
      </w:r>
      <w:proofErr w:type="gramStart"/>
      <w:r>
        <w:rPr>
          <w:lang w:eastAsia="zh-CN"/>
        </w:rPr>
        <w:t>阶方法</w:t>
      </w:r>
      <w:proofErr w:type="gramEnd"/>
      <w:r>
        <w:rPr>
          <w:lang w:eastAsia="zh-CN"/>
        </w:rPr>
        <w:t>提供了有力的补充[27]。</w:t>
      </w:r>
    </w:p>
    <w:p w14:paraId="1B871182" w14:textId="77777777" w:rsidR="000D05E4" w:rsidRDefault="00000000">
      <w:pPr>
        <w:ind w:firstLine="482"/>
        <w:rPr>
          <w:rFonts w:hint="eastAsia"/>
          <w:lang w:eastAsia="zh-CN"/>
        </w:rPr>
      </w:pPr>
      <w:r>
        <w:rPr>
          <w:lang w:eastAsia="zh-CN"/>
        </w:rPr>
        <w:t>本征正交分解（Proper Orthogonal Decomposition, POD）方法的基本思想是：从高保真模型的仿真数据中提取最具代表性的空间模态，将原始PDE系统的</w:t>
      </w:r>
      <w:proofErr w:type="gramStart"/>
      <w:r>
        <w:rPr>
          <w:lang w:eastAsia="zh-CN"/>
        </w:rPr>
        <w:t>解表示</w:t>
      </w:r>
      <w:proofErr w:type="gramEnd"/>
      <w:r>
        <w:rPr>
          <w:lang w:eastAsia="zh-CN"/>
        </w:rPr>
        <w:t>为这些模态的线性组合。具体步骤为：首先运行高保真模型生成一组"快照"矩阵X∈R^(N×M)，</w:t>
      </w:r>
      <w:r>
        <w:rPr>
          <w:lang w:eastAsia="zh-CN"/>
        </w:rPr>
        <w:lastRenderedPageBreak/>
        <w:t>其中N为空间节点数，M为时间快照数；然后对X进行奇异值分解X=U</w:t>
      </w:r>
      <w:r>
        <w:t>Σ</w:t>
      </w:r>
      <w:r>
        <w:rPr>
          <w:lang w:eastAsia="zh-CN"/>
        </w:rPr>
        <w:t>Vᵀ，保留前r</w:t>
      </w:r>
      <w:proofErr w:type="gramStart"/>
      <w:r>
        <w:rPr>
          <w:lang w:eastAsia="zh-CN"/>
        </w:rPr>
        <w:t>个</w:t>
      </w:r>
      <w:proofErr w:type="gramEnd"/>
      <w:r>
        <w:rPr>
          <w:lang w:eastAsia="zh-CN"/>
        </w:rPr>
        <w:t>奇异向量（对应最大的r</w:t>
      </w:r>
      <w:proofErr w:type="gramStart"/>
      <w:r>
        <w:rPr>
          <w:lang w:eastAsia="zh-CN"/>
        </w:rPr>
        <w:t>个</w:t>
      </w:r>
      <w:proofErr w:type="gramEnd"/>
      <w:r>
        <w:rPr>
          <w:lang w:eastAsia="zh-CN"/>
        </w:rPr>
        <w:t>奇异值），得到降阶基</w:t>
      </w:r>
      <w:proofErr w:type="spellStart"/>
      <w:r>
        <w:rPr>
          <w:lang w:eastAsia="zh-CN"/>
        </w:rPr>
        <w:t>V_r∈R</w:t>
      </w:r>
      <w:proofErr w:type="spellEnd"/>
      <w:r>
        <w:rPr>
          <w:lang w:eastAsia="zh-CN"/>
        </w:rPr>
        <w:t>^(</w:t>
      </w:r>
      <w:proofErr w:type="spellStart"/>
      <w:r>
        <w:rPr>
          <w:lang w:eastAsia="zh-CN"/>
        </w:rPr>
        <w:t>N×r</w:t>
      </w:r>
      <w:proofErr w:type="spellEnd"/>
      <w:r>
        <w:rPr>
          <w:lang w:eastAsia="zh-CN"/>
        </w:rPr>
        <w:t>)；最后将原始方程投影到</w:t>
      </w:r>
      <w:proofErr w:type="spellStart"/>
      <w:r>
        <w:rPr>
          <w:lang w:eastAsia="zh-CN"/>
        </w:rPr>
        <w:t>V_r</w:t>
      </w:r>
      <w:proofErr w:type="spellEnd"/>
      <w:r>
        <w:rPr>
          <w:lang w:eastAsia="zh-CN"/>
        </w:rPr>
        <w:t>张成的子空间上，得到r维的ODE系统[27]。</w:t>
      </w:r>
    </w:p>
    <w:p w14:paraId="27B76FA3" w14:textId="77777777" w:rsidR="000D05E4" w:rsidRDefault="00000000">
      <w:pPr>
        <w:ind w:firstLine="482"/>
        <w:rPr>
          <w:rFonts w:hint="eastAsia"/>
          <w:lang w:eastAsia="zh-CN"/>
        </w:rPr>
      </w:pPr>
      <w:r>
        <w:rPr>
          <w:lang w:eastAsia="zh-CN"/>
        </w:rPr>
        <w:t>POD方法的降</w:t>
      </w:r>
      <w:proofErr w:type="gramStart"/>
      <w:r>
        <w:rPr>
          <w:lang w:eastAsia="zh-CN"/>
        </w:rPr>
        <w:t>阶效果</w:t>
      </w:r>
      <w:proofErr w:type="gramEnd"/>
      <w:r>
        <w:rPr>
          <w:lang w:eastAsia="zh-CN"/>
        </w:rPr>
        <w:t>取决于奇异值的衰减速率。对于南水北调中线的典型正常输水工况，前5–10个模态即可捕捉99%以上的能量（以奇异值的平方和衡量），降</w:t>
      </w:r>
      <w:proofErr w:type="gramStart"/>
      <w:r>
        <w:rPr>
          <w:lang w:eastAsia="zh-CN"/>
        </w:rPr>
        <w:t>阶效果</w:t>
      </w:r>
      <w:proofErr w:type="gramEnd"/>
      <w:r>
        <w:rPr>
          <w:lang w:eastAsia="zh-CN"/>
        </w:rPr>
        <w:t>显著。但对于包含闸门操作的暂态工况，所需</w:t>
      </w:r>
      <w:proofErr w:type="gramStart"/>
      <w:r>
        <w:rPr>
          <w:lang w:eastAsia="zh-CN"/>
        </w:rPr>
        <w:t>模态数</w:t>
      </w:r>
      <w:proofErr w:type="gramEnd"/>
      <w:r>
        <w:rPr>
          <w:lang w:eastAsia="zh-CN"/>
        </w:rPr>
        <w:t>可能增加到15–25个。POD降阶模型的局限性在于其本质上是线性方法，对于强非线性工况的外推能力有限。</w:t>
      </w:r>
    </w:p>
    <w:p w14:paraId="434277A9" w14:textId="77777777" w:rsidR="000D05E4" w:rsidRDefault="00000000">
      <w:pPr>
        <w:ind w:firstLine="482"/>
        <w:rPr>
          <w:rFonts w:hint="eastAsia"/>
          <w:lang w:eastAsia="zh-CN"/>
        </w:rPr>
      </w:pPr>
      <w:r>
        <w:rPr>
          <w:lang w:eastAsia="zh-CN"/>
        </w:rPr>
        <w:t>物理信息神经网络（Physics-Informed Neural Network, PINN）是近年来兴起的一种新型降</w:t>
      </w:r>
      <w:proofErr w:type="gramStart"/>
      <w:r>
        <w:rPr>
          <w:lang w:eastAsia="zh-CN"/>
        </w:rPr>
        <w:t>阶方法</w:t>
      </w:r>
      <w:proofErr w:type="gramEnd"/>
      <w:r>
        <w:rPr>
          <w:lang w:eastAsia="zh-CN"/>
        </w:rPr>
        <w:t>[6]。PINN将Saint-</w:t>
      </w:r>
      <w:proofErr w:type="spellStart"/>
      <w:r>
        <w:rPr>
          <w:lang w:eastAsia="zh-CN"/>
        </w:rPr>
        <w:t>Venant</w:t>
      </w:r>
      <w:proofErr w:type="spellEnd"/>
      <w:r>
        <w:rPr>
          <w:lang w:eastAsia="zh-CN"/>
        </w:rPr>
        <w:t>方程作为损失函数的</w:t>
      </w:r>
      <w:proofErr w:type="gramStart"/>
      <w:r>
        <w:rPr>
          <w:lang w:eastAsia="zh-CN"/>
        </w:rPr>
        <w:t>正则化项嵌入</w:t>
      </w:r>
      <w:proofErr w:type="gramEnd"/>
      <w:r>
        <w:rPr>
          <w:lang w:eastAsia="zh-CN"/>
        </w:rPr>
        <w:t>神经网络训练过程，使得网络输出在满足数据拟合的同时也尽可能满足物理方程。PINN相比纯数据驱动模型的优势在于：物理约束限制了解空间，即使训练数据有限也能获得物理上合理的结果；外推能力显著优于纯数据驱动方法。但PINN的训练效率和实时推理速度仍是当前研究的活跃方向[31]。</w:t>
      </w:r>
    </w:p>
    <w:p w14:paraId="67F5781E" w14:textId="77777777" w:rsidR="000D05E4" w:rsidRDefault="00000000">
      <w:pPr>
        <w:spacing w:before="280" w:after="200"/>
        <w:rPr>
          <w:rFonts w:hint="eastAsia"/>
          <w:lang w:eastAsia="zh-CN"/>
        </w:rPr>
      </w:pPr>
      <w:r>
        <w:rPr>
          <w:b/>
          <w:sz w:val="28"/>
          <w:lang w:eastAsia="zh-CN"/>
        </w:rPr>
        <w:t>5.5 全线水力模型的组装与验证</w:t>
      </w:r>
    </w:p>
    <w:p w14:paraId="4F0DFC0D" w14:textId="77777777" w:rsidR="000D05E4" w:rsidRDefault="00000000">
      <w:pPr>
        <w:spacing w:before="200" w:after="160"/>
        <w:rPr>
          <w:rFonts w:hint="eastAsia"/>
          <w:lang w:eastAsia="zh-CN"/>
        </w:rPr>
      </w:pPr>
      <w:r>
        <w:rPr>
          <w:b/>
          <w:lang w:eastAsia="zh-CN"/>
        </w:rPr>
        <w:t>5.5.1 模块化组装策略</w:t>
      </w:r>
    </w:p>
    <w:p w14:paraId="668B60CD" w14:textId="77777777" w:rsidR="000D05E4" w:rsidRDefault="00000000">
      <w:pPr>
        <w:ind w:firstLine="482"/>
        <w:rPr>
          <w:rFonts w:hint="eastAsia"/>
          <w:lang w:eastAsia="zh-CN"/>
        </w:rPr>
      </w:pPr>
      <w:r>
        <w:rPr>
          <w:lang w:eastAsia="zh-CN"/>
        </w:rPr>
        <w:t>南水北调中线全线水力模型由各渠段模型、闸门模型、倒虹吸模型和渡槽模型按照实际工程布局串联组装而成。模块化组装的核心原则是"接口标准化"——每个模块通过统一的接口协议（水位-流量对）与相邻模块交换信息[32]。</w:t>
      </w:r>
    </w:p>
    <w:p w14:paraId="0C0D8FC3" w14:textId="77777777" w:rsidR="000D05E4" w:rsidRDefault="00000000">
      <w:pPr>
        <w:ind w:firstLine="482"/>
        <w:rPr>
          <w:rFonts w:hint="eastAsia"/>
          <w:lang w:eastAsia="zh-CN"/>
        </w:rPr>
      </w:pPr>
      <w:r>
        <w:rPr>
          <w:lang w:eastAsia="zh-CN"/>
        </w:rPr>
        <w:t>组装过程遵循"自下而上、逐级集成、逐级验证"的策略。第一步，单渠池验证：对每个渠池的Saint-</w:t>
      </w:r>
      <w:proofErr w:type="spellStart"/>
      <w:r>
        <w:rPr>
          <w:lang w:eastAsia="zh-CN"/>
        </w:rPr>
        <w:t>Venant</w:t>
      </w:r>
      <w:proofErr w:type="spellEnd"/>
      <w:r>
        <w:rPr>
          <w:lang w:eastAsia="zh-CN"/>
        </w:rPr>
        <w:t>模型和IDZ降阶模型分别进行验证，确保稳态精度和动态响应精度满足要求。第二步，管理处级组装：将同一管理处辖区内的渠池串联，验证闸门调节的协调性和水量守恒。南水北调中线下设6–8个管理处，每个管理处</w:t>
      </w:r>
      <w:proofErr w:type="gramStart"/>
      <w:r>
        <w:rPr>
          <w:lang w:eastAsia="zh-CN"/>
        </w:rPr>
        <w:t>管辖约</w:t>
      </w:r>
      <w:proofErr w:type="gramEnd"/>
      <w:r>
        <w:rPr>
          <w:lang w:eastAsia="zh-CN"/>
        </w:rPr>
        <w:t>8–12个渠池。第三步，全线联合仿真：将所有管理处的模型串联，验证全线水力传输的一致性和端到端延迟[33]。</w:t>
      </w:r>
    </w:p>
    <w:p w14:paraId="7F50E5E8" w14:textId="77777777" w:rsidR="000D05E4" w:rsidRDefault="00000000">
      <w:pPr>
        <w:ind w:firstLine="482"/>
        <w:rPr>
          <w:rFonts w:hint="eastAsia"/>
          <w:lang w:eastAsia="zh-CN"/>
        </w:rPr>
      </w:pPr>
      <w:r>
        <w:rPr>
          <w:lang w:eastAsia="zh-CN"/>
        </w:rPr>
        <w:t>模块化组装面临的主要挑战是接口处的数值一致性。当相邻模块采用不同的空间步长</w:t>
      </w:r>
      <w:proofErr w:type="spellStart"/>
      <w:r>
        <w:t>Δ</w:t>
      </w:r>
      <w:r>
        <w:rPr>
          <w:lang w:eastAsia="zh-CN"/>
        </w:rPr>
        <w:t>x</w:t>
      </w:r>
      <w:proofErr w:type="spellEnd"/>
      <w:r>
        <w:rPr>
          <w:lang w:eastAsia="zh-CN"/>
        </w:rPr>
        <w:t>或时间步长</w:t>
      </w:r>
      <w:proofErr w:type="spellStart"/>
      <w:r>
        <w:t>Δ</w:t>
      </w:r>
      <w:r>
        <w:rPr>
          <w:lang w:eastAsia="zh-CN"/>
        </w:rPr>
        <w:t>t</w:t>
      </w:r>
      <w:proofErr w:type="spellEnd"/>
      <w:r>
        <w:rPr>
          <w:lang w:eastAsia="zh-CN"/>
        </w:rPr>
        <w:t>时，需要在接口处进行插值和同步。</w:t>
      </w:r>
      <w:proofErr w:type="spellStart"/>
      <w:r>
        <w:rPr>
          <w:lang w:eastAsia="zh-CN"/>
        </w:rPr>
        <w:t>OpenMI</w:t>
      </w:r>
      <w:proofErr w:type="spellEnd"/>
      <w:r>
        <w:rPr>
          <w:lang w:eastAsia="zh-CN"/>
        </w:rPr>
        <w:t>（Open Modelling Interface）标准提供了一套成熟的模型耦合框架，定义了时空插值、数据请求和迭代耦合的标准接口[34]。本研究建议采用</w:t>
      </w:r>
      <w:proofErr w:type="spellStart"/>
      <w:r>
        <w:rPr>
          <w:lang w:eastAsia="zh-CN"/>
        </w:rPr>
        <w:t>OpenMI</w:t>
      </w:r>
      <w:proofErr w:type="spellEnd"/>
      <w:r>
        <w:rPr>
          <w:lang w:eastAsia="zh-CN"/>
        </w:rPr>
        <w:t xml:space="preserve"> 2.0标准作为全线水力模型组装的技术规范，以确保不同来源、不同精度等级的模型模块能够无缝集成。</w:t>
      </w:r>
    </w:p>
    <w:p w14:paraId="5D90ECB7" w14:textId="77777777" w:rsidR="000D05E4" w:rsidRDefault="00000000">
      <w:pPr>
        <w:spacing w:before="200" w:after="160"/>
        <w:rPr>
          <w:rFonts w:hint="eastAsia"/>
          <w:lang w:eastAsia="zh-CN"/>
        </w:rPr>
      </w:pPr>
      <w:r>
        <w:rPr>
          <w:b/>
          <w:lang w:eastAsia="zh-CN"/>
        </w:rPr>
        <w:t>5.5.2 模型验证的三级体系</w:t>
      </w:r>
    </w:p>
    <w:p w14:paraId="1BD61701" w14:textId="77777777" w:rsidR="000D05E4" w:rsidRDefault="00000000">
      <w:pPr>
        <w:ind w:firstLine="482"/>
        <w:rPr>
          <w:rFonts w:hint="eastAsia"/>
          <w:lang w:eastAsia="zh-CN"/>
        </w:rPr>
      </w:pPr>
      <w:r>
        <w:rPr>
          <w:lang w:eastAsia="zh-CN"/>
        </w:rPr>
        <w:lastRenderedPageBreak/>
        <w:t>水力模型的验证是确保模型可信度的关键环节。参照国际水力学界的最佳实践[35]和ASME V&amp;V标准[36]，本研究建议建立三级验证体系。</w:t>
      </w:r>
    </w:p>
    <w:p w14:paraId="7F3D31C3" w14:textId="77777777" w:rsidR="000D05E4" w:rsidRDefault="00000000">
      <w:pPr>
        <w:ind w:firstLine="482"/>
        <w:rPr>
          <w:rFonts w:hint="eastAsia"/>
          <w:lang w:eastAsia="zh-CN"/>
        </w:rPr>
      </w:pPr>
      <w:r>
        <w:rPr>
          <w:lang w:eastAsia="zh-CN"/>
        </w:rPr>
        <w:t>第一级：代码验证（Code Verification）。目的是确认数值求解器正确实现了数学方程。方法包括：与已知解析解对比（如均匀流、闸门突开的Ritter解、阻尼波传播的解析解）；网格收敛性测试（通过逐步加密网格验证解的收敛阶数是否与理论预期一致）；质量守恒和动量守恒的全局检验。</w:t>
      </w:r>
    </w:p>
    <w:p w14:paraId="69AB1314" w14:textId="77777777" w:rsidR="000D05E4" w:rsidRDefault="00000000">
      <w:pPr>
        <w:ind w:firstLine="482"/>
        <w:rPr>
          <w:rFonts w:hint="eastAsia"/>
          <w:lang w:eastAsia="zh-CN"/>
        </w:rPr>
      </w:pPr>
      <w:r>
        <w:rPr>
          <w:lang w:eastAsia="zh-CN"/>
        </w:rPr>
        <w:t>第二级：模型校核（Model Calibration）。目的是调整模型参数使仿真结果与实测数据一致。对于南水北调中线，关键校核参数包括：Manning粗糙系数n（每段渠道独立校核）、闸门流量系数</w:t>
      </w:r>
      <w:proofErr w:type="spellStart"/>
      <w:r>
        <w:rPr>
          <w:lang w:eastAsia="zh-CN"/>
        </w:rPr>
        <w:t>C_d</w:t>
      </w:r>
      <w:proofErr w:type="spellEnd"/>
      <w:r>
        <w:rPr>
          <w:lang w:eastAsia="zh-CN"/>
        </w:rPr>
        <w:t>（每座闸门独立校核）、倒虹吸的局部损失系数</w:t>
      </w:r>
      <w:r>
        <w:t>ξ</w:t>
      </w:r>
      <w:r>
        <w:rPr>
          <w:lang w:eastAsia="zh-CN"/>
        </w:rPr>
        <w:t>（每座倒虹吸独立校核）。校核数据来源于日常运行的SCADA实测数据，建议至少使用一个完整水文年的数据，覆盖正常输水、闸门调节、分水变化和冰期运行等典型工况。</w:t>
      </w:r>
    </w:p>
    <w:p w14:paraId="6307CF3D" w14:textId="77777777" w:rsidR="000D05E4" w:rsidRDefault="00000000">
      <w:pPr>
        <w:ind w:firstLine="482"/>
        <w:rPr>
          <w:rFonts w:hint="eastAsia"/>
          <w:lang w:eastAsia="zh-CN"/>
        </w:rPr>
      </w:pPr>
      <w:r>
        <w:rPr>
          <w:lang w:eastAsia="zh-CN"/>
        </w:rPr>
        <w:t>第三级：模型验证（Model Validation）。目的是评估校核后的模型在独立数据集上的预测能力。验证数据</w:t>
      </w:r>
      <w:proofErr w:type="gramStart"/>
      <w:r>
        <w:rPr>
          <w:lang w:eastAsia="zh-CN"/>
        </w:rPr>
        <w:t>集必须</w:t>
      </w:r>
      <w:proofErr w:type="gramEnd"/>
      <w:r>
        <w:rPr>
          <w:lang w:eastAsia="zh-CN"/>
        </w:rPr>
        <w:t>与校核数据集在时间上不重叠。验证指标采用第5.6节定义的多维度精度指标体系。只有通过三级验证的模型才能用于在线闭环控制，未通过验证的模型只能用于离线分析和辅助决策[36]。</w:t>
      </w:r>
    </w:p>
    <w:tbl>
      <w:tblPr>
        <w:tblStyle w:val="aff1"/>
        <w:tblW w:w="0" w:type="auto"/>
        <w:jc w:val="center"/>
        <w:tblLook w:val="04A0" w:firstRow="1" w:lastRow="0" w:firstColumn="1" w:lastColumn="0" w:noHBand="0" w:noVBand="1"/>
      </w:tblPr>
      <w:tblGrid>
        <w:gridCol w:w="1417"/>
        <w:gridCol w:w="1701"/>
        <w:gridCol w:w="2268"/>
        <w:gridCol w:w="2268"/>
      </w:tblGrid>
      <w:tr w:rsidR="000D05E4" w14:paraId="4AA76D1A" w14:textId="77777777">
        <w:trPr>
          <w:jc w:val="center"/>
        </w:trPr>
        <w:tc>
          <w:tcPr>
            <w:tcW w:w="1417" w:type="dxa"/>
            <w:shd w:val="clear" w:color="auto" w:fill="D9E2F3"/>
          </w:tcPr>
          <w:p w14:paraId="3DA6435B" w14:textId="77777777" w:rsidR="000D05E4" w:rsidRDefault="00000000">
            <w:pPr>
              <w:jc w:val="center"/>
              <w:rPr>
                <w:rFonts w:hint="eastAsia"/>
              </w:rPr>
            </w:pPr>
            <w:proofErr w:type="spellStart"/>
            <w:r>
              <w:rPr>
                <w:b/>
                <w:sz w:val="20"/>
              </w:rPr>
              <w:t>验证级别</w:t>
            </w:r>
            <w:proofErr w:type="spellEnd"/>
          </w:p>
        </w:tc>
        <w:tc>
          <w:tcPr>
            <w:tcW w:w="1701" w:type="dxa"/>
            <w:shd w:val="clear" w:color="auto" w:fill="D9E2F3"/>
          </w:tcPr>
          <w:p w14:paraId="2E72DEFD" w14:textId="77777777" w:rsidR="000D05E4" w:rsidRDefault="00000000">
            <w:pPr>
              <w:jc w:val="center"/>
              <w:rPr>
                <w:rFonts w:hint="eastAsia"/>
              </w:rPr>
            </w:pPr>
            <w:r>
              <w:rPr>
                <w:b/>
                <w:sz w:val="20"/>
              </w:rPr>
              <w:t>目的</w:t>
            </w:r>
          </w:p>
        </w:tc>
        <w:tc>
          <w:tcPr>
            <w:tcW w:w="2268" w:type="dxa"/>
            <w:shd w:val="clear" w:color="auto" w:fill="D9E2F3"/>
          </w:tcPr>
          <w:p w14:paraId="07E15D17" w14:textId="77777777" w:rsidR="000D05E4" w:rsidRDefault="00000000">
            <w:pPr>
              <w:jc w:val="center"/>
              <w:rPr>
                <w:rFonts w:hint="eastAsia"/>
              </w:rPr>
            </w:pPr>
            <w:r>
              <w:rPr>
                <w:b/>
                <w:sz w:val="20"/>
              </w:rPr>
              <w:t>方法</w:t>
            </w:r>
          </w:p>
        </w:tc>
        <w:tc>
          <w:tcPr>
            <w:tcW w:w="2268" w:type="dxa"/>
            <w:shd w:val="clear" w:color="auto" w:fill="D9E2F3"/>
          </w:tcPr>
          <w:p w14:paraId="6BBCF247" w14:textId="77777777" w:rsidR="000D05E4" w:rsidRDefault="00000000">
            <w:pPr>
              <w:jc w:val="center"/>
              <w:rPr>
                <w:rFonts w:hint="eastAsia"/>
              </w:rPr>
            </w:pPr>
            <w:r>
              <w:rPr>
                <w:b/>
                <w:sz w:val="20"/>
              </w:rPr>
              <w:t>通过标准</w:t>
            </w:r>
          </w:p>
        </w:tc>
      </w:tr>
      <w:tr w:rsidR="000D05E4" w14:paraId="21B9D206" w14:textId="77777777">
        <w:trPr>
          <w:jc w:val="center"/>
        </w:trPr>
        <w:tc>
          <w:tcPr>
            <w:tcW w:w="1417" w:type="dxa"/>
          </w:tcPr>
          <w:p w14:paraId="14115A16" w14:textId="77777777" w:rsidR="000D05E4" w:rsidRDefault="00000000">
            <w:pPr>
              <w:jc w:val="center"/>
              <w:rPr>
                <w:rFonts w:hint="eastAsia"/>
              </w:rPr>
            </w:pPr>
            <w:r>
              <w:rPr>
                <w:sz w:val="20"/>
              </w:rPr>
              <w:t>代码验证</w:t>
            </w:r>
          </w:p>
        </w:tc>
        <w:tc>
          <w:tcPr>
            <w:tcW w:w="1701" w:type="dxa"/>
          </w:tcPr>
          <w:p w14:paraId="78B9B716" w14:textId="77777777" w:rsidR="000D05E4" w:rsidRDefault="00000000">
            <w:pPr>
              <w:jc w:val="center"/>
              <w:rPr>
                <w:rFonts w:hint="eastAsia"/>
              </w:rPr>
            </w:pPr>
            <w:r>
              <w:rPr>
                <w:sz w:val="20"/>
              </w:rPr>
              <w:t>确认数值实现正确</w:t>
            </w:r>
          </w:p>
        </w:tc>
        <w:tc>
          <w:tcPr>
            <w:tcW w:w="2268" w:type="dxa"/>
          </w:tcPr>
          <w:p w14:paraId="07B1B092" w14:textId="77777777" w:rsidR="000D05E4" w:rsidRDefault="00000000">
            <w:pPr>
              <w:jc w:val="center"/>
              <w:rPr>
                <w:rFonts w:hint="eastAsia"/>
              </w:rPr>
            </w:pPr>
            <w:r>
              <w:rPr>
                <w:sz w:val="20"/>
              </w:rPr>
              <w:t>解析解对比/网格收敛</w:t>
            </w:r>
          </w:p>
        </w:tc>
        <w:tc>
          <w:tcPr>
            <w:tcW w:w="2268" w:type="dxa"/>
          </w:tcPr>
          <w:p w14:paraId="46CF81F8" w14:textId="77777777" w:rsidR="000D05E4" w:rsidRDefault="00000000">
            <w:pPr>
              <w:jc w:val="center"/>
              <w:rPr>
                <w:rFonts w:hint="eastAsia"/>
              </w:rPr>
            </w:pPr>
            <w:r>
              <w:rPr>
                <w:sz w:val="20"/>
              </w:rPr>
              <w:t>收敛阶数与理论一致</w:t>
            </w:r>
          </w:p>
        </w:tc>
      </w:tr>
      <w:tr w:rsidR="000D05E4" w14:paraId="3E2187AB" w14:textId="77777777">
        <w:trPr>
          <w:jc w:val="center"/>
        </w:trPr>
        <w:tc>
          <w:tcPr>
            <w:tcW w:w="1417" w:type="dxa"/>
          </w:tcPr>
          <w:p w14:paraId="70BAFC3B" w14:textId="77777777" w:rsidR="000D05E4" w:rsidRDefault="00000000">
            <w:pPr>
              <w:jc w:val="center"/>
              <w:rPr>
                <w:rFonts w:hint="eastAsia"/>
              </w:rPr>
            </w:pPr>
            <w:r>
              <w:rPr>
                <w:sz w:val="20"/>
              </w:rPr>
              <w:t>模型校核</w:t>
            </w:r>
          </w:p>
        </w:tc>
        <w:tc>
          <w:tcPr>
            <w:tcW w:w="1701" w:type="dxa"/>
          </w:tcPr>
          <w:p w14:paraId="506B4B49" w14:textId="77777777" w:rsidR="000D05E4" w:rsidRDefault="00000000">
            <w:pPr>
              <w:jc w:val="center"/>
              <w:rPr>
                <w:rFonts w:hint="eastAsia"/>
              </w:rPr>
            </w:pPr>
            <w:r>
              <w:rPr>
                <w:sz w:val="20"/>
              </w:rPr>
              <w:t>参数拟合实测</w:t>
            </w:r>
          </w:p>
        </w:tc>
        <w:tc>
          <w:tcPr>
            <w:tcW w:w="2268" w:type="dxa"/>
          </w:tcPr>
          <w:p w14:paraId="3F340011" w14:textId="77777777" w:rsidR="000D05E4" w:rsidRDefault="00000000">
            <w:pPr>
              <w:jc w:val="center"/>
              <w:rPr>
                <w:rFonts w:hint="eastAsia"/>
              </w:rPr>
            </w:pPr>
            <w:r>
              <w:rPr>
                <w:sz w:val="20"/>
              </w:rPr>
              <w:t>SCADA数据/优化算法</w:t>
            </w:r>
          </w:p>
        </w:tc>
        <w:tc>
          <w:tcPr>
            <w:tcW w:w="2268" w:type="dxa"/>
          </w:tcPr>
          <w:p w14:paraId="48F37021" w14:textId="77777777" w:rsidR="000D05E4" w:rsidRDefault="00000000">
            <w:pPr>
              <w:jc w:val="center"/>
              <w:rPr>
                <w:rFonts w:hint="eastAsia"/>
              </w:rPr>
            </w:pPr>
            <w:r>
              <w:rPr>
                <w:sz w:val="20"/>
              </w:rPr>
              <w:t>RMSE≤0.05m, NSE≥0.85</w:t>
            </w:r>
          </w:p>
        </w:tc>
      </w:tr>
      <w:tr w:rsidR="000D05E4" w14:paraId="2686533B" w14:textId="77777777">
        <w:trPr>
          <w:jc w:val="center"/>
        </w:trPr>
        <w:tc>
          <w:tcPr>
            <w:tcW w:w="1417" w:type="dxa"/>
          </w:tcPr>
          <w:p w14:paraId="275E7141" w14:textId="77777777" w:rsidR="000D05E4" w:rsidRDefault="00000000">
            <w:pPr>
              <w:jc w:val="center"/>
              <w:rPr>
                <w:rFonts w:hint="eastAsia"/>
              </w:rPr>
            </w:pPr>
            <w:r>
              <w:rPr>
                <w:sz w:val="20"/>
              </w:rPr>
              <w:t>模型验证</w:t>
            </w:r>
          </w:p>
        </w:tc>
        <w:tc>
          <w:tcPr>
            <w:tcW w:w="1701" w:type="dxa"/>
          </w:tcPr>
          <w:p w14:paraId="6D2BA50D" w14:textId="77777777" w:rsidR="000D05E4" w:rsidRDefault="00000000">
            <w:pPr>
              <w:jc w:val="center"/>
              <w:rPr>
                <w:rFonts w:hint="eastAsia"/>
              </w:rPr>
            </w:pPr>
            <w:r>
              <w:rPr>
                <w:sz w:val="20"/>
              </w:rPr>
              <w:t>独立数据预测</w:t>
            </w:r>
          </w:p>
        </w:tc>
        <w:tc>
          <w:tcPr>
            <w:tcW w:w="2268" w:type="dxa"/>
          </w:tcPr>
          <w:p w14:paraId="3E67C6C7" w14:textId="77777777" w:rsidR="000D05E4" w:rsidRDefault="00000000">
            <w:pPr>
              <w:jc w:val="center"/>
              <w:rPr>
                <w:rFonts w:hint="eastAsia"/>
              </w:rPr>
            </w:pPr>
            <w:r>
              <w:rPr>
                <w:sz w:val="20"/>
              </w:rPr>
              <w:t>预留数据集交叉验证</w:t>
            </w:r>
          </w:p>
        </w:tc>
        <w:tc>
          <w:tcPr>
            <w:tcW w:w="2268" w:type="dxa"/>
          </w:tcPr>
          <w:p w14:paraId="2E419F3B" w14:textId="77777777" w:rsidR="000D05E4" w:rsidRDefault="00000000">
            <w:pPr>
              <w:jc w:val="center"/>
              <w:rPr>
                <w:rFonts w:hint="eastAsia"/>
              </w:rPr>
            </w:pPr>
            <w:r>
              <w:rPr>
                <w:sz w:val="20"/>
              </w:rPr>
              <w:t>RMSE≤0.08m, NSE≥0.80</w:t>
            </w:r>
          </w:p>
        </w:tc>
      </w:tr>
    </w:tbl>
    <w:p w14:paraId="0A33CC23" w14:textId="77777777" w:rsidR="000D05E4" w:rsidRDefault="00000000">
      <w:pPr>
        <w:spacing w:before="40" w:after="160"/>
        <w:jc w:val="center"/>
        <w:rPr>
          <w:rFonts w:hint="eastAsia"/>
          <w:lang w:eastAsia="zh-CN"/>
        </w:rPr>
      </w:pPr>
      <w:r>
        <w:rPr>
          <w:b/>
          <w:sz w:val="20"/>
          <w:lang w:eastAsia="zh-CN"/>
        </w:rPr>
        <w:t>表5-2  水力模型三级验证体系</w:t>
      </w:r>
    </w:p>
    <w:p w14:paraId="002B1C0E" w14:textId="77777777" w:rsidR="000D05E4" w:rsidRDefault="00000000">
      <w:pPr>
        <w:spacing w:before="280" w:after="200"/>
        <w:rPr>
          <w:rFonts w:hint="eastAsia"/>
          <w:lang w:eastAsia="zh-CN"/>
        </w:rPr>
      </w:pPr>
      <w:r>
        <w:rPr>
          <w:b/>
          <w:sz w:val="28"/>
          <w:lang w:eastAsia="zh-CN"/>
        </w:rPr>
        <w:t>5.6 模型管理与在线自适应</w:t>
      </w:r>
    </w:p>
    <w:p w14:paraId="10E0078D" w14:textId="77777777" w:rsidR="000D05E4" w:rsidRDefault="00000000">
      <w:pPr>
        <w:spacing w:before="200" w:after="160"/>
        <w:rPr>
          <w:rFonts w:hint="eastAsia"/>
          <w:lang w:eastAsia="zh-CN"/>
        </w:rPr>
      </w:pPr>
      <w:r>
        <w:rPr>
          <w:b/>
          <w:lang w:eastAsia="zh-CN"/>
        </w:rPr>
        <w:t>5.6.1 递推最小二乘在线辨识（RLS）</w:t>
      </w:r>
    </w:p>
    <w:p w14:paraId="7D8E641E" w14:textId="77777777" w:rsidR="000D05E4" w:rsidRDefault="00000000">
      <w:pPr>
        <w:ind w:firstLine="482"/>
        <w:rPr>
          <w:rFonts w:hint="eastAsia"/>
          <w:lang w:eastAsia="zh-CN"/>
        </w:rPr>
      </w:pPr>
      <w:r>
        <w:rPr>
          <w:lang w:eastAsia="zh-CN"/>
        </w:rPr>
        <w:t>ID/IDZ模型的关键参数（蓄水面积A_s、延迟时间</w:t>
      </w:r>
      <w:r>
        <w:t>τ</w:t>
      </w:r>
      <w:r>
        <w:rPr>
          <w:lang w:eastAsia="zh-CN"/>
        </w:rPr>
        <w:t>、零点时间常数</w:t>
      </w:r>
      <w:proofErr w:type="spellStart"/>
      <w:r>
        <w:t>τ</w:t>
      </w:r>
      <w:r>
        <w:rPr>
          <w:lang w:eastAsia="zh-CN"/>
        </w:rPr>
        <w:t>_z</w:t>
      </w:r>
      <w:proofErr w:type="spellEnd"/>
      <w:r>
        <w:rPr>
          <w:lang w:eastAsia="zh-CN"/>
        </w:rPr>
        <w:t>）会</w:t>
      </w:r>
      <w:proofErr w:type="gramStart"/>
      <w:r>
        <w:rPr>
          <w:lang w:eastAsia="zh-CN"/>
        </w:rPr>
        <w:t>随运行</w:t>
      </w:r>
      <w:proofErr w:type="gramEnd"/>
      <w:r>
        <w:rPr>
          <w:lang w:eastAsia="zh-CN"/>
        </w:rPr>
        <w:t>工况（流量、水位）变化而缓慢漂移。递推最小二乘（Recursive Least Squares, RLS）算法可在线持续更新这些参数，无需重新离线辨识[37]。RLS的递推公式为：</w:t>
      </w:r>
    </w:p>
    <w:p w14:paraId="5AA3CE6F" w14:textId="0CF39955" w:rsidR="000D05E4" w:rsidRDefault="00000000">
      <w:pPr>
        <w:spacing w:before="120" w:after="120"/>
        <w:jc w:val="center"/>
        <w:rPr>
          <w:rFonts w:hint="eastAsia"/>
          <w:lang w:eastAsia="zh-CN"/>
        </w:rPr>
      </w:pPr>
      <w:r>
        <w:t>θ</w:t>
      </w:r>
      <w:r>
        <w:rPr>
          <w:lang w:eastAsia="zh-CN"/>
        </w:rPr>
        <w:t>̂(k)=</w:t>
      </w:r>
      <w:r>
        <w:t>θ</w:t>
      </w:r>
      <w:r>
        <w:rPr>
          <w:lang w:eastAsia="zh-CN"/>
        </w:rPr>
        <w:t>̂(k−1)+L(k)[y(k)−</w:t>
      </w:r>
      <w:r>
        <w:t>φ</w:t>
      </w:r>
      <w:r>
        <w:rPr>
          <w:lang w:eastAsia="zh-CN"/>
        </w:rPr>
        <w:t>ᵀ(k)</w:t>
      </w:r>
      <w:r>
        <w:t>θ</w:t>
      </w:r>
      <w:r>
        <w:rPr>
          <w:lang w:eastAsia="zh-CN"/>
        </w:rPr>
        <w:t>̂(k−1)]    (式5-16)</w:t>
      </w:r>
    </w:p>
    <w:p w14:paraId="59336E2F" w14:textId="578820F4" w:rsidR="000D05E4" w:rsidRDefault="00000000">
      <w:pPr>
        <w:spacing w:before="120" w:after="120"/>
        <w:jc w:val="center"/>
        <w:rPr>
          <w:rFonts w:hint="eastAsia"/>
        </w:rPr>
      </w:pPr>
      <w:r>
        <w:t>L(k)=P(k−</w:t>
      </w:r>
      <w:proofErr w:type="gramStart"/>
      <w:r>
        <w:t>1)φ</w:t>
      </w:r>
      <w:proofErr w:type="gramEnd"/>
      <w:r>
        <w:t>(k)/[</w:t>
      </w:r>
      <w:proofErr w:type="spellStart"/>
      <w:r>
        <w:t>λ+φ</w:t>
      </w:r>
      <w:proofErr w:type="spellEnd"/>
      <w:r>
        <w:t>ᵀ(k)P(k−</w:t>
      </w:r>
      <w:proofErr w:type="gramStart"/>
      <w:r>
        <w:t>1)φ</w:t>
      </w:r>
      <w:proofErr w:type="gramEnd"/>
      <w:r>
        <w:t>(k</w:t>
      </w:r>
      <w:proofErr w:type="gramStart"/>
      <w:r>
        <w:t xml:space="preserve">)]   </w:t>
      </w:r>
      <w:proofErr w:type="gramEnd"/>
      <w:r>
        <w:t xml:space="preserve"> (式5-17)</w:t>
      </w:r>
    </w:p>
    <w:p w14:paraId="2516F690" w14:textId="4A816101" w:rsidR="000D05E4" w:rsidRDefault="00000000">
      <w:pPr>
        <w:spacing w:before="120" w:after="120"/>
        <w:jc w:val="center"/>
        <w:rPr>
          <w:rFonts w:hint="eastAsia"/>
        </w:rPr>
      </w:pPr>
      <w:r>
        <w:lastRenderedPageBreak/>
        <w:t>P(k)=[P(k−</w:t>
      </w:r>
      <w:proofErr w:type="gramStart"/>
      <w:r>
        <w:t>1)−</w:t>
      </w:r>
      <w:proofErr w:type="gramEnd"/>
      <w:r>
        <w:t xml:space="preserve">L(k)φᵀ(k)P(k−1)]/λ </w:t>
      </w:r>
      <w:proofErr w:type="gramStart"/>
      <w:r>
        <w:t xml:space="preserve">   (</w:t>
      </w:r>
      <w:proofErr w:type="gramEnd"/>
      <w:r>
        <w:t>式5-18)</w:t>
      </w:r>
    </w:p>
    <w:p w14:paraId="7CFDC4F4" w14:textId="77777777" w:rsidR="000D05E4" w:rsidRDefault="00000000">
      <w:pPr>
        <w:ind w:firstLine="482"/>
        <w:rPr>
          <w:rFonts w:hint="eastAsia"/>
          <w:lang w:eastAsia="zh-CN"/>
        </w:rPr>
      </w:pPr>
      <w:r>
        <w:rPr>
          <w:lang w:eastAsia="zh-CN"/>
        </w:rPr>
        <w:t>式中：</w:t>
      </w:r>
      <w:r>
        <w:t>θ</w:t>
      </w:r>
      <w:r>
        <w:rPr>
          <w:lang w:eastAsia="zh-CN"/>
        </w:rPr>
        <w:t>̂(k)为第k步的参数估计向量；</w:t>
      </w:r>
      <w:r>
        <w:t>φ</w:t>
      </w:r>
      <w:r>
        <w:rPr>
          <w:lang w:eastAsia="zh-CN"/>
        </w:rPr>
        <w:t>(k)为回归向量（由输入输出历史数据构成）；L(k)为增益向量；P(k)为协方差矩阵；</w:t>
      </w:r>
      <w:r>
        <w:t>λ</w:t>
      </w:r>
      <w:r>
        <w:rPr>
          <w:lang w:eastAsia="zh-CN"/>
        </w:rPr>
        <w:t>为遗忘因子（0.95–0.99），用于赋予近期数据更大权重以跟踪参数时变[38]。</w:t>
      </w:r>
    </w:p>
    <w:p w14:paraId="2E79D242" w14:textId="77777777" w:rsidR="000D05E4" w:rsidRDefault="00000000">
      <w:pPr>
        <w:ind w:firstLine="482"/>
        <w:rPr>
          <w:rFonts w:hint="eastAsia"/>
          <w:lang w:eastAsia="zh-CN"/>
        </w:rPr>
      </w:pPr>
      <w:r>
        <w:rPr>
          <w:lang w:eastAsia="zh-CN"/>
        </w:rPr>
        <w:t>对于南水北调中线的典型渠池，建议设置</w:t>
      </w:r>
      <w:r>
        <w:t>λ</w:t>
      </w:r>
      <w:r>
        <w:rPr>
          <w:lang w:eastAsia="zh-CN"/>
        </w:rPr>
        <w:t>=0.98，辨识窗口为最近6–12小时的运行数据。</w:t>
      </w:r>
      <w:r w:rsidRPr="00CE11EF">
        <w:rPr>
          <w:b/>
          <w:bCs/>
          <w:lang w:eastAsia="zh-CN"/>
        </w:rPr>
        <w:t>当辨识参数变化超过设定阈值（如A_s变化&gt;10%）时，触发模型切换机制</w:t>
      </w:r>
      <w:r>
        <w:rPr>
          <w:lang w:eastAsia="zh-CN"/>
        </w:rPr>
        <w:t>：先用新参数在数字孪生环境中进行SIL验证，确认无异常后再切入实时控制回路。这一"先验证后上线"的机制确保了在线参数更新不会引入安全隐患。</w:t>
      </w:r>
    </w:p>
    <w:p w14:paraId="1283ED25" w14:textId="77777777" w:rsidR="000D05E4" w:rsidRDefault="00000000">
      <w:pPr>
        <w:spacing w:before="200" w:after="160"/>
        <w:rPr>
          <w:rFonts w:hint="eastAsia"/>
          <w:lang w:eastAsia="zh-CN"/>
        </w:rPr>
      </w:pPr>
      <w:r>
        <w:rPr>
          <w:b/>
          <w:lang w:eastAsia="zh-CN"/>
        </w:rPr>
        <w:t>5.6.2 多模型切换与融合</w:t>
      </w:r>
    </w:p>
    <w:p w14:paraId="6A2D5CA3" w14:textId="77777777" w:rsidR="000D05E4" w:rsidRDefault="00000000">
      <w:pPr>
        <w:ind w:firstLine="482"/>
        <w:rPr>
          <w:rFonts w:hint="eastAsia"/>
          <w:lang w:eastAsia="zh-CN"/>
        </w:rPr>
      </w:pPr>
      <w:r>
        <w:rPr>
          <w:lang w:eastAsia="zh-CN"/>
        </w:rPr>
        <w:t>在实际运行中，单一模型难以覆盖所有工况。多模型切换机制根据当前运行状态自动选择最合适的模型[39]。切换逻辑如下：正常输水工况（流量变化率&lt;5%/h）使用IDZ线性模型；大幅调流工况（流量变化率&gt;20%/h）切换到包含非线性修正的增强IDZ模型；冰期工况自动激活水力-热力耦合模型；事故工况（闸门故障、管道破裂）触发高保真Saint-</w:t>
      </w:r>
      <w:proofErr w:type="spellStart"/>
      <w:r>
        <w:rPr>
          <w:lang w:eastAsia="zh-CN"/>
        </w:rPr>
        <w:t>Venant</w:t>
      </w:r>
      <w:proofErr w:type="spellEnd"/>
      <w:r>
        <w:rPr>
          <w:lang w:eastAsia="zh-CN"/>
        </w:rPr>
        <w:t>模型进行精确仿真。</w:t>
      </w:r>
    </w:p>
    <w:p w14:paraId="6947BBE5" w14:textId="77777777" w:rsidR="000D05E4" w:rsidRDefault="00000000">
      <w:pPr>
        <w:ind w:firstLine="482"/>
        <w:rPr>
          <w:rFonts w:hint="eastAsia"/>
        </w:rPr>
      </w:pPr>
      <w:r>
        <w:rPr>
          <w:lang w:eastAsia="zh-CN"/>
        </w:rPr>
        <w:t>模型切换的关键技术难点是"无扰切换"——在不同模型之间切换时，模型输出不能出现</w:t>
      </w:r>
      <w:proofErr w:type="gramStart"/>
      <w:r>
        <w:rPr>
          <w:lang w:eastAsia="zh-CN"/>
        </w:rPr>
        <w:t>阶跃或</w:t>
      </w:r>
      <w:proofErr w:type="gramEnd"/>
      <w:r>
        <w:rPr>
          <w:lang w:eastAsia="zh-CN"/>
        </w:rPr>
        <w:t>振荡。本研究采用"加权融合"策略实现平滑过渡：在切换区间内，新旧模型的输出按照时间衰减的权重函数线性组合，过渡时间通常设置为2–5个控制周期（10–75min）。</w:t>
      </w:r>
      <w:proofErr w:type="spellStart"/>
      <w:r>
        <w:t>形式上</w:t>
      </w:r>
      <w:proofErr w:type="spellEnd"/>
      <w:r>
        <w:t>：</w:t>
      </w:r>
    </w:p>
    <w:p w14:paraId="00002280" w14:textId="50D15C51" w:rsidR="000D05E4" w:rsidRDefault="00000000">
      <w:pPr>
        <w:spacing w:before="120" w:after="120"/>
        <w:jc w:val="center"/>
        <w:rPr>
          <w:rFonts w:hint="eastAsia"/>
        </w:rPr>
      </w:pPr>
      <w:proofErr w:type="spellStart"/>
      <w:r>
        <w:t>y_blend</w:t>
      </w:r>
      <w:proofErr w:type="spellEnd"/>
      <w:r>
        <w:t>(k)=α(</w:t>
      </w:r>
      <w:proofErr w:type="gramStart"/>
      <w:r>
        <w:t>k)·</w:t>
      </w:r>
      <w:proofErr w:type="spellStart"/>
      <w:proofErr w:type="gramEnd"/>
      <w:r>
        <w:t>y_new</w:t>
      </w:r>
      <w:proofErr w:type="spellEnd"/>
      <w:r>
        <w:t>(k)+(1−α(k</w:t>
      </w:r>
      <w:proofErr w:type="gramStart"/>
      <w:r>
        <w:t>))·</w:t>
      </w:r>
      <w:proofErr w:type="spellStart"/>
      <w:proofErr w:type="gramEnd"/>
      <w:r>
        <w:t>y_old</w:t>
      </w:r>
      <w:proofErr w:type="spellEnd"/>
      <w:r>
        <w:t>(</w:t>
      </w:r>
      <w:proofErr w:type="gramStart"/>
      <w:r>
        <w:t xml:space="preserve">k)   </w:t>
      </w:r>
      <w:proofErr w:type="gramEnd"/>
      <w:r>
        <w:t xml:space="preserve"> (式5-19)</w:t>
      </w:r>
    </w:p>
    <w:p w14:paraId="203847F7" w14:textId="77777777" w:rsidR="000D05E4" w:rsidRDefault="00000000">
      <w:pPr>
        <w:ind w:firstLine="482"/>
        <w:rPr>
          <w:rFonts w:hint="eastAsia"/>
          <w:lang w:eastAsia="zh-CN"/>
        </w:rPr>
      </w:pPr>
      <w:r>
        <w:rPr>
          <w:lang w:eastAsia="zh-CN"/>
        </w:rPr>
        <w:t>式中：</w:t>
      </w:r>
      <w:r>
        <w:t>α</w:t>
      </w:r>
      <w:r>
        <w:rPr>
          <w:lang w:eastAsia="zh-CN"/>
        </w:rPr>
        <w:t>(k)为融合权重，从0线性增至1。同时引入</w:t>
      </w:r>
      <w:proofErr w:type="spellStart"/>
      <w:r>
        <w:rPr>
          <w:lang w:eastAsia="zh-CN"/>
        </w:rPr>
        <w:t>Bumpless</w:t>
      </w:r>
      <w:proofErr w:type="spellEnd"/>
      <w:r>
        <w:rPr>
          <w:lang w:eastAsia="zh-CN"/>
        </w:rPr>
        <w:t xml:space="preserve"> Transfer机制，确保新模型的初始状态与旧模型的当前状态一致[40]。</w:t>
      </w:r>
    </w:p>
    <w:p w14:paraId="2A2DA2CE" w14:textId="77777777" w:rsidR="000D05E4" w:rsidRDefault="00000000">
      <w:pPr>
        <w:spacing w:before="200" w:after="160"/>
        <w:rPr>
          <w:rFonts w:hint="eastAsia"/>
          <w:lang w:eastAsia="zh-CN"/>
        </w:rPr>
      </w:pPr>
      <w:r>
        <w:rPr>
          <w:b/>
          <w:lang w:eastAsia="zh-CN"/>
        </w:rPr>
        <w:t>5.6.3 模型精度校核指标体系</w:t>
      </w:r>
    </w:p>
    <w:p w14:paraId="33CB7275" w14:textId="77777777" w:rsidR="000D05E4" w:rsidRDefault="00000000">
      <w:pPr>
        <w:ind w:firstLine="482"/>
        <w:rPr>
          <w:rFonts w:hint="eastAsia"/>
          <w:lang w:eastAsia="zh-CN"/>
        </w:rPr>
      </w:pPr>
      <w:r>
        <w:rPr>
          <w:lang w:eastAsia="zh-CN"/>
        </w:rPr>
        <w:t>模型精度校核采用多维度指标体系，涵盖稳态精度、动态精度和鲁棒性三个维度[35]。</w:t>
      </w:r>
    </w:p>
    <w:p w14:paraId="1EF2C022" w14:textId="77777777" w:rsidR="000D05E4" w:rsidRDefault="00000000">
      <w:pPr>
        <w:ind w:firstLine="482"/>
        <w:rPr>
          <w:rFonts w:hint="eastAsia"/>
        </w:rPr>
      </w:pPr>
      <w:proofErr w:type="spellStart"/>
      <w:r>
        <w:t>稳态精度指标</w:t>
      </w:r>
      <w:proofErr w:type="spellEnd"/>
      <w:r>
        <w:t>：</w:t>
      </w:r>
    </w:p>
    <w:p w14:paraId="61C192B8" w14:textId="47631CB4" w:rsidR="000D05E4" w:rsidRDefault="00000000">
      <w:pPr>
        <w:spacing w:before="120" w:after="120"/>
        <w:jc w:val="center"/>
        <w:rPr>
          <w:rFonts w:hint="eastAsia"/>
        </w:rPr>
      </w:pPr>
      <w:r>
        <w:t>RMSE=√[Σ(</w:t>
      </w:r>
      <w:proofErr w:type="spellStart"/>
      <w:r>
        <w:t>y_mod</w:t>
      </w:r>
      <w:proofErr w:type="spellEnd"/>
      <w:r>
        <w:t>(k)−</w:t>
      </w:r>
      <w:proofErr w:type="spellStart"/>
      <w:r>
        <w:t>y_obs</w:t>
      </w:r>
      <w:proofErr w:type="spellEnd"/>
      <w:r>
        <w:t>(k</w:t>
      </w:r>
      <w:proofErr w:type="gramStart"/>
      <w:r>
        <w:t>))²</w:t>
      </w:r>
      <w:proofErr w:type="gramEnd"/>
      <w:r>
        <w:t>/</w:t>
      </w:r>
      <w:proofErr w:type="gramStart"/>
      <w:r>
        <w:t xml:space="preserve">N]   </w:t>
      </w:r>
      <w:proofErr w:type="gramEnd"/>
      <w:r>
        <w:t xml:space="preserve"> (式5-20)</w:t>
      </w:r>
    </w:p>
    <w:p w14:paraId="5A2689CA" w14:textId="0B9CBF3A" w:rsidR="000D05E4" w:rsidRDefault="00000000">
      <w:pPr>
        <w:spacing w:before="120" w:after="120"/>
        <w:jc w:val="center"/>
        <w:rPr>
          <w:rFonts w:hint="eastAsia"/>
        </w:rPr>
      </w:pPr>
      <w:r>
        <w:t>NSE=1−Σ(</w:t>
      </w:r>
      <w:proofErr w:type="spellStart"/>
      <w:r>
        <w:t>y_mod−y_</w:t>
      </w:r>
      <w:proofErr w:type="gramStart"/>
      <w:r>
        <w:t>obs</w:t>
      </w:r>
      <w:proofErr w:type="spellEnd"/>
      <w:r>
        <w:t>)²</w:t>
      </w:r>
      <w:proofErr w:type="gramEnd"/>
      <w:r>
        <w:t>/Σ(</w:t>
      </w:r>
      <w:proofErr w:type="spellStart"/>
      <w:r>
        <w:t>y_obs−ȳ_</w:t>
      </w:r>
      <w:proofErr w:type="gramStart"/>
      <w:r>
        <w:t>obs</w:t>
      </w:r>
      <w:proofErr w:type="spellEnd"/>
      <w:r>
        <w:t>)²</w:t>
      </w:r>
      <w:proofErr w:type="gramEnd"/>
      <w:r>
        <w:t xml:space="preserve"> </w:t>
      </w:r>
      <w:proofErr w:type="gramStart"/>
      <w:r>
        <w:t xml:space="preserve">   (</w:t>
      </w:r>
      <w:proofErr w:type="gramEnd"/>
      <w:r>
        <w:t>式5-21)</w:t>
      </w:r>
    </w:p>
    <w:p w14:paraId="1380E845" w14:textId="77777777" w:rsidR="000D05E4" w:rsidRDefault="00000000">
      <w:pPr>
        <w:ind w:firstLine="482"/>
        <w:rPr>
          <w:rFonts w:hint="eastAsia"/>
        </w:rPr>
      </w:pPr>
      <w:r>
        <w:t>式中：RMSE为均方根误差；NSE为Nash-Sutcliffe效率系数（NSE=1表示完美匹配，NSE&gt;0.7为良好，NSE&lt;0.5为不可接受）。对于控制导向模型，要求RMSE≤0.05m（水位）或≤2%Q_max（流量），NSE≥0.85。</w:t>
      </w:r>
    </w:p>
    <w:p w14:paraId="535B6965" w14:textId="77777777" w:rsidR="000D05E4" w:rsidRDefault="00000000">
      <w:pPr>
        <w:ind w:firstLine="482"/>
        <w:rPr>
          <w:rFonts w:hint="eastAsia"/>
          <w:lang w:eastAsia="zh-CN"/>
        </w:rPr>
      </w:pPr>
      <w:r>
        <w:rPr>
          <w:lang w:eastAsia="zh-CN"/>
        </w:rPr>
        <w:lastRenderedPageBreak/>
        <w:t>动态精度指标采用FIT指标衡量动态响应的吻合度：</w:t>
      </w:r>
    </w:p>
    <w:p w14:paraId="74E728B8" w14:textId="46DD9B53" w:rsidR="000D05E4" w:rsidRDefault="00000000">
      <w:pPr>
        <w:spacing w:before="120" w:after="120"/>
        <w:jc w:val="center"/>
        <w:rPr>
          <w:rFonts w:hint="eastAsia"/>
        </w:rPr>
      </w:pPr>
      <w:r>
        <w:t>FIT=100×(1−||</w:t>
      </w:r>
      <w:proofErr w:type="spellStart"/>
      <w:r>
        <w:t>y_mod−y_obs</w:t>
      </w:r>
      <w:proofErr w:type="spellEnd"/>
      <w:r>
        <w:t>||₂/||</w:t>
      </w:r>
      <w:proofErr w:type="spellStart"/>
      <w:r>
        <w:t>y_obs−ȳ_obs</w:t>
      </w:r>
      <w:proofErr w:type="spellEnd"/>
      <w:r>
        <w:t xml:space="preserve">||₂) % </w:t>
      </w:r>
      <w:proofErr w:type="gramStart"/>
      <w:r>
        <w:t xml:space="preserve">   (</w:t>
      </w:r>
      <w:proofErr w:type="gramEnd"/>
      <w:r>
        <w:t>式5-22)</w:t>
      </w:r>
    </w:p>
    <w:p w14:paraId="631223A9" w14:textId="30238EE4" w:rsidR="000D05E4" w:rsidRDefault="00000000">
      <w:pPr>
        <w:ind w:firstLine="482"/>
        <w:rPr>
          <w:rFonts w:hint="eastAsia"/>
          <w:lang w:eastAsia="zh-CN"/>
        </w:rPr>
      </w:pPr>
      <w:r>
        <w:rPr>
          <w:lang w:eastAsia="zh-CN"/>
        </w:rPr>
        <w:t>当FIT&lt;70%时，模型需要重新辨识参数；当FIT&lt;50%时，可能需要切换到更高保真度的模型。此外引入相位误差指标</w:t>
      </w:r>
      <w:proofErr w:type="spellStart"/>
      <w:r>
        <w:t>Δφ</w:t>
      </w:r>
      <w:proofErr w:type="spellEnd"/>
      <w:r>
        <w:rPr>
          <w:lang w:eastAsia="zh-CN"/>
        </w:rPr>
        <w:t>衡量延迟时间的辨识精度：要求|</w:t>
      </w:r>
      <w:proofErr w:type="spellStart"/>
      <w:r>
        <w:t>Δφ</w:t>
      </w:r>
      <w:proofErr w:type="spellEnd"/>
      <w:r>
        <w:rPr>
          <w:lang w:eastAsia="zh-CN"/>
        </w:rPr>
        <w:t>|&lt;0.5</w:t>
      </w:r>
      <w:r>
        <w:t>Δ</w:t>
      </w:r>
      <w:r>
        <w:rPr>
          <w:lang w:eastAsia="zh-CN"/>
        </w:rPr>
        <w:t>t（即延迟时间误差不超过半个控制周期），否则MPC控制器的预测精度将受到严重影响[41]。</w:t>
      </w:r>
    </w:p>
    <w:p w14:paraId="49EEFE4F" w14:textId="77777777" w:rsidR="000D05E4" w:rsidRDefault="00000000">
      <w:pPr>
        <w:ind w:firstLine="482"/>
        <w:rPr>
          <w:rFonts w:hint="eastAsia"/>
          <w:lang w:eastAsia="zh-CN"/>
        </w:rPr>
      </w:pPr>
      <w:r>
        <w:rPr>
          <w:lang w:eastAsia="zh-CN"/>
        </w:rPr>
        <w:t>鲁棒性指标评估模型在不同工况下的适应能力。具体方法是：将全年运行数据按工况类型分类（正常输水、闸门调节、分水变化、冰期等），分别计算各工况下的RMSE和NSE，要求每种工况的NSE均不低于0.80。如果某一工况的NSE显著低于其他工况，说明模型在该工况下的适应性不足，需要针对性地增强。</w:t>
      </w:r>
    </w:p>
    <w:p w14:paraId="709EF676" w14:textId="77777777" w:rsidR="000D05E4" w:rsidRDefault="00000000">
      <w:pPr>
        <w:ind w:firstLine="482"/>
        <w:rPr>
          <w:rFonts w:hint="eastAsia"/>
          <w:lang w:eastAsia="zh-CN"/>
        </w:rPr>
      </w:pPr>
      <w:r>
        <w:rPr>
          <w:lang w:eastAsia="zh-CN"/>
        </w:rPr>
        <w:t>上述校核指标每个控制周期自动计算，并记入数字线程的模型日志中，为事后审计提供依据。当指标连续3个控制周期低于阈值时，自动触发RLS参数重辨识；当连续12个控制周期仍无法恢复时，发出人工介入告警。这套"自动监测→自动修复→人工兜底"的机制是模型管理的安全闭环[42]。</w:t>
      </w:r>
    </w:p>
    <w:tbl>
      <w:tblPr>
        <w:tblStyle w:val="aff1"/>
        <w:tblW w:w="0" w:type="auto"/>
        <w:jc w:val="center"/>
        <w:tblLook w:val="04A0" w:firstRow="1" w:lastRow="0" w:firstColumn="1" w:lastColumn="0" w:noHBand="0" w:noVBand="1"/>
      </w:tblPr>
      <w:tblGrid>
        <w:gridCol w:w="1417"/>
        <w:gridCol w:w="1417"/>
        <w:gridCol w:w="2268"/>
        <w:gridCol w:w="2268"/>
      </w:tblGrid>
      <w:tr w:rsidR="000D05E4" w14:paraId="3445980F" w14:textId="77777777">
        <w:trPr>
          <w:jc w:val="center"/>
        </w:trPr>
        <w:tc>
          <w:tcPr>
            <w:tcW w:w="1417" w:type="dxa"/>
            <w:shd w:val="clear" w:color="auto" w:fill="D9E2F3"/>
          </w:tcPr>
          <w:p w14:paraId="1D61FDF0" w14:textId="77777777" w:rsidR="000D05E4" w:rsidRDefault="00000000">
            <w:pPr>
              <w:jc w:val="center"/>
              <w:rPr>
                <w:rFonts w:hint="eastAsia"/>
              </w:rPr>
            </w:pPr>
            <w:proofErr w:type="spellStart"/>
            <w:r>
              <w:rPr>
                <w:b/>
                <w:sz w:val="20"/>
              </w:rPr>
              <w:t>指标</w:t>
            </w:r>
            <w:proofErr w:type="spellEnd"/>
          </w:p>
        </w:tc>
        <w:tc>
          <w:tcPr>
            <w:tcW w:w="1417" w:type="dxa"/>
            <w:shd w:val="clear" w:color="auto" w:fill="D9E2F3"/>
          </w:tcPr>
          <w:p w14:paraId="53579769" w14:textId="77777777" w:rsidR="000D05E4" w:rsidRDefault="00000000">
            <w:pPr>
              <w:jc w:val="center"/>
              <w:rPr>
                <w:rFonts w:hint="eastAsia"/>
              </w:rPr>
            </w:pPr>
            <w:r>
              <w:rPr>
                <w:b/>
                <w:sz w:val="20"/>
              </w:rPr>
              <w:t>计算公式</w:t>
            </w:r>
          </w:p>
        </w:tc>
        <w:tc>
          <w:tcPr>
            <w:tcW w:w="2268" w:type="dxa"/>
            <w:shd w:val="clear" w:color="auto" w:fill="D9E2F3"/>
          </w:tcPr>
          <w:p w14:paraId="62586BF6" w14:textId="77777777" w:rsidR="000D05E4" w:rsidRDefault="00000000">
            <w:pPr>
              <w:jc w:val="center"/>
              <w:rPr>
                <w:rFonts w:hint="eastAsia"/>
              </w:rPr>
            </w:pPr>
            <w:r>
              <w:rPr>
                <w:b/>
                <w:sz w:val="20"/>
              </w:rPr>
              <w:t>控制模型要求</w:t>
            </w:r>
          </w:p>
        </w:tc>
        <w:tc>
          <w:tcPr>
            <w:tcW w:w="2268" w:type="dxa"/>
            <w:shd w:val="clear" w:color="auto" w:fill="D9E2F3"/>
          </w:tcPr>
          <w:p w14:paraId="7532ADE1" w14:textId="77777777" w:rsidR="000D05E4" w:rsidRDefault="00000000">
            <w:pPr>
              <w:jc w:val="center"/>
              <w:rPr>
                <w:rFonts w:hint="eastAsia"/>
              </w:rPr>
            </w:pPr>
            <w:r>
              <w:rPr>
                <w:b/>
                <w:sz w:val="20"/>
              </w:rPr>
              <w:t>高保真模型要求</w:t>
            </w:r>
          </w:p>
        </w:tc>
      </w:tr>
      <w:tr w:rsidR="000D05E4" w14:paraId="54C38240" w14:textId="77777777">
        <w:trPr>
          <w:jc w:val="center"/>
        </w:trPr>
        <w:tc>
          <w:tcPr>
            <w:tcW w:w="1417" w:type="dxa"/>
          </w:tcPr>
          <w:p w14:paraId="6CE75316" w14:textId="77777777" w:rsidR="000D05E4" w:rsidRDefault="00000000">
            <w:pPr>
              <w:jc w:val="center"/>
              <w:rPr>
                <w:rFonts w:hint="eastAsia"/>
              </w:rPr>
            </w:pPr>
            <w:r>
              <w:rPr>
                <w:sz w:val="20"/>
              </w:rPr>
              <w:t>RMSE(水位)</w:t>
            </w:r>
          </w:p>
        </w:tc>
        <w:tc>
          <w:tcPr>
            <w:tcW w:w="1417" w:type="dxa"/>
          </w:tcPr>
          <w:p w14:paraId="016B5274" w14:textId="77777777" w:rsidR="000D05E4" w:rsidRDefault="00000000">
            <w:pPr>
              <w:jc w:val="center"/>
              <w:rPr>
                <w:rFonts w:hint="eastAsia"/>
              </w:rPr>
            </w:pPr>
            <w:r>
              <w:rPr>
                <w:sz w:val="20"/>
              </w:rPr>
              <w:t>式5-20</w:t>
            </w:r>
          </w:p>
        </w:tc>
        <w:tc>
          <w:tcPr>
            <w:tcW w:w="2268" w:type="dxa"/>
          </w:tcPr>
          <w:p w14:paraId="0D46EF81" w14:textId="77777777" w:rsidR="000D05E4" w:rsidRDefault="00000000">
            <w:pPr>
              <w:jc w:val="center"/>
              <w:rPr>
                <w:rFonts w:hint="eastAsia"/>
              </w:rPr>
            </w:pPr>
            <w:r>
              <w:rPr>
                <w:sz w:val="20"/>
              </w:rPr>
              <w:t>≤0.05 m</w:t>
            </w:r>
          </w:p>
        </w:tc>
        <w:tc>
          <w:tcPr>
            <w:tcW w:w="2268" w:type="dxa"/>
          </w:tcPr>
          <w:p w14:paraId="755EE6A7" w14:textId="77777777" w:rsidR="000D05E4" w:rsidRDefault="00000000">
            <w:pPr>
              <w:jc w:val="center"/>
              <w:rPr>
                <w:rFonts w:hint="eastAsia"/>
              </w:rPr>
            </w:pPr>
            <w:r>
              <w:rPr>
                <w:sz w:val="20"/>
              </w:rPr>
              <w:t>≤0.02 m</w:t>
            </w:r>
          </w:p>
        </w:tc>
      </w:tr>
      <w:tr w:rsidR="000D05E4" w14:paraId="08FFDC43" w14:textId="77777777">
        <w:trPr>
          <w:jc w:val="center"/>
        </w:trPr>
        <w:tc>
          <w:tcPr>
            <w:tcW w:w="1417" w:type="dxa"/>
          </w:tcPr>
          <w:p w14:paraId="6B68B0EE" w14:textId="77777777" w:rsidR="000D05E4" w:rsidRDefault="00000000">
            <w:pPr>
              <w:jc w:val="center"/>
              <w:rPr>
                <w:rFonts w:hint="eastAsia"/>
              </w:rPr>
            </w:pPr>
            <w:r>
              <w:rPr>
                <w:sz w:val="20"/>
              </w:rPr>
              <w:t>RMSE(流量)</w:t>
            </w:r>
          </w:p>
        </w:tc>
        <w:tc>
          <w:tcPr>
            <w:tcW w:w="1417" w:type="dxa"/>
          </w:tcPr>
          <w:p w14:paraId="2A5898F1" w14:textId="77777777" w:rsidR="000D05E4" w:rsidRDefault="00000000">
            <w:pPr>
              <w:jc w:val="center"/>
              <w:rPr>
                <w:rFonts w:hint="eastAsia"/>
              </w:rPr>
            </w:pPr>
            <w:r>
              <w:rPr>
                <w:sz w:val="20"/>
              </w:rPr>
              <w:t>式5-20</w:t>
            </w:r>
          </w:p>
        </w:tc>
        <w:tc>
          <w:tcPr>
            <w:tcW w:w="2268" w:type="dxa"/>
          </w:tcPr>
          <w:p w14:paraId="23F02068" w14:textId="77777777" w:rsidR="000D05E4" w:rsidRDefault="00000000">
            <w:pPr>
              <w:jc w:val="center"/>
              <w:rPr>
                <w:rFonts w:hint="eastAsia"/>
              </w:rPr>
            </w:pPr>
            <w:r>
              <w:rPr>
                <w:sz w:val="20"/>
              </w:rPr>
              <w:t>≤2% Q_max</w:t>
            </w:r>
          </w:p>
        </w:tc>
        <w:tc>
          <w:tcPr>
            <w:tcW w:w="2268" w:type="dxa"/>
          </w:tcPr>
          <w:p w14:paraId="4E17FADD" w14:textId="77777777" w:rsidR="000D05E4" w:rsidRDefault="00000000">
            <w:pPr>
              <w:jc w:val="center"/>
              <w:rPr>
                <w:rFonts w:hint="eastAsia"/>
              </w:rPr>
            </w:pPr>
            <w:r>
              <w:rPr>
                <w:sz w:val="20"/>
              </w:rPr>
              <w:t>≤1% Q_max</w:t>
            </w:r>
          </w:p>
        </w:tc>
      </w:tr>
      <w:tr w:rsidR="000D05E4" w14:paraId="7D0A93BA" w14:textId="77777777">
        <w:trPr>
          <w:jc w:val="center"/>
        </w:trPr>
        <w:tc>
          <w:tcPr>
            <w:tcW w:w="1417" w:type="dxa"/>
          </w:tcPr>
          <w:p w14:paraId="5AB1A000" w14:textId="77777777" w:rsidR="000D05E4" w:rsidRDefault="00000000">
            <w:pPr>
              <w:jc w:val="center"/>
              <w:rPr>
                <w:rFonts w:hint="eastAsia"/>
              </w:rPr>
            </w:pPr>
            <w:r>
              <w:rPr>
                <w:sz w:val="20"/>
              </w:rPr>
              <w:t>NSE</w:t>
            </w:r>
          </w:p>
        </w:tc>
        <w:tc>
          <w:tcPr>
            <w:tcW w:w="1417" w:type="dxa"/>
          </w:tcPr>
          <w:p w14:paraId="6B53F989" w14:textId="77777777" w:rsidR="000D05E4" w:rsidRDefault="00000000">
            <w:pPr>
              <w:jc w:val="center"/>
              <w:rPr>
                <w:rFonts w:hint="eastAsia"/>
              </w:rPr>
            </w:pPr>
            <w:r>
              <w:rPr>
                <w:sz w:val="20"/>
              </w:rPr>
              <w:t>式5-21</w:t>
            </w:r>
          </w:p>
        </w:tc>
        <w:tc>
          <w:tcPr>
            <w:tcW w:w="2268" w:type="dxa"/>
          </w:tcPr>
          <w:p w14:paraId="0F98FF4C" w14:textId="77777777" w:rsidR="000D05E4" w:rsidRDefault="00000000">
            <w:pPr>
              <w:jc w:val="center"/>
              <w:rPr>
                <w:rFonts w:hint="eastAsia"/>
              </w:rPr>
            </w:pPr>
            <w:r>
              <w:rPr>
                <w:sz w:val="20"/>
              </w:rPr>
              <w:t>≥0.85</w:t>
            </w:r>
          </w:p>
        </w:tc>
        <w:tc>
          <w:tcPr>
            <w:tcW w:w="2268" w:type="dxa"/>
          </w:tcPr>
          <w:p w14:paraId="7B86CA44" w14:textId="77777777" w:rsidR="000D05E4" w:rsidRDefault="00000000">
            <w:pPr>
              <w:jc w:val="center"/>
              <w:rPr>
                <w:rFonts w:hint="eastAsia"/>
              </w:rPr>
            </w:pPr>
            <w:r>
              <w:rPr>
                <w:sz w:val="20"/>
              </w:rPr>
              <w:t>≥0.95</w:t>
            </w:r>
          </w:p>
        </w:tc>
      </w:tr>
      <w:tr w:rsidR="000D05E4" w14:paraId="52AB34B3" w14:textId="77777777">
        <w:trPr>
          <w:jc w:val="center"/>
        </w:trPr>
        <w:tc>
          <w:tcPr>
            <w:tcW w:w="1417" w:type="dxa"/>
          </w:tcPr>
          <w:p w14:paraId="19D23EAF" w14:textId="77777777" w:rsidR="000D05E4" w:rsidRDefault="00000000">
            <w:pPr>
              <w:jc w:val="center"/>
              <w:rPr>
                <w:rFonts w:hint="eastAsia"/>
              </w:rPr>
            </w:pPr>
            <w:r>
              <w:rPr>
                <w:sz w:val="20"/>
              </w:rPr>
              <w:t>FIT</w:t>
            </w:r>
          </w:p>
        </w:tc>
        <w:tc>
          <w:tcPr>
            <w:tcW w:w="1417" w:type="dxa"/>
          </w:tcPr>
          <w:p w14:paraId="31BB79A5" w14:textId="77777777" w:rsidR="000D05E4" w:rsidRDefault="00000000">
            <w:pPr>
              <w:jc w:val="center"/>
              <w:rPr>
                <w:rFonts w:hint="eastAsia"/>
              </w:rPr>
            </w:pPr>
            <w:r>
              <w:rPr>
                <w:sz w:val="20"/>
              </w:rPr>
              <w:t>式5-22</w:t>
            </w:r>
          </w:p>
        </w:tc>
        <w:tc>
          <w:tcPr>
            <w:tcW w:w="2268" w:type="dxa"/>
          </w:tcPr>
          <w:p w14:paraId="00368005" w14:textId="77777777" w:rsidR="000D05E4" w:rsidRDefault="00000000">
            <w:pPr>
              <w:jc w:val="center"/>
              <w:rPr>
                <w:rFonts w:hint="eastAsia"/>
              </w:rPr>
            </w:pPr>
            <w:r>
              <w:rPr>
                <w:sz w:val="20"/>
              </w:rPr>
              <w:t>≥70%</w:t>
            </w:r>
          </w:p>
        </w:tc>
        <w:tc>
          <w:tcPr>
            <w:tcW w:w="2268" w:type="dxa"/>
          </w:tcPr>
          <w:p w14:paraId="45D9E176" w14:textId="77777777" w:rsidR="000D05E4" w:rsidRDefault="00000000">
            <w:pPr>
              <w:jc w:val="center"/>
              <w:rPr>
                <w:rFonts w:hint="eastAsia"/>
              </w:rPr>
            </w:pPr>
            <w:r>
              <w:rPr>
                <w:sz w:val="20"/>
              </w:rPr>
              <w:t>≥85%</w:t>
            </w:r>
          </w:p>
        </w:tc>
      </w:tr>
      <w:tr w:rsidR="000D05E4" w14:paraId="49197C9A" w14:textId="77777777">
        <w:trPr>
          <w:jc w:val="center"/>
        </w:trPr>
        <w:tc>
          <w:tcPr>
            <w:tcW w:w="1417" w:type="dxa"/>
          </w:tcPr>
          <w:p w14:paraId="0D118E2C" w14:textId="77777777" w:rsidR="000D05E4" w:rsidRDefault="00000000">
            <w:pPr>
              <w:jc w:val="center"/>
              <w:rPr>
                <w:rFonts w:hint="eastAsia"/>
              </w:rPr>
            </w:pPr>
            <w:r>
              <w:rPr>
                <w:sz w:val="20"/>
              </w:rPr>
              <w:t>相位误差Δφ</w:t>
            </w:r>
          </w:p>
        </w:tc>
        <w:tc>
          <w:tcPr>
            <w:tcW w:w="1417" w:type="dxa"/>
          </w:tcPr>
          <w:p w14:paraId="7587EAF9" w14:textId="77777777" w:rsidR="000D05E4" w:rsidRDefault="00000000">
            <w:pPr>
              <w:jc w:val="center"/>
              <w:rPr>
                <w:rFonts w:hint="eastAsia"/>
              </w:rPr>
            </w:pPr>
            <w:r>
              <w:rPr>
                <w:sz w:val="20"/>
              </w:rPr>
              <w:t>互相关分析</w:t>
            </w:r>
          </w:p>
        </w:tc>
        <w:tc>
          <w:tcPr>
            <w:tcW w:w="2268" w:type="dxa"/>
          </w:tcPr>
          <w:p w14:paraId="7A4E4D1D" w14:textId="77777777" w:rsidR="000D05E4" w:rsidRDefault="00000000">
            <w:pPr>
              <w:jc w:val="center"/>
              <w:rPr>
                <w:rFonts w:hint="eastAsia"/>
              </w:rPr>
            </w:pPr>
            <w:r>
              <w:rPr>
                <w:sz w:val="20"/>
              </w:rPr>
              <w:t>&lt; 0.5Δt</w:t>
            </w:r>
          </w:p>
        </w:tc>
        <w:tc>
          <w:tcPr>
            <w:tcW w:w="2268" w:type="dxa"/>
          </w:tcPr>
          <w:p w14:paraId="28F138B7" w14:textId="77777777" w:rsidR="000D05E4" w:rsidRDefault="00000000">
            <w:pPr>
              <w:jc w:val="center"/>
              <w:rPr>
                <w:rFonts w:hint="eastAsia"/>
              </w:rPr>
            </w:pPr>
            <w:r>
              <w:rPr>
                <w:sz w:val="20"/>
              </w:rPr>
              <w:t>&lt; 0.2Δt</w:t>
            </w:r>
          </w:p>
        </w:tc>
      </w:tr>
    </w:tbl>
    <w:p w14:paraId="71CDFBA8" w14:textId="77777777" w:rsidR="000D05E4" w:rsidRDefault="00000000">
      <w:pPr>
        <w:spacing w:before="40" w:after="160"/>
        <w:jc w:val="center"/>
        <w:rPr>
          <w:rFonts w:hint="eastAsia"/>
          <w:lang w:eastAsia="zh-CN"/>
        </w:rPr>
      </w:pPr>
      <w:r>
        <w:rPr>
          <w:b/>
          <w:sz w:val="20"/>
          <w:lang w:eastAsia="zh-CN"/>
        </w:rPr>
        <w:t>表5-3  模型精度校核指标体系</w:t>
      </w:r>
    </w:p>
    <w:p w14:paraId="063C4276" w14:textId="77777777" w:rsidR="000D05E4" w:rsidRDefault="00000000">
      <w:pPr>
        <w:spacing w:before="280" w:after="200"/>
        <w:rPr>
          <w:rFonts w:hint="eastAsia"/>
          <w:lang w:eastAsia="zh-CN"/>
        </w:rPr>
      </w:pPr>
      <w:r>
        <w:rPr>
          <w:b/>
          <w:sz w:val="28"/>
          <w:lang w:eastAsia="zh-CN"/>
        </w:rPr>
        <w:t>5.7 水网建模的国际对标与差距分析</w:t>
      </w:r>
    </w:p>
    <w:p w14:paraId="50CE6808" w14:textId="77777777" w:rsidR="000D05E4" w:rsidRDefault="00000000">
      <w:pPr>
        <w:spacing w:before="200" w:after="160"/>
        <w:rPr>
          <w:rFonts w:hint="eastAsia"/>
          <w:lang w:eastAsia="zh-CN"/>
        </w:rPr>
      </w:pPr>
      <w:r>
        <w:rPr>
          <w:b/>
          <w:lang w:eastAsia="zh-CN"/>
        </w:rPr>
        <w:t>5.7.1 荷兰运河系统的建模实践</w:t>
      </w:r>
    </w:p>
    <w:p w14:paraId="6FD06F1D" w14:textId="77777777" w:rsidR="003E7D90" w:rsidRDefault="00000000">
      <w:pPr>
        <w:ind w:firstLine="482"/>
        <w:rPr>
          <w:lang w:eastAsia="zh-CN"/>
        </w:rPr>
      </w:pPr>
      <w:r>
        <w:rPr>
          <w:lang w:eastAsia="zh-CN"/>
        </w:rPr>
        <w:t xml:space="preserve">荷兰是全球水渠自动化控制建模的标杆。TU Delft大学的van </w:t>
      </w:r>
      <w:proofErr w:type="spellStart"/>
      <w:r>
        <w:rPr>
          <w:lang w:eastAsia="zh-CN"/>
        </w:rPr>
        <w:t>Overloop</w:t>
      </w:r>
      <w:proofErr w:type="spellEnd"/>
      <w:r>
        <w:rPr>
          <w:lang w:eastAsia="zh-CN"/>
        </w:rPr>
        <w:t>团队在荷兰灌溉渠道和主排水系统上系统发展了从Saint-</w:t>
      </w:r>
      <w:proofErr w:type="spellStart"/>
      <w:r>
        <w:rPr>
          <w:lang w:eastAsia="zh-CN"/>
        </w:rPr>
        <w:t>Venant</w:t>
      </w:r>
      <w:proofErr w:type="spellEnd"/>
      <w:r>
        <w:rPr>
          <w:lang w:eastAsia="zh-CN"/>
        </w:rPr>
        <w:t>方程到IDZ降阶模型的完整方法论[26]。其核心经验包括三点。</w:t>
      </w:r>
    </w:p>
    <w:p w14:paraId="00FAE52B" w14:textId="77777777" w:rsidR="003E7D90" w:rsidRDefault="00000000">
      <w:pPr>
        <w:ind w:firstLine="482"/>
        <w:rPr>
          <w:lang w:eastAsia="zh-CN"/>
        </w:rPr>
      </w:pPr>
      <w:r>
        <w:rPr>
          <w:lang w:eastAsia="zh-CN"/>
        </w:rPr>
        <w:t>第一，模型辨识的标准化——荷兰建立了标准化的渠道辨识实验规程，包括阶跃响应实验、PRBS（伪随机二进制序列）激励实验和渐变流量实验，确保辨识数据的充分性和激励性[43]。</w:t>
      </w:r>
    </w:p>
    <w:p w14:paraId="45A569BC" w14:textId="77777777" w:rsidR="00A964D3" w:rsidRDefault="00000000">
      <w:pPr>
        <w:ind w:firstLine="482"/>
        <w:rPr>
          <w:lang w:eastAsia="zh-CN"/>
        </w:rPr>
      </w:pPr>
      <w:r>
        <w:rPr>
          <w:lang w:eastAsia="zh-CN"/>
        </w:rPr>
        <w:lastRenderedPageBreak/>
        <w:t>第二，多工况模型库——为每个渠池建立了覆盖不同流量等级的IDZ参数库，运行时根据当前流量自动选取对应参数，而非依赖单一参数集。</w:t>
      </w:r>
    </w:p>
    <w:p w14:paraId="1979D978" w14:textId="5F39C0C7" w:rsidR="000D05E4" w:rsidRDefault="00000000">
      <w:pPr>
        <w:ind w:firstLine="482"/>
        <w:rPr>
          <w:rFonts w:hint="eastAsia"/>
          <w:lang w:eastAsia="zh-CN"/>
        </w:rPr>
      </w:pPr>
      <w:r>
        <w:rPr>
          <w:lang w:eastAsia="zh-CN"/>
        </w:rPr>
        <w:t>第三，在线模型验证的自动化——模型精度指标实时计算并可视化，偏差超标时自动告警。</w:t>
      </w:r>
    </w:p>
    <w:p w14:paraId="72988CE9" w14:textId="77777777" w:rsidR="000D05E4" w:rsidRDefault="00000000">
      <w:pPr>
        <w:ind w:firstLine="482"/>
        <w:rPr>
          <w:rFonts w:hint="eastAsia"/>
          <w:lang w:eastAsia="zh-CN"/>
        </w:rPr>
      </w:pPr>
      <w:r>
        <w:rPr>
          <w:lang w:eastAsia="zh-CN"/>
        </w:rPr>
        <w:t>荷兰经验对中国水网建模的启示是：建模不是一次性工作而是持续的运维活动。中国当前的水利数学模型大多停留在"建设</w:t>
      </w:r>
      <w:proofErr w:type="gramStart"/>
      <w:r>
        <w:rPr>
          <w:lang w:eastAsia="zh-CN"/>
        </w:rPr>
        <w:t>期率定</w:t>
      </w:r>
      <w:proofErr w:type="gramEnd"/>
      <w:r>
        <w:rPr>
          <w:lang w:eastAsia="zh-CN"/>
        </w:rPr>
        <w:t>、验收后搁置"的状态，缺乏持续的在线校核和参数更新机制。南水北调中线每年的运行工况都在变化（渠道糙率随时间增大、断面淤积导致面积变化），如果模型参数不随之更新，模型精度将逐年下降。</w:t>
      </w:r>
    </w:p>
    <w:p w14:paraId="6162A8F3" w14:textId="77777777" w:rsidR="000D05E4" w:rsidRDefault="00000000">
      <w:pPr>
        <w:spacing w:before="200" w:after="160"/>
        <w:rPr>
          <w:rFonts w:hint="eastAsia"/>
          <w:lang w:eastAsia="zh-CN"/>
        </w:rPr>
      </w:pPr>
      <w:r>
        <w:rPr>
          <w:b/>
          <w:lang w:eastAsia="zh-CN"/>
        </w:rPr>
        <w:t>5.7.2 法国INRAE的水力学建模平台</w:t>
      </w:r>
    </w:p>
    <w:p w14:paraId="20F8581B" w14:textId="77777777" w:rsidR="000D05E4" w:rsidRDefault="00000000">
      <w:pPr>
        <w:ind w:firstLine="482"/>
        <w:rPr>
          <w:rFonts w:hint="eastAsia"/>
          <w:lang w:eastAsia="zh-CN"/>
        </w:rPr>
      </w:pPr>
      <w:proofErr w:type="spellStart"/>
      <w:r>
        <w:t>法国国家农业食品与环境研究院（INRAE）开发的SIC</w:t>
      </w:r>
      <w:proofErr w:type="spellEnd"/>
      <w:r>
        <w:t>/SIC²（Simulation of Irrigation Canals）</w:t>
      </w:r>
      <w:proofErr w:type="gramStart"/>
      <w:r>
        <w:t>是全球应用最广泛的灌溉渠道水力学仿真软件[44]。</w:t>
      </w:r>
      <w:proofErr w:type="gramEnd"/>
      <w:r>
        <w:t>SIC²基于Preissmann格式求解Saint-Venant方程，内置了丰富的水工建筑物模型库（包括各类闸门、堰、虹吸管、泵站等），并提供了与MATLAB的接口用于控制器设计和仿真验证。</w:t>
      </w:r>
      <w:r>
        <w:rPr>
          <w:lang w:eastAsia="zh-CN"/>
        </w:rPr>
        <w:t>SIC²目前已被40多个国家的研究机构和水务部门采用。</w:t>
      </w:r>
    </w:p>
    <w:p w14:paraId="7258D7E0" w14:textId="77777777" w:rsidR="000D05E4" w:rsidRDefault="00000000">
      <w:pPr>
        <w:ind w:firstLine="482"/>
        <w:rPr>
          <w:rFonts w:hint="eastAsia"/>
          <w:lang w:eastAsia="zh-CN"/>
        </w:rPr>
      </w:pPr>
      <w:r>
        <w:rPr>
          <w:lang w:eastAsia="zh-CN"/>
        </w:rPr>
        <w:t>SIC²平台的技术特色在于其"仿真-控制"一体化设计。用户可以在同一平台上完成从水力建模、参数率定到控制器设计、闭环仿真验证的全流程，大大缩短了从模型到控制的技术路径。这一理念与本报告第四章提出的天河大模型"物理AI引擎"高度一致——物理模型不仅是分析工具，更是控制系统的核心组件。</w:t>
      </w:r>
    </w:p>
    <w:p w14:paraId="555EA4EF" w14:textId="77777777" w:rsidR="000D05E4" w:rsidRDefault="00000000">
      <w:pPr>
        <w:spacing w:before="200" w:after="160"/>
        <w:rPr>
          <w:rFonts w:hint="eastAsia"/>
          <w:lang w:eastAsia="zh-CN"/>
        </w:rPr>
      </w:pPr>
      <w:r>
        <w:rPr>
          <w:b/>
          <w:lang w:eastAsia="zh-CN"/>
        </w:rPr>
        <w:t>5.7.3 中国水网建模的差距与追赶策略</w:t>
      </w:r>
    </w:p>
    <w:p w14:paraId="34E8811B" w14:textId="77777777" w:rsidR="00A91A4B" w:rsidRDefault="00000000">
      <w:pPr>
        <w:ind w:firstLine="482"/>
        <w:rPr>
          <w:lang w:eastAsia="zh-CN"/>
        </w:rPr>
      </w:pPr>
      <w:r>
        <w:rPr>
          <w:lang w:eastAsia="zh-CN"/>
        </w:rPr>
        <w:t>与国际先进水平相比，中国在水网建模领域的差距主要体现在三个方面。</w:t>
      </w:r>
    </w:p>
    <w:p w14:paraId="63396A2A" w14:textId="77777777" w:rsidR="00A91A4B" w:rsidRDefault="00000000">
      <w:pPr>
        <w:ind w:firstLine="482"/>
        <w:rPr>
          <w:lang w:eastAsia="zh-CN"/>
        </w:rPr>
      </w:pPr>
      <w:r>
        <w:rPr>
          <w:lang w:eastAsia="zh-CN"/>
        </w:rPr>
        <w:t>第一，控制导向模型的缺失——中国水利行业积累了大量的Saint-</w:t>
      </w:r>
      <w:proofErr w:type="spellStart"/>
      <w:r>
        <w:rPr>
          <w:lang w:eastAsia="zh-CN"/>
        </w:rPr>
        <w:t>Venant</w:t>
      </w:r>
      <w:proofErr w:type="spellEnd"/>
      <w:r>
        <w:rPr>
          <w:lang w:eastAsia="zh-CN"/>
        </w:rPr>
        <w:t>方程仿真经验，但几乎没有系统地发展过ID/IDZ等控制导向降阶模型，导致"建模"与"控制"长期脱节[2]。</w:t>
      </w:r>
    </w:p>
    <w:p w14:paraId="0F341AF2" w14:textId="77777777" w:rsidR="00A77A7C" w:rsidRDefault="00000000">
      <w:pPr>
        <w:ind w:firstLine="482"/>
        <w:rPr>
          <w:lang w:eastAsia="zh-CN"/>
        </w:rPr>
      </w:pPr>
      <w:r>
        <w:rPr>
          <w:lang w:eastAsia="zh-CN"/>
        </w:rPr>
        <w:t>第二，模型在线运</w:t>
      </w:r>
      <w:proofErr w:type="gramStart"/>
      <w:r>
        <w:rPr>
          <w:lang w:eastAsia="zh-CN"/>
        </w:rPr>
        <w:t>维机制</w:t>
      </w:r>
      <w:proofErr w:type="gramEnd"/>
      <w:r>
        <w:rPr>
          <w:lang w:eastAsia="zh-CN"/>
        </w:rPr>
        <w:t>的空白——大多数已建模</w:t>
      </w:r>
      <w:proofErr w:type="gramStart"/>
      <w:r>
        <w:rPr>
          <w:lang w:eastAsia="zh-CN"/>
        </w:rPr>
        <w:t>型缺乏</w:t>
      </w:r>
      <w:proofErr w:type="gramEnd"/>
      <w:r>
        <w:rPr>
          <w:lang w:eastAsia="zh-CN"/>
        </w:rPr>
        <w:t>在线校核和参数更新机制，模型精度无法保障。</w:t>
      </w:r>
    </w:p>
    <w:p w14:paraId="2AEA48B5" w14:textId="5C8FAEDC" w:rsidR="000D05E4" w:rsidRDefault="00000000">
      <w:pPr>
        <w:ind w:firstLine="482"/>
        <w:rPr>
          <w:rFonts w:hint="eastAsia"/>
          <w:lang w:eastAsia="zh-CN"/>
        </w:rPr>
      </w:pPr>
      <w:r>
        <w:rPr>
          <w:lang w:eastAsia="zh-CN"/>
        </w:rPr>
        <w:t>第三，模型管理规范的缺位——缺乏统一的模型版本管理、精度校核和退出机制标准。</w:t>
      </w:r>
    </w:p>
    <w:p w14:paraId="78F40019" w14:textId="77777777" w:rsidR="000D05E4" w:rsidRDefault="00000000">
      <w:pPr>
        <w:ind w:firstLine="482"/>
        <w:rPr>
          <w:rFonts w:hint="eastAsia"/>
          <w:lang w:eastAsia="zh-CN"/>
        </w:rPr>
      </w:pPr>
      <w:r>
        <w:rPr>
          <w:lang w:eastAsia="zh-CN"/>
        </w:rPr>
        <w:t>追赶策略建议分三步走。近期（2025–2027年），以南水北调中线为试点，完成全线IDZ降阶模型的首次辨识和状态空间模型的建立，同步建立RLS在线辨识机制。中期（2027–2030年），将建模方法推广到其他</w:t>
      </w:r>
      <w:proofErr w:type="gramStart"/>
      <w:r>
        <w:rPr>
          <w:lang w:eastAsia="zh-CN"/>
        </w:rPr>
        <w:t>重大引调水工</w:t>
      </w:r>
      <w:proofErr w:type="gramEnd"/>
      <w:r>
        <w:rPr>
          <w:lang w:eastAsia="zh-CN"/>
        </w:rPr>
        <w:t>程（引江济淮、引</w:t>
      </w:r>
      <w:proofErr w:type="gramStart"/>
      <w:r>
        <w:rPr>
          <w:lang w:eastAsia="zh-CN"/>
        </w:rPr>
        <w:t>汉济渭</w:t>
      </w:r>
      <w:proofErr w:type="gramEnd"/>
      <w:r>
        <w:rPr>
          <w:lang w:eastAsia="zh-CN"/>
        </w:rPr>
        <w:t>等），建立国家级水网模型库和模型管理规范。远期（2030–2035年），发展基于PINN的新一代混合建模方法，实现物理机理与数据驱动的深度融合，支撑L3–L4级自主运行。</w:t>
      </w:r>
    </w:p>
    <w:p w14:paraId="43B4AFB3" w14:textId="77777777" w:rsidR="000D05E4" w:rsidRDefault="00000000">
      <w:pPr>
        <w:spacing w:before="280" w:after="200"/>
        <w:rPr>
          <w:rFonts w:hint="eastAsia"/>
          <w:lang w:eastAsia="zh-CN"/>
        </w:rPr>
      </w:pPr>
      <w:r>
        <w:rPr>
          <w:b/>
          <w:sz w:val="28"/>
          <w:lang w:eastAsia="zh-CN"/>
        </w:rPr>
        <w:lastRenderedPageBreak/>
        <w:t>5.8 南水北调中线建模参考实现</w:t>
      </w:r>
    </w:p>
    <w:p w14:paraId="05C5402C" w14:textId="77777777" w:rsidR="000D05E4" w:rsidRDefault="00000000">
      <w:pPr>
        <w:ind w:firstLine="482"/>
        <w:rPr>
          <w:rFonts w:hint="eastAsia"/>
          <w:lang w:eastAsia="zh-CN"/>
        </w:rPr>
      </w:pPr>
      <w:r>
        <w:rPr>
          <w:lang w:eastAsia="zh-CN"/>
        </w:rPr>
        <w:t>基于上述方法论，给出南水北调中线全线统一建模的参考实现方案。</w:t>
      </w:r>
    </w:p>
    <w:tbl>
      <w:tblPr>
        <w:tblStyle w:val="aff1"/>
        <w:tblW w:w="0" w:type="auto"/>
        <w:jc w:val="center"/>
        <w:tblLook w:val="04A0" w:firstRow="1" w:lastRow="0" w:firstColumn="1" w:lastColumn="0" w:noHBand="0" w:noVBand="1"/>
      </w:tblPr>
      <w:tblGrid>
        <w:gridCol w:w="1134"/>
        <w:gridCol w:w="1984"/>
        <w:gridCol w:w="1984"/>
        <w:gridCol w:w="1417"/>
        <w:gridCol w:w="1701"/>
      </w:tblGrid>
      <w:tr w:rsidR="000D05E4" w14:paraId="05EFF5C0" w14:textId="77777777">
        <w:trPr>
          <w:jc w:val="center"/>
        </w:trPr>
        <w:tc>
          <w:tcPr>
            <w:tcW w:w="1134" w:type="dxa"/>
            <w:shd w:val="clear" w:color="auto" w:fill="D9E2F3"/>
          </w:tcPr>
          <w:p w14:paraId="7B3B78CD" w14:textId="77777777" w:rsidR="000D05E4" w:rsidRDefault="00000000">
            <w:pPr>
              <w:jc w:val="center"/>
              <w:rPr>
                <w:rFonts w:hint="eastAsia"/>
              </w:rPr>
            </w:pPr>
            <w:proofErr w:type="spellStart"/>
            <w:r>
              <w:rPr>
                <w:b/>
                <w:sz w:val="20"/>
              </w:rPr>
              <w:t>模型层级</w:t>
            </w:r>
            <w:proofErr w:type="spellEnd"/>
          </w:p>
        </w:tc>
        <w:tc>
          <w:tcPr>
            <w:tcW w:w="1984" w:type="dxa"/>
            <w:shd w:val="clear" w:color="auto" w:fill="D9E2F3"/>
          </w:tcPr>
          <w:p w14:paraId="33963FBE" w14:textId="77777777" w:rsidR="000D05E4" w:rsidRDefault="00000000">
            <w:pPr>
              <w:jc w:val="center"/>
              <w:rPr>
                <w:rFonts w:hint="eastAsia"/>
              </w:rPr>
            </w:pPr>
            <w:r>
              <w:rPr>
                <w:b/>
                <w:sz w:val="20"/>
              </w:rPr>
              <w:t>技术方案</w:t>
            </w:r>
          </w:p>
        </w:tc>
        <w:tc>
          <w:tcPr>
            <w:tcW w:w="1984" w:type="dxa"/>
            <w:shd w:val="clear" w:color="auto" w:fill="D9E2F3"/>
          </w:tcPr>
          <w:p w14:paraId="26182BD3" w14:textId="77777777" w:rsidR="000D05E4" w:rsidRDefault="00000000">
            <w:pPr>
              <w:jc w:val="center"/>
              <w:rPr>
                <w:rFonts w:hint="eastAsia"/>
              </w:rPr>
            </w:pPr>
            <w:r>
              <w:rPr>
                <w:b/>
                <w:sz w:val="20"/>
              </w:rPr>
              <w:t>空间范围</w:t>
            </w:r>
          </w:p>
        </w:tc>
        <w:tc>
          <w:tcPr>
            <w:tcW w:w="1417" w:type="dxa"/>
            <w:shd w:val="clear" w:color="auto" w:fill="D9E2F3"/>
          </w:tcPr>
          <w:p w14:paraId="0856024A" w14:textId="77777777" w:rsidR="000D05E4" w:rsidRDefault="00000000">
            <w:pPr>
              <w:jc w:val="center"/>
              <w:rPr>
                <w:rFonts w:hint="eastAsia"/>
              </w:rPr>
            </w:pPr>
            <w:r>
              <w:rPr>
                <w:b/>
                <w:sz w:val="20"/>
              </w:rPr>
              <w:t>时间分辨率</w:t>
            </w:r>
          </w:p>
        </w:tc>
        <w:tc>
          <w:tcPr>
            <w:tcW w:w="1701" w:type="dxa"/>
            <w:shd w:val="clear" w:color="auto" w:fill="D9E2F3"/>
          </w:tcPr>
          <w:p w14:paraId="66A2930B" w14:textId="77777777" w:rsidR="000D05E4" w:rsidRDefault="00000000">
            <w:pPr>
              <w:jc w:val="center"/>
              <w:rPr>
                <w:rFonts w:hint="eastAsia"/>
              </w:rPr>
            </w:pPr>
            <w:r>
              <w:rPr>
                <w:b/>
                <w:sz w:val="20"/>
              </w:rPr>
              <w:t>主要用途</w:t>
            </w:r>
          </w:p>
        </w:tc>
      </w:tr>
      <w:tr w:rsidR="000D05E4" w14:paraId="4E1DD1F5" w14:textId="77777777">
        <w:trPr>
          <w:jc w:val="center"/>
        </w:trPr>
        <w:tc>
          <w:tcPr>
            <w:tcW w:w="1134" w:type="dxa"/>
          </w:tcPr>
          <w:p w14:paraId="61B377AD" w14:textId="77777777" w:rsidR="000D05E4" w:rsidRDefault="00000000">
            <w:pPr>
              <w:jc w:val="center"/>
              <w:rPr>
                <w:rFonts w:hint="eastAsia"/>
              </w:rPr>
            </w:pPr>
            <w:r>
              <w:rPr>
                <w:sz w:val="20"/>
              </w:rPr>
              <w:t>高保真层</w:t>
            </w:r>
          </w:p>
        </w:tc>
        <w:tc>
          <w:tcPr>
            <w:tcW w:w="1984" w:type="dxa"/>
          </w:tcPr>
          <w:p w14:paraId="3D031924" w14:textId="77777777" w:rsidR="000D05E4" w:rsidRDefault="00000000">
            <w:pPr>
              <w:jc w:val="center"/>
              <w:rPr>
                <w:rFonts w:hint="eastAsia"/>
              </w:rPr>
            </w:pPr>
            <w:r>
              <w:rPr>
                <w:sz w:val="20"/>
              </w:rPr>
              <w:t>Saint-Venant + Preissmann</w:t>
            </w:r>
          </w:p>
        </w:tc>
        <w:tc>
          <w:tcPr>
            <w:tcW w:w="1984" w:type="dxa"/>
          </w:tcPr>
          <w:p w14:paraId="3AE84622" w14:textId="77777777" w:rsidR="000D05E4" w:rsidRDefault="00000000">
            <w:pPr>
              <w:jc w:val="center"/>
              <w:rPr>
                <w:rFonts w:hint="eastAsia"/>
              </w:rPr>
            </w:pPr>
            <w:r>
              <w:rPr>
                <w:sz w:val="20"/>
              </w:rPr>
              <w:t>全线1432km, N≈2000</w:t>
            </w:r>
          </w:p>
        </w:tc>
        <w:tc>
          <w:tcPr>
            <w:tcW w:w="1417" w:type="dxa"/>
          </w:tcPr>
          <w:p w14:paraId="7BD747D6" w14:textId="77777777" w:rsidR="000D05E4" w:rsidRDefault="00000000">
            <w:pPr>
              <w:jc w:val="center"/>
              <w:rPr>
                <w:rFonts w:hint="eastAsia"/>
              </w:rPr>
            </w:pPr>
            <w:r>
              <w:rPr>
                <w:sz w:val="20"/>
              </w:rPr>
              <w:t>Δt=20–60s</w:t>
            </w:r>
          </w:p>
        </w:tc>
        <w:tc>
          <w:tcPr>
            <w:tcW w:w="1701" w:type="dxa"/>
          </w:tcPr>
          <w:p w14:paraId="0CEBD382" w14:textId="77777777" w:rsidR="000D05E4" w:rsidRDefault="00000000">
            <w:pPr>
              <w:jc w:val="center"/>
              <w:rPr>
                <w:rFonts w:hint="eastAsia"/>
              </w:rPr>
            </w:pPr>
            <w:r>
              <w:rPr>
                <w:sz w:val="20"/>
              </w:rPr>
              <w:t>离线场景库/事后审计</w:t>
            </w:r>
          </w:p>
        </w:tc>
      </w:tr>
      <w:tr w:rsidR="000D05E4" w14:paraId="76D59F19" w14:textId="77777777">
        <w:trPr>
          <w:jc w:val="center"/>
        </w:trPr>
        <w:tc>
          <w:tcPr>
            <w:tcW w:w="1134" w:type="dxa"/>
          </w:tcPr>
          <w:p w14:paraId="690C7287" w14:textId="77777777" w:rsidR="000D05E4" w:rsidRDefault="00000000">
            <w:pPr>
              <w:jc w:val="center"/>
              <w:rPr>
                <w:rFonts w:hint="eastAsia"/>
              </w:rPr>
            </w:pPr>
            <w:r>
              <w:rPr>
                <w:sz w:val="20"/>
              </w:rPr>
              <w:t>控制层</w:t>
            </w:r>
          </w:p>
        </w:tc>
        <w:tc>
          <w:tcPr>
            <w:tcW w:w="1984" w:type="dxa"/>
          </w:tcPr>
          <w:p w14:paraId="1D928CAC" w14:textId="77777777" w:rsidR="000D05E4" w:rsidRDefault="00000000">
            <w:pPr>
              <w:jc w:val="center"/>
              <w:rPr>
                <w:rFonts w:hint="eastAsia"/>
              </w:rPr>
            </w:pPr>
            <w:r>
              <w:rPr>
                <w:sz w:val="20"/>
              </w:rPr>
              <w:t>IDZ状态空间模型</w:t>
            </w:r>
          </w:p>
        </w:tc>
        <w:tc>
          <w:tcPr>
            <w:tcW w:w="1984" w:type="dxa"/>
          </w:tcPr>
          <w:p w14:paraId="1A2B5DFB" w14:textId="77777777" w:rsidR="000D05E4" w:rsidRDefault="00000000">
            <w:pPr>
              <w:jc w:val="center"/>
              <w:rPr>
                <w:rFonts w:hint="eastAsia"/>
              </w:rPr>
            </w:pPr>
            <w:r>
              <w:rPr>
                <w:sz w:val="20"/>
              </w:rPr>
              <w:t>63渠池串联, n=63</w:t>
            </w:r>
          </w:p>
        </w:tc>
        <w:tc>
          <w:tcPr>
            <w:tcW w:w="1417" w:type="dxa"/>
          </w:tcPr>
          <w:p w14:paraId="0CC12234" w14:textId="77777777" w:rsidR="000D05E4" w:rsidRDefault="00000000">
            <w:pPr>
              <w:jc w:val="center"/>
              <w:rPr>
                <w:rFonts w:hint="eastAsia"/>
              </w:rPr>
            </w:pPr>
            <w:r>
              <w:rPr>
                <w:sz w:val="20"/>
              </w:rPr>
              <w:t>Δt=5–15min</w:t>
            </w:r>
          </w:p>
        </w:tc>
        <w:tc>
          <w:tcPr>
            <w:tcW w:w="1701" w:type="dxa"/>
          </w:tcPr>
          <w:p w14:paraId="6849EB52" w14:textId="77777777" w:rsidR="000D05E4" w:rsidRDefault="00000000">
            <w:pPr>
              <w:jc w:val="center"/>
              <w:rPr>
                <w:rFonts w:hint="eastAsia"/>
              </w:rPr>
            </w:pPr>
            <w:r>
              <w:rPr>
                <w:sz w:val="20"/>
              </w:rPr>
              <w:t>MPC在线优化</w:t>
            </w:r>
          </w:p>
        </w:tc>
      </w:tr>
      <w:tr w:rsidR="000D05E4" w14:paraId="2DCFD3AE" w14:textId="77777777">
        <w:trPr>
          <w:jc w:val="center"/>
        </w:trPr>
        <w:tc>
          <w:tcPr>
            <w:tcW w:w="1134" w:type="dxa"/>
          </w:tcPr>
          <w:p w14:paraId="7C457B03" w14:textId="77777777" w:rsidR="000D05E4" w:rsidRDefault="00000000">
            <w:pPr>
              <w:jc w:val="center"/>
              <w:rPr>
                <w:rFonts w:hint="eastAsia"/>
              </w:rPr>
            </w:pPr>
            <w:r>
              <w:rPr>
                <w:sz w:val="20"/>
              </w:rPr>
              <w:t>数据增强层</w:t>
            </w:r>
          </w:p>
        </w:tc>
        <w:tc>
          <w:tcPr>
            <w:tcW w:w="1984" w:type="dxa"/>
          </w:tcPr>
          <w:p w14:paraId="108D28E4" w14:textId="77777777" w:rsidR="000D05E4" w:rsidRDefault="00000000">
            <w:pPr>
              <w:jc w:val="center"/>
              <w:rPr>
                <w:rFonts w:hint="eastAsia"/>
              </w:rPr>
            </w:pPr>
            <w:r>
              <w:rPr>
                <w:sz w:val="20"/>
              </w:rPr>
              <w:t>LSTM残差修正</w:t>
            </w:r>
          </w:p>
        </w:tc>
        <w:tc>
          <w:tcPr>
            <w:tcW w:w="1984" w:type="dxa"/>
          </w:tcPr>
          <w:p w14:paraId="12665D9E" w14:textId="77777777" w:rsidR="000D05E4" w:rsidRDefault="00000000">
            <w:pPr>
              <w:jc w:val="center"/>
              <w:rPr>
                <w:rFonts w:hint="eastAsia"/>
              </w:rPr>
            </w:pPr>
            <w:r>
              <w:rPr>
                <w:sz w:val="20"/>
              </w:rPr>
              <w:t>关键渠段(冰期/大分水)</w:t>
            </w:r>
          </w:p>
        </w:tc>
        <w:tc>
          <w:tcPr>
            <w:tcW w:w="1417" w:type="dxa"/>
          </w:tcPr>
          <w:p w14:paraId="7C221F02" w14:textId="77777777" w:rsidR="000D05E4" w:rsidRDefault="00000000">
            <w:pPr>
              <w:jc w:val="center"/>
              <w:rPr>
                <w:rFonts w:hint="eastAsia"/>
              </w:rPr>
            </w:pPr>
            <w:r>
              <w:rPr>
                <w:sz w:val="20"/>
              </w:rPr>
              <w:t>与控制层同步</w:t>
            </w:r>
          </w:p>
        </w:tc>
        <w:tc>
          <w:tcPr>
            <w:tcW w:w="1701" w:type="dxa"/>
          </w:tcPr>
          <w:p w14:paraId="440C7ACD" w14:textId="77777777" w:rsidR="000D05E4" w:rsidRDefault="00000000">
            <w:pPr>
              <w:jc w:val="center"/>
              <w:rPr>
                <w:rFonts w:hint="eastAsia"/>
              </w:rPr>
            </w:pPr>
            <w:r>
              <w:rPr>
                <w:sz w:val="20"/>
              </w:rPr>
              <w:t>非标工况补偿</w:t>
            </w:r>
          </w:p>
        </w:tc>
      </w:tr>
      <w:tr w:rsidR="000D05E4" w14:paraId="3032B1C5" w14:textId="77777777">
        <w:trPr>
          <w:jc w:val="center"/>
        </w:trPr>
        <w:tc>
          <w:tcPr>
            <w:tcW w:w="1134" w:type="dxa"/>
          </w:tcPr>
          <w:p w14:paraId="18F87F73" w14:textId="77777777" w:rsidR="000D05E4" w:rsidRDefault="00000000">
            <w:pPr>
              <w:jc w:val="center"/>
              <w:rPr>
                <w:rFonts w:hint="eastAsia"/>
              </w:rPr>
            </w:pPr>
            <w:r>
              <w:rPr>
                <w:sz w:val="20"/>
              </w:rPr>
              <w:t>极简层</w:t>
            </w:r>
          </w:p>
        </w:tc>
        <w:tc>
          <w:tcPr>
            <w:tcW w:w="1984" w:type="dxa"/>
          </w:tcPr>
          <w:p w14:paraId="103E0BF6" w14:textId="77777777" w:rsidR="000D05E4" w:rsidRDefault="00000000">
            <w:pPr>
              <w:jc w:val="center"/>
              <w:rPr>
                <w:rFonts w:hint="eastAsia"/>
              </w:rPr>
            </w:pPr>
            <w:r>
              <w:rPr>
                <w:sz w:val="20"/>
              </w:rPr>
              <w:t>查表法+线性插值</w:t>
            </w:r>
          </w:p>
        </w:tc>
        <w:tc>
          <w:tcPr>
            <w:tcW w:w="1984" w:type="dxa"/>
          </w:tcPr>
          <w:p w14:paraId="375DA426" w14:textId="77777777" w:rsidR="000D05E4" w:rsidRDefault="00000000">
            <w:pPr>
              <w:jc w:val="center"/>
              <w:rPr>
                <w:rFonts w:hint="eastAsia"/>
              </w:rPr>
            </w:pPr>
            <w:r>
              <w:rPr>
                <w:sz w:val="20"/>
              </w:rPr>
              <w:t>每座节制闸本地</w:t>
            </w:r>
          </w:p>
        </w:tc>
        <w:tc>
          <w:tcPr>
            <w:tcW w:w="1417" w:type="dxa"/>
          </w:tcPr>
          <w:p w14:paraId="1E6F2018" w14:textId="77777777" w:rsidR="000D05E4" w:rsidRDefault="00000000">
            <w:pPr>
              <w:jc w:val="center"/>
              <w:rPr>
                <w:rFonts w:hint="eastAsia"/>
              </w:rPr>
            </w:pPr>
            <w:r>
              <w:rPr>
                <w:sz w:val="20"/>
              </w:rPr>
              <w:t>实时(ms级)</w:t>
            </w:r>
          </w:p>
        </w:tc>
        <w:tc>
          <w:tcPr>
            <w:tcW w:w="1701" w:type="dxa"/>
          </w:tcPr>
          <w:p w14:paraId="282F0DD7" w14:textId="77777777" w:rsidR="000D05E4" w:rsidRDefault="00000000">
            <w:pPr>
              <w:jc w:val="center"/>
              <w:rPr>
                <w:rFonts w:hint="eastAsia"/>
              </w:rPr>
            </w:pPr>
            <w:r>
              <w:rPr>
                <w:sz w:val="20"/>
              </w:rPr>
              <w:t>边缘应急决策</w:t>
            </w:r>
          </w:p>
        </w:tc>
      </w:tr>
    </w:tbl>
    <w:p w14:paraId="23DAA30B" w14:textId="77777777" w:rsidR="000D05E4" w:rsidRDefault="00000000">
      <w:pPr>
        <w:spacing w:before="40" w:after="160"/>
        <w:jc w:val="center"/>
        <w:rPr>
          <w:rFonts w:hint="eastAsia"/>
          <w:lang w:eastAsia="zh-CN"/>
        </w:rPr>
      </w:pPr>
      <w:r>
        <w:rPr>
          <w:b/>
          <w:sz w:val="20"/>
          <w:lang w:eastAsia="zh-CN"/>
        </w:rPr>
        <w:t>表5-4  南水北调中线可控模型族参考实现</w:t>
      </w:r>
    </w:p>
    <w:p w14:paraId="15AD939F" w14:textId="77777777" w:rsidR="000D05E4" w:rsidRDefault="00000000">
      <w:pPr>
        <w:ind w:firstLine="482"/>
        <w:rPr>
          <w:rFonts w:hint="eastAsia"/>
          <w:lang w:eastAsia="zh-CN"/>
        </w:rPr>
      </w:pPr>
      <w:r>
        <w:rPr>
          <w:lang w:eastAsia="zh-CN"/>
        </w:rPr>
        <w:t>在模型组装方面，全线划分为6–8个管理处级子模型，每个子模型包含8–12个渠池的IDZ串联模型。子模型之间通过</w:t>
      </w:r>
      <w:proofErr w:type="spellStart"/>
      <w:r>
        <w:rPr>
          <w:lang w:eastAsia="zh-CN"/>
        </w:rPr>
        <w:t>OpenMI</w:t>
      </w:r>
      <w:proofErr w:type="spellEnd"/>
      <w:r>
        <w:rPr>
          <w:lang w:eastAsia="zh-CN"/>
        </w:rPr>
        <w:t xml:space="preserve"> 2.0接口耦合。云端部署全线联合仿真模型（高保真层+控制层），用于全局优化和预测；边缘节点（管理处级）部署局部高精度模型（控制层+数据增强层），用于局部实时控制；设备端（节制</w:t>
      </w:r>
      <w:proofErr w:type="gramStart"/>
      <w:r>
        <w:rPr>
          <w:lang w:eastAsia="zh-CN"/>
        </w:rPr>
        <w:t>闸</w:t>
      </w:r>
      <w:proofErr w:type="gramEnd"/>
      <w:r>
        <w:rPr>
          <w:lang w:eastAsia="zh-CN"/>
        </w:rPr>
        <w:t>PLC）部署</w:t>
      </w:r>
      <w:proofErr w:type="gramStart"/>
      <w:r>
        <w:rPr>
          <w:lang w:eastAsia="zh-CN"/>
        </w:rPr>
        <w:t>极</w:t>
      </w:r>
      <w:proofErr w:type="gramEnd"/>
      <w:r>
        <w:rPr>
          <w:lang w:eastAsia="zh-CN"/>
        </w:rPr>
        <w:t>简模型，用于通信中断时的本地应急决策[45]。</w:t>
      </w:r>
    </w:p>
    <w:p w14:paraId="3F04FE33" w14:textId="77777777" w:rsidR="000D05E4" w:rsidRDefault="00000000">
      <w:pPr>
        <w:ind w:firstLine="482"/>
        <w:rPr>
          <w:rFonts w:hint="eastAsia"/>
          <w:lang w:eastAsia="zh-CN"/>
        </w:rPr>
      </w:pPr>
      <w:r>
        <w:rPr>
          <w:lang w:eastAsia="zh-CN"/>
        </w:rPr>
        <w:t>模型管理方面，建立"模型注册中心"统一管理所有层级的模型版本。每个模型实例都有唯一的版本号、创建时间、校核状态和适用ODD范围。模型更新遵循"开发→SIL验证→灰度发布→全</w:t>
      </w:r>
      <w:proofErr w:type="gramStart"/>
      <w:r>
        <w:rPr>
          <w:lang w:eastAsia="zh-CN"/>
        </w:rPr>
        <w:t>量部署</w:t>
      </w:r>
      <w:proofErr w:type="gramEnd"/>
      <w:r>
        <w:rPr>
          <w:lang w:eastAsia="zh-CN"/>
        </w:rPr>
        <w:t>"的四阶段流程，确保任何模型变更都经过充分验证后才进入生产环境。模型注册中心还记录每个模型实例的历史性能数据，为模型退出决策提供数据支撑。</w:t>
      </w:r>
    </w:p>
    <w:p w14:paraId="3D98B049" w14:textId="77777777" w:rsidR="000D05E4" w:rsidRDefault="00000000">
      <w:pPr>
        <w:spacing w:before="280" w:after="200"/>
        <w:rPr>
          <w:rFonts w:hint="eastAsia"/>
          <w:lang w:eastAsia="zh-CN"/>
        </w:rPr>
      </w:pPr>
      <w:r>
        <w:rPr>
          <w:b/>
          <w:sz w:val="28"/>
          <w:lang w:eastAsia="zh-CN"/>
        </w:rPr>
        <w:t>5.9 本章小结</w:t>
      </w:r>
    </w:p>
    <w:p w14:paraId="25AFBE7B" w14:textId="77777777" w:rsidR="000D05E4" w:rsidRDefault="00000000">
      <w:pPr>
        <w:ind w:firstLine="482"/>
        <w:rPr>
          <w:rFonts w:hint="eastAsia"/>
          <w:lang w:eastAsia="zh-CN"/>
        </w:rPr>
      </w:pPr>
      <w:r>
        <w:rPr>
          <w:lang w:eastAsia="zh-CN"/>
        </w:rPr>
        <w:t>本章围绕水网统一建模与降阶这一关键技术，建立了以下核心成果。</w:t>
      </w:r>
    </w:p>
    <w:p w14:paraId="622B45FB" w14:textId="77777777" w:rsidR="000D05E4" w:rsidRDefault="00000000">
      <w:pPr>
        <w:ind w:firstLine="482"/>
        <w:rPr>
          <w:rFonts w:hint="eastAsia"/>
          <w:lang w:eastAsia="zh-CN"/>
        </w:rPr>
      </w:pPr>
      <w:r>
        <w:rPr>
          <w:lang w:eastAsia="zh-CN"/>
        </w:rPr>
        <w:t>第一，提出了"可控模型族"的层次化架构，包含高保真机理模型、控制导向降阶模型、数据增强模型和</w:t>
      </w:r>
      <w:proofErr w:type="gramStart"/>
      <w:r>
        <w:rPr>
          <w:lang w:eastAsia="zh-CN"/>
        </w:rPr>
        <w:t>极简快速</w:t>
      </w:r>
      <w:proofErr w:type="gramEnd"/>
      <w:r>
        <w:rPr>
          <w:lang w:eastAsia="zh-CN"/>
        </w:rPr>
        <w:t>模型四个层级，通过"精度继承"机制保持层级间的一致性。这一架构解决了水网建模中精度与速度的核心矛盾。</w:t>
      </w:r>
    </w:p>
    <w:p w14:paraId="31288B19" w14:textId="77777777" w:rsidR="000D05E4" w:rsidRDefault="00000000">
      <w:pPr>
        <w:ind w:firstLine="482"/>
        <w:rPr>
          <w:rFonts w:hint="eastAsia"/>
          <w:lang w:eastAsia="zh-CN"/>
        </w:rPr>
      </w:pPr>
      <w:r>
        <w:rPr>
          <w:lang w:eastAsia="zh-CN"/>
        </w:rPr>
        <w:t>第二，系统阐述了Saint-</w:t>
      </w:r>
      <w:proofErr w:type="spellStart"/>
      <w:r>
        <w:rPr>
          <w:lang w:eastAsia="zh-CN"/>
        </w:rPr>
        <w:t>Venant</w:t>
      </w:r>
      <w:proofErr w:type="spellEnd"/>
      <w:r>
        <w:rPr>
          <w:lang w:eastAsia="zh-CN"/>
        </w:rPr>
        <w:t>方程及</w:t>
      </w:r>
      <w:proofErr w:type="spellStart"/>
      <w:r>
        <w:rPr>
          <w:lang w:eastAsia="zh-CN"/>
        </w:rPr>
        <w:t>Preissmann</w:t>
      </w:r>
      <w:proofErr w:type="spellEnd"/>
      <w:r>
        <w:rPr>
          <w:lang w:eastAsia="zh-CN"/>
        </w:rPr>
        <w:t>四点隐式差分格式的数值方法，给出了南水北调中线全线的差分参数建议和不同工况下的</w:t>
      </w:r>
      <w:r>
        <w:t>θ</w:t>
      </w:r>
      <w:r>
        <w:rPr>
          <w:lang w:eastAsia="zh-CN"/>
        </w:rPr>
        <w:t>值选取准则。特别讨论了闸门水力学模型和倒虹吸进出口的流态转换处理。</w:t>
      </w:r>
    </w:p>
    <w:p w14:paraId="7B6CFA8C" w14:textId="77777777" w:rsidR="000D05E4" w:rsidRDefault="00000000">
      <w:pPr>
        <w:ind w:firstLine="482"/>
        <w:rPr>
          <w:rFonts w:hint="eastAsia"/>
          <w:lang w:eastAsia="zh-CN"/>
        </w:rPr>
      </w:pPr>
      <w:r>
        <w:rPr>
          <w:lang w:eastAsia="zh-CN"/>
        </w:rPr>
        <w:lastRenderedPageBreak/>
        <w:t>第三，建立了</w:t>
      </w:r>
      <w:proofErr w:type="spellStart"/>
      <w:r>
        <w:rPr>
          <w:lang w:eastAsia="zh-CN"/>
        </w:rPr>
        <w:t>Preissmann</w:t>
      </w:r>
      <w:proofErr w:type="spellEnd"/>
      <w:r>
        <w:rPr>
          <w:lang w:eastAsia="zh-CN"/>
        </w:rPr>
        <w:t>窄缝法统</w:t>
      </w:r>
      <w:proofErr w:type="gramStart"/>
      <w:r>
        <w:rPr>
          <w:lang w:eastAsia="zh-CN"/>
        </w:rPr>
        <w:t>一</w:t>
      </w:r>
      <w:proofErr w:type="gramEnd"/>
      <w:r>
        <w:rPr>
          <w:lang w:eastAsia="zh-CN"/>
        </w:rPr>
        <w:t>处理明渠-管道混合流的数学框架，解决了渠道与倒虹吸衔接处的流态转换建模难题。同时发展了冰期工况的水力-热力耦合模型，为南水北调中线冬季安全运行提供建模支撑。</w:t>
      </w:r>
    </w:p>
    <w:p w14:paraId="1ED4BD1B" w14:textId="77777777" w:rsidR="000D05E4" w:rsidRDefault="00000000">
      <w:pPr>
        <w:ind w:firstLine="482"/>
        <w:rPr>
          <w:rFonts w:hint="eastAsia"/>
          <w:lang w:eastAsia="zh-CN"/>
        </w:rPr>
      </w:pPr>
      <w:r>
        <w:rPr>
          <w:lang w:eastAsia="zh-CN"/>
        </w:rPr>
        <w:t>第四，详细推导了ID/IDZ控制导向降阶模型的传递函数和状态空间形式，将全线63个渠池的模型维度从Saint-</w:t>
      </w:r>
      <w:proofErr w:type="spellStart"/>
      <w:r>
        <w:rPr>
          <w:lang w:eastAsia="zh-CN"/>
        </w:rPr>
        <w:t>Venant</w:t>
      </w:r>
      <w:proofErr w:type="spellEnd"/>
      <w:r>
        <w:rPr>
          <w:lang w:eastAsia="zh-CN"/>
        </w:rPr>
        <w:t>方程的数千维降至63维，使MPC在线优化成为可能。同时介绍了POD和PINN等数据驱动降</w:t>
      </w:r>
      <w:proofErr w:type="gramStart"/>
      <w:r>
        <w:rPr>
          <w:lang w:eastAsia="zh-CN"/>
        </w:rPr>
        <w:t>阶方法</w:t>
      </w:r>
      <w:proofErr w:type="gramEnd"/>
      <w:r>
        <w:rPr>
          <w:lang w:eastAsia="zh-CN"/>
        </w:rPr>
        <w:t>作为补充手段。</w:t>
      </w:r>
    </w:p>
    <w:p w14:paraId="62676C2E" w14:textId="77777777" w:rsidR="000D05E4" w:rsidRDefault="00000000">
      <w:pPr>
        <w:ind w:firstLine="482"/>
        <w:rPr>
          <w:rFonts w:hint="eastAsia"/>
          <w:lang w:eastAsia="zh-CN"/>
        </w:rPr>
      </w:pPr>
      <w:r>
        <w:rPr>
          <w:lang w:eastAsia="zh-CN"/>
        </w:rPr>
        <w:t>第五，建立了包含RLS在线辨识、多模型切换、精度校核指标体系在内的完整模型管理机制，以及"自动监测→自动修复→人工兜底"的安全闭环。</w:t>
      </w:r>
    </w:p>
    <w:p w14:paraId="34AE0378" w14:textId="77777777" w:rsidR="000D05E4" w:rsidRDefault="00000000">
      <w:pPr>
        <w:ind w:firstLine="482"/>
        <w:rPr>
          <w:rFonts w:hint="eastAsia"/>
          <w:lang w:eastAsia="zh-CN"/>
        </w:rPr>
      </w:pPr>
      <w:r>
        <w:rPr>
          <w:lang w:eastAsia="zh-CN"/>
        </w:rPr>
        <w:t>第六，通过与荷兰和法国的国际对标，明确了中国在控制导向建模、模型在线运维和模型管理规范三个方面的差距，提出了分三步走的追赶策略。</w:t>
      </w:r>
    </w:p>
    <w:p w14:paraId="12C7D582" w14:textId="77777777" w:rsidR="000D05E4" w:rsidRDefault="00000000">
      <w:pPr>
        <w:ind w:firstLine="482"/>
        <w:rPr>
          <w:rFonts w:hint="eastAsia"/>
          <w:lang w:eastAsia="zh-CN"/>
        </w:rPr>
      </w:pPr>
      <w:r>
        <w:rPr>
          <w:lang w:eastAsia="zh-CN"/>
        </w:rPr>
        <w:t>上述建模方法和模型管理机制为后续第六章（状态重构与预测）和第七章（分层分布式优化控制）提供了模型基座。没有可信的模型，就没有可信的控制——这是本章的核心结论。</w:t>
      </w:r>
    </w:p>
    <w:p w14:paraId="17569793" w14:textId="77777777" w:rsidR="000D05E4" w:rsidRDefault="000D05E4">
      <w:pPr>
        <w:rPr>
          <w:rFonts w:hint="eastAsia"/>
          <w:lang w:eastAsia="zh-CN"/>
        </w:rPr>
      </w:pPr>
    </w:p>
    <w:p w14:paraId="7001907B" w14:textId="77777777" w:rsidR="000D05E4" w:rsidRDefault="00000000">
      <w:pPr>
        <w:spacing w:before="280" w:after="200"/>
        <w:rPr>
          <w:rFonts w:hint="eastAsia"/>
        </w:rPr>
      </w:pPr>
      <w:proofErr w:type="spellStart"/>
      <w:r>
        <w:rPr>
          <w:b/>
          <w:sz w:val="28"/>
        </w:rPr>
        <w:t>第五章参考文献</w:t>
      </w:r>
      <w:proofErr w:type="spellEnd"/>
    </w:p>
    <w:p w14:paraId="0710B3BA" w14:textId="77777777" w:rsidR="000D05E4" w:rsidRDefault="00000000">
      <w:pPr>
        <w:spacing w:before="30" w:after="30" w:line="360" w:lineRule="exact"/>
        <w:ind w:left="482" w:hanging="482"/>
        <w:rPr>
          <w:rFonts w:hint="eastAsia"/>
        </w:rPr>
      </w:pPr>
      <w:r>
        <w:rPr>
          <w:sz w:val="20"/>
        </w:rPr>
        <w:t>[1] Rawlings J B, Mayne D Q, Diehl M. Model Predictive Control: Theory, Computation, and Design[M]. 2nd ed. Madison: Nob Hill Publishing, 2017.</w:t>
      </w:r>
    </w:p>
    <w:p w14:paraId="26CB8F8F" w14:textId="77777777" w:rsidR="000D05E4" w:rsidRDefault="00000000">
      <w:pPr>
        <w:spacing w:before="30" w:after="30" w:line="360" w:lineRule="exact"/>
        <w:ind w:left="482" w:hanging="482"/>
        <w:rPr>
          <w:rFonts w:hint="eastAsia"/>
          <w:lang w:eastAsia="zh-CN"/>
        </w:rPr>
      </w:pPr>
      <w:r>
        <w:rPr>
          <w:sz w:val="20"/>
          <w:lang w:eastAsia="zh-CN"/>
        </w:rPr>
        <w:t>[2] 雷晓辉, 蒋云钟, 王</w:t>
      </w:r>
      <w:proofErr w:type="gramStart"/>
      <w:r>
        <w:rPr>
          <w:sz w:val="20"/>
          <w:lang w:eastAsia="zh-CN"/>
        </w:rPr>
        <w:t>浩</w:t>
      </w:r>
      <w:proofErr w:type="gramEnd"/>
      <w:r>
        <w:rPr>
          <w:sz w:val="20"/>
          <w:lang w:eastAsia="zh-CN"/>
        </w:rPr>
        <w:t>, 等. 水系统控制论: 从智能调控到自主运行[J]. 中国科学: 技术科学, 2024.</w:t>
      </w:r>
    </w:p>
    <w:p w14:paraId="6A4F2222" w14:textId="77777777" w:rsidR="000D05E4" w:rsidRDefault="00000000">
      <w:pPr>
        <w:spacing w:before="30" w:after="30" w:line="360" w:lineRule="exact"/>
        <w:ind w:left="482" w:hanging="482"/>
        <w:rPr>
          <w:rFonts w:hint="eastAsia"/>
        </w:rPr>
      </w:pPr>
      <w:r>
        <w:rPr>
          <w:sz w:val="20"/>
        </w:rPr>
        <w:t xml:space="preserve">[3] </w:t>
      </w:r>
      <w:proofErr w:type="spellStart"/>
      <w:r>
        <w:rPr>
          <w:sz w:val="20"/>
        </w:rPr>
        <w:t>Antoulas</w:t>
      </w:r>
      <w:proofErr w:type="spellEnd"/>
      <w:r>
        <w:rPr>
          <w:sz w:val="20"/>
        </w:rPr>
        <w:t xml:space="preserve"> A C. Approximation of Large-Scale Dynamical Systems[M]. Philadelphia: SIAM, 2005.</w:t>
      </w:r>
    </w:p>
    <w:p w14:paraId="78DD739A" w14:textId="77777777" w:rsidR="000D05E4" w:rsidRDefault="00000000">
      <w:pPr>
        <w:spacing w:before="30" w:after="30" w:line="360" w:lineRule="exact"/>
        <w:ind w:left="482" w:hanging="482"/>
        <w:rPr>
          <w:rFonts w:hint="eastAsia"/>
        </w:rPr>
      </w:pPr>
      <w:r>
        <w:rPr>
          <w:sz w:val="20"/>
        </w:rPr>
        <w:t>[4] Stevens B L, Lewis F L, Johnson E N. Aircraft Control and Simulation[M]. 3rd ed. Hoboken: Wiley, 2016.</w:t>
      </w:r>
    </w:p>
    <w:p w14:paraId="62A8C172" w14:textId="77777777" w:rsidR="000D05E4" w:rsidRDefault="00000000">
      <w:pPr>
        <w:spacing w:before="30" w:after="30" w:line="360" w:lineRule="exact"/>
        <w:ind w:left="482" w:hanging="482"/>
        <w:rPr>
          <w:rFonts w:hint="eastAsia"/>
        </w:rPr>
      </w:pPr>
      <w:r>
        <w:rPr>
          <w:sz w:val="20"/>
        </w:rPr>
        <w:t>[5] Kundur P. Power System Stability and Control[M]. New York: McGraw-Hill, 1994.</w:t>
      </w:r>
    </w:p>
    <w:p w14:paraId="7F121ED5" w14:textId="77777777" w:rsidR="000D05E4" w:rsidRDefault="00000000">
      <w:pPr>
        <w:spacing w:before="30" w:after="30" w:line="360" w:lineRule="exact"/>
        <w:ind w:left="482" w:hanging="482"/>
        <w:rPr>
          <w:rFonts w:hint="eastAsia"/>
        </w:rPr>
      </w:pPr>
      <w:r>
        <w:rPr>
          <w:sz w:val="20"/>
        </w:rPr>
        <w:t>[6] Karniadakis G E, Kevrekidis I G, Lu L, et al. Physics-informed machine learning[J]. Nature Reviews Physics, 2021, 3(6): 422-440.</w:t>
      </w:r>
    </w:p>
    <w:p w14:paraId="7535CB36" w14:textId="77777777" w:rsidR="000D05E4" w:rsidRDefault="00000000">
      <w:pPr>
        <w:spacing w:before="30" w:after="30" w:line="360" w:lineRule="exact"/>
        <w:ind w:left="482" w:hanging="482"/>
        <w:rPr>
          <w:rFonts w:hint="eastAsia"/>
        </w:rPr>
      </w:pPr>
      <w:r>
        <w:rPr>
          <w:sz w:val="20"/>
        </w:rPr>
        <w:t>[7] 雷晓辉. 水网自主运行技术体系与发展路径[J]. 中国水利, 2024.</w:t>
      </w:r>
    </w:p>
    <w:p w14:paraId="2BC1BDF2" w14:textId="77777777" w:rsidR="000D05E4" w:rsidRDefault="00000000">
      <w:pPr>
        <w:spacing w:before="30" w:after="30" w:line="360" w:lineRule="exact"/>
        <w:ind w:left="482" w:hanging="482"/>
        <w:rPr>
          <w:rFonts w:hint="eastAsia"/>
        </w:rPr>
      </w:pPr>
      <w:r>
        <w:rPr>
          <w:sz w:val="20"/>
        </w:rPr>
        <w:t>[8] Chaudhry M H. Open-Channel Flow[M]. 3rd ed. New York: Springer, 2022.</w:t>
      </w:r>
    </w:p>
    <w:p w14:paraId="42A0B2F9" w14:textId="77777777" w:rsidR="000D05E4" w:rsidRDefault="00000000">
      <w:pPr>
        <w:spacing w:before="30" w:after="30" w:line="360" w:lineRule="exact"/>
        <w:ind w:left="482" w:hanging="482"/>
        <w:rPr>
          <w:rFonts w:hint="eastAsia"/>
        </w:rPr>
      </w:pPr>
      <w:r>
        <w:rPr>
          <w:sz w:val="20"/>
        </w:rPr>
        <w:t>[9] Wylie E B, Streeter V L, Suo L. Fluid Transients in Systems[M]. Englewood Cliffs: Prentice Hall, 1993.</w:t>
      </w:r>
    </w:p>
    <w:p w14:paraId="29FECDEE" w14:textId="77777777" w:rsidR="000D05E4" w:rsidRDefault="00000000">
      <w:pPr>
        <w:spacing w:before="30" w:after="30" w:line="360" w:lineRule="exact"/>
        <w:ind w:left="482" w:hanging="482"/>
        <w:rPr>
          <w:rFonts w:hint="eastAsia"/>
        </w:rPr>
      </w:pPr>
      <w:r>
        <w:rPr>
          <w:sz w:val="20"/>
        </w:rPr>
        <w:t>[10] Vasconcelos J G, Wright S J. Numerical modeling of the transition between free surface and pressurized flow in storm sewers[J]. Journal of Hydraulic Engineering, 2007, 133(10): 1071-1079.</w:t>
      </w:r>
    </w:p>
    <w:p w14:paraId="2F2EE446" w14:textId="77777777" w:rsidR="000D05E4" w:rsidRDefault="00000000">
      <w:pPr>
        <w:spacing w:before="30" w:after="30" w:line="360" w:lineRule="exact"/>
        <w:ind w:left="482" w:hanging="482"/>
        <w:rPr>
          <w:rFonts w:hint="eastAsia"/>
        </w:rPr>
      </w:pPr>
      <w:r>
        <w:rPr>
          <w:sz w:val="20"/>
        </w:rPr>
        <w:lastRenderedPageBreak/>
        <w:t>[11] Shen H T. Mathematical modeling of river ice processes[J]. Cold Regions Science and Technology, 2010, 62(1): 3-13.</w:t>
      </w:r>
    </w:p>
    <w:p w14:paraId="34F82FD7" w14:textId="77777777" w:rsidR="000D05E4" w:rsidRDefault="00000000">
      <w:pPr>
        <w:spacing w:before="30" w:after="30" w:line="360" w:lineRule="exact"/>
        <w:ind w:left="482" w:hanging="482"/>
        <w:rPr>
          <w:rFonts w:hint="eastAsia"/>
          <w:lang w:eastAsia="zh-CN"/>
        </w:rPr>
      </w:pPr>
      <w:r>
        <w:rPr>
          <w:sz w:val="20"/>
          <w:lang w:eastAsia="zh-CN"/>
        </w:rPr>
        <w:t>[12] 穆祥鹏, 雷晓辉, 蒋云钟, 等. 南水北调中线一期工程自动化调度关键技术[J]. 南水北调与水利科技, 2020, 18(6): 190-198.</w:t>
      </w:r>
    </w:p>
    <w:p w14:paraId="30501FDA" w14:textId="77777777" w:rsidR="000D05E4" w:rsidRDefault="00000000">
      <w:pPr>
        <w:spacing w:before="30" w:after="30" w:line="360" w:lineRule="exact"/>
        <w:ind w:left="482" w:hanging="482"/>
        <w:rPr>
          <w:rFonts w:hint="eastAsia"/>
        </w:rPr>
      </w:pPr>
      <w:r>
        <w:rPr>
          <w:sz w:val="20"/>
        </w:rPr>
        <w:t>[13] Cunge J A, Holly F M, Verwey A. Practical Aspects of Computational River Hydraulics[M]. London: Pitman, 1980.</w:t>
      </w:r>
    </w:p>
    <w:p w14:paraId="0CE2B262" w14:textId="77777777" w:rsidR="000D05E4" w:rsidRDefault="00000000">
      <w:pPr>
        <w:spacing w:before="30" w:after="30" w:line="360" w:lineRule="exact"/>
        <w:ind w:left="482" w:hanging="482"/>
        <w:rPr>
          <w:rFonts w:hint="eastAsia"/>
        </w:rPr>
      </w:pPr>
      <w:r>
        <w:rPr>
          <w:sz w:val="20"/>
        </w:rPr>
        <w:t>[14] Abbott M B, Ionescu F. On the numerical computation of nearly horizontal flows[J]. Journal of Hydraulic Research, 1967, 5(2): 97-117.</w:t>
      </w:r>
    </w:p>
    <w:p w14:paraId="6FE21850" w14:textId="77777777" w:rsidR="000D05E4" w:rsidRDefault="00000000">
      <w:pPr>
        <w:spacing w:before="30" w:after="30" w:line="360" w:lineRule="exact"/>
        <w:ind w:left="482" w:hanging="482"/>
        <w:rPr>
          <w:rFonts w:hint="eastAsia"/>
        </w:rPr>
      </w:pPr>
      <w:r>
        <w:rPr>
          <w:sz w:val="20"/>
        </w:rPr>
        <w:t>[15] Strelkoff T. Numerical solution of Saint-Venant equations[J]. Journal of Hydraulic Division, ASCE, 1970, 96(1): 223-252.</w:t>
      </w:r>
    </w:p>
    <w:p w14:paraId="4FCBB68A" w14:textId="77777777" w:rsidR="000D05E4" w:rsidRDefault="00000000">
      <w:pPr>
        <w:spacing w:before="30" w:after="30" w:line="360" w:lineRule="exact"/>
        <w:ind w:left="482" w:hanging="482"/>
        <w:rPr>
          <w:rFonts w:hint="eastAsia"/>
        </w:rPr>
      </w:pPr>
      <w:r>
        <w:rPr>
          <w:sz w:val="20"/>
        </w:rPr>
        <w:t>[16] 南水北调中线干线工程建设管理局. 南水北调中线一期工程冰期输水调度运用方案[R]. 北京, 2023.</w:t>
      </w:r>
    </w:p>
    <w:p w14:paraId="5526A12D" w14:textId="77777777" w:rsidR="000D05E4" w:rsidRDefault="00000000">
      <w:pPr>
        <w:spacing w:before="30" w:after="30" w:line="360" w:lineRule="exact"/>
        <w:ind w:left="482" w:hanging="482"/>
        <w:rPr>
          <w:rFonts w:hint="eastAsia"/>
        </w:rPr>
      </w:pPr>
      <w:r>
        <w:rPr>
          <w:sz w:val="20"/>
        </w:rPr>
        <w:t>[17] Swamee P K. Sluice-gate discharge equations[J]. Journal of Irrigation and Drainage Engineering, 1992, 118(1): 56-60.</w:t>
      </w:r>
    </w:p>
    <w:p w14:paraId="46021B68" w14:textId="77777777" w:rsidR="000D05E4" w:rsidRDefault="00000000">
      <w:pPr>
        <w:spacing w:before="30" w:after="30" w:line="360" w:lineRule="exact"/>
        <w:ind w:left="482" w:hanging="482"/>
        <w:rPr>
          <w:rFonts w:hint="eastAsia"/>
        </w:rPr>
      </w:pPr>
      <w:r>
        <w:rPr>
          <w:sz w:val="20"/>
        </w:rPr>
        <w:t>[18] Henderson F M. Open Channel Flow[M]. New York: Macmillan, 1966.</w:t>
      </w:r>
    </w:p>
    <w:p w14:paraId="59E23960" w14:textId="77777777" w:rsidR="000D05E4" w:rsidRDefault="00000000">
      <w:pPr>
        <w:spacing w:before="30" w:after="30" w:line="360" w:lineRule="exact"/>
        <w:ind w:left="482" w:hanging="482"/>
        <w:rPr>
          <w:rFonts w:hint="eastAsia"/>
        </w:rPr>
      </w:pPr>
      <w:r>
        <w:rPr>
          <w:sz w:val="20"/>
        </w:rPr>
        <w:t>[19] Neary V S, Sotiropoulos F, Odgaard A J. Three-dimensional numerical model of lateral-intake inflows[J]. Journal of Hydraulic Engineering, 1999, 125(2): 126-140.</w:t>
      </w:r>
    </w:p>
    <w:p w14:paraId="56BFF47C" w14:textId="77777777" w:rsidR="000D05E4" w:rsidRDefault="00000000">
      <w:pPr>
        <w:spacing w:before="30" w:after="30" w:line="360" w:lineRule="exact"/>
        <w:ind w:left="482" w:hanging="482"/>
        <w:rPr>
          <w:rFonts w:hint="eastAsia"/>
        </w:rPr>
      </w:pPr>
      <w:r>
        <w:rPr>
          <w:sz w:val="20"/>
        </w:rPr>
        <w:t>[20] Capart H, Sillen X, Zech Y. Numerical and experimental water transients in sewer pipes[J]. Journal of Hydraulic Research, 1997, 35(5): 659-672.</w:t>
      </w:r>
    </w:p>
    <w:p w14:paraId="1D13265F" w14:textId="77777777" w:rsidR="000D05E4" w:rsidRDefault="00000000">
      <w:pPr>
        <w:spacing w:before="30" w:after="30" w:line="360" w:lineRule="exact"/>
        <w:ind w:left="482" w:hanging="482"/>
        <w:rPr>
          <w:rFonts w:hint="eastAsia"/>
        </w:rPr>
      </w:pPr>
      <w:r>
        <w:rPr>
          <w:sz w:val="20"/>
        </w:rPr>
        <w:t>[21] 王浩, 雷晓辉. 国家水网智能调控技术体系研究[J]. 中国水利, 2024.</w:t>
      </w:r>
    </w:p>
    <w:p w14:paraId="02B3BE84" w14:textId="77777777" w:rsidR="000D05E4" w:rsidRDefault="00000000">
      <w:pPr>
        <w:spacing w:before="30" w:after="30" w:line="360" w:lineRule="exact"/>
        <w:ind w:left="482" w:hanging="482"/>
        <w:rPr>
          <w:rFonts w:hint="eastAsia"/>
        </w:rPr>
      </w:pPr>
      <w:r>
        <w:rPr>
          <w:sz w:val="20"/>
        </w:rPr>
        <w:t>[22] Bourdarias C, Gerbi S. A finite volume scheme for a model coupling free surface and pressurised flows in pipes[J]. Journal of Computational and Applied Mathematics, 2007, 209(1): 109-131.</w:t>
      </w:r>
    </w:p>
    <w:p w14:paraId="44A083AD" w14:textId="77777777" w:rsidR="000D05E4" w:rsidRDefault="00000000">
      <w:pPr>
        <w:spacing w:before="30" w:after="30" w:line="360" w:lineRule="exact"/>
        <w:ind w:left="482" w:hanging="482"/>
        <w:rPr>
          <w:rFonts w:hint="eastAsia"/>
        </w:rPr>
      </w:pPr>
      <w:r>
        <w:rPr>
          <w:sz w:val="20"/>
        </w:rPr>
        <w:t>[23] Ashton G D. River and Lake Ice Engineering[M]. Highlands Ranch: Water Resources Publications, 1986.</w:t>
      </w:r>
    </w:p>
    <w:p w14:paraId="5CE866C1" w14:textId="77777777" w:rsidR="000D05E4" w:rsidRDefault="00000000">
      <w:pPr>
        <w:spacing w:before="30" w:after="30" w:line="360" w:lineRule="exact"/>
        <w:ind w:left="482" w:hanging="482"/>
        <w:rPr>
          <w:rFonts w:hint="eastAsia"/>
        </w:rPr>
      </w:pPr>
      <w:r>
        <w:rPr>
          <w:sz w:val="20"/>
        </w:rPr>
        <w:t>[24] Beltaos S. River Ice Breakup[M]. Highlands Ranch: Water Resources Publications, 2008.</w:t>
      </w:r>
    </w:p>
    <w:p w14:paraId="5ABAE1F6" w14:textId="77777777" w:rsidR="000D05E4" w:rsidRDefault="00000000">
      <w:pPr>
        <w:spacing w:before="30" w:after="30" w:line="360" w:lineRule="exact"/>
        <w:ind w:left="482" w:hanging="482"/>
        <w:rPr>
          <w:rFonts w:hint="eastAsia"/>
          <w:lang w:eastAsia="zh-CN"/>
        </w:rPr>
      </w:pPr>
      <w:r>
        <w:rPr>
          <w:sz w:val="20"/>
          <w:lang w:eastAsia="zh-CN"/>
        </w:rPr>
        <w:t>[25] 南水北调中线干线工程建设管理局. 南水北调中线工程2023–2024年度冰期输水总结报告[R]. 北京, 2024.</w:t>
      </w:r>
    </w:p>
    <w:p w14:paraId="4E7B9121" w14:textId="77777777" w:rsidR="000D05E4" w:rsidRDefault="00000000">
      <w:pPr>
        <w:spacing w:before="30" w:after="30" w:line="360" w:lineRule="exact"/>
        <w:ind w:left="482" w:hanging="482"/>
        <w:rPr>
          <w:rFonts w:hint="eastAsia"/>
        </w:rPr>
      </w:pPr>
      <w:r>
        <w:rPr>
          <w:sz w:val="20"/>
        </w:rPr>
        <w:t>[26] Schuurmans J, Clemmens A J, Dijkstra S, et al. Modeling of irrigation and drainage canals for controller design[J]. Journal of Irrigation and Drainage Engineering, 1999, 125(6): 338-344.</w:t>
      </w:r>
    </w:p>
    <w:p w14:paraId="757B7501" w14:textId="77777777" w:rsidR="000D05E4" w:rsidRDefault="00000000">
      <w:pPr>
        <w:spacing w:before="30" w:after="30" w:line="360" w:lineRule="exact"/>
        <w:ind w:left="482" w:hanging="482"/>
        <w:rPr>
          <w:rFonts w:hint="eastAsia"/>
        </w:rPr>
      </w:pPr>
      <w:r>
        <w:rPr>
          <w:sz w:val="20"/>
        </w:rPr>
        <w:t>[27] Holmes P, Lumley J L, Berkooz G, et al. Turbulence, Coherent Structures, Dynamical Systems and Symmetry[M]. 2nd ed. Cambridge: Cambridge University Press, 2012.</w:t>
      </w:r>
    </w:p>
    <w:p w14:paraId="1C449549" w14:textId="77777777" w:rsidR="000D05E4" w:rsidRDefault="00000000">
      <w:pPr>
        <w:spacing w:before="30" w:after="30" w:line="360" w:lineRule="exact"/>
        <w:ind w:left="482" w:hanging="482"/>
        <w:rPr>
          <w:rFonts w:hint="eastAsia"/>
        </w:rPr>
      </w:pPr>
      <w:r>
        <w:rPr>
          <w:sz w:val="20"/>
        </w:rPr>
        <w:t>[28] Moore B C. Principal component analysis in linear systems: Controllability, observability, and model reduction[J]. IEEE Transactions on Automatic Control, 1981, 26(1): 17-32.</w:t>
      </w:r>
    </w:p>
    <w:p w14:paraId="0E1FD6FB" w14:textId="77777777" w:rsidR="000D05E4" w:rsidRDefault="00000000">
      <w:pPr>
        <w:spacing w:before="30" w:after="30" w:line="360" w:lineRule="exact"/>
        <w:ind w:left="482" w:hanging="482"/>
        <w:rPr>
          <w:rFonts w:hint="eastAsia"/>
        </w:rPr>
      </w:pPr>
      <w:r>
        <w:rPr>
          <w:sz w:val="20"/>
        </w:rPr>
        <w:t>[29] Litrico X, Fromion V. Modeling and Control of Hydrosystems[M]. London: Springer, 2009.</w:t>
      </w:r>
    </w:p>
    <w:p w14:paraId="76871D44" w14:textId="77777777" w:rsidR="000D05E4" w:rsidRDefault="00000000">
      <w:pPr>
        <w:spacing w:before="30" w:after="30" w:line="360" w:lineRule="exact"/>
        <w:ind w:left="482" w:hanging="482"/>
        <w:rPr>
          <w:rFonts w:hint="eastAsia"/>
        </w:rPr>
      </w:pPr>
      <w:r>
        <w:rPr>
          <w:sz w:val="20"/>
        </w:rPr>
        <w:lastRenderedPageBreak/>
        <w:t>[30] Mayne D Q, Rawlings J B, Rao C V, et al. Constrained model predictive control: Stability and optimality[J]. Automatica, 2000, 36(6): 789-814.</w:t>
      </w:r>
    </w:p>
    <w:p w14:paraId="387AC1D9" w14:textId="77777777" w:rsidR="000D05E4" w:rsidRDefault="00000000">
      <w:pPr>
        <w:spacing w:before="30" w:after="30" w:line="360" w:lineRule="exact"/>
        <w:ind w:left="482" w:hanging="482"/>
        <w:rPr>
          <w:rFonts w:hint="eastAsia"/>
        </w:rPr>
      </w:pPr>
      <w:r>
        <w:rPr>
          <w:sz w:val="20"/>
        </w:rPr>
        <w:t>[31] Raissi M, Perdikaris P, Karniadakis G E. Physics-informed neural networks: A deep learning framework for solving forward and inverse problems involving nonlinear partial differential equations[J]. Journal of Computational Physics, 2019, 378: 686-707.</w:t>
      </w:r>
    </w:p>
    <w:p w14:paraId="586B7D51" w14:textId="77777777" w:rsidR="000D05E4" w:rsidRDefault="00000000">
      <w:pPr>
        <w:spacing w:before="30" w:after="30" w:line="360" w:lineRule="exact"/>
        <w:ind w:left="482" w:hanging="482"/>
        <w:rPr>
          <w:rFonts w:hint="eastAsia"/>
        </w:rPr>
      </w:pPr>
      <w:r>
        <w:rPr>
          <w:sz w:val="20"/>
        </w:rPr>
        <w:t>[32] Clemmens A J, Kacerek T F, Grawitz B, et al. Test cases for canal control algorithms[J]. Journal of Irrigation and Drainage Engineering, 1998, 124(1): 23-30.</w:t>
      </w:r>
    </w:p>
    <w:p w14:paraId="2EB38450" w14:textId="77777777" w:rsidR="000D05E4" w:rsidRDefault="00000000">
      <w:pPr>
        <w:spacing w:before="30" w:after="30" w:line="360" w:lineRule="exact"/>
        <w:ind w:left="482" w:hanging="482"/>
        <w:rPr>
          <w:rFonts w:hint="eastAsia"/>
        </w:rPr>
      </w:pPr>
      <w:r>
        <w:rPr>
          <w:sz w:val="20"/>
        </w:rPr>
        <w:t>[33] 雷晓辉, 廖卫红, 蒋云钟, 等. 水利智能化关键技术综述与展望[J]. 水利学报, 2023, 54(1): 1-13.</w:t>
      </w:r>
    </w:p>
    <w:p w14:paraId="37E7BC84" w14:textId="77777777" w:rsidR="000D05E4" w:rsidRDefault="00000000">
      <w:pPr>
        <w:spacing w:before="30" w:after="30" w:line="360" w:lineRule="exact"/>
        <w:ind w:left="482" w:hanging="482"/>
        <w:rPr>
          <w:rFonts w:hint="eastAsia"/>
        </w:rPr>
      </w:pPr>
      <w:r>
        <w:rPr>
          <w:sz w:val="20"/>
        </w:rPr>
        <w:t>[34] Gregersen J B, Gijsbers P J A, Westen S J P. OpenMI: Open modelling interface[J]. Journal of Hydroinformatics, 2007, 9(3): 175-191.</w:t>
      </w:r>
    </w:p>
    <w:p w14:paraId="5037EA6B" w14:textId="77777777" w:rsidR="000D05E4" w:rsidRDefault="00000000">
      <w:pPr>
        <w:spacing w:before="30" w:after="30" w:line="360" w:lineRule="exact"/>
        <w:ind w:left="482" w:hanging="482"/>
        <w:rPr>
          <w:rFonts w:hint="eastAsia"/>
        </w:rPr>
      </w:pPr>
      <w:r>
        <w:rPr>
          <w:sz w:val="20"/>
        </w:rPr>
        <w:t>[35] ASCE Task Committee on Verification and Validation. Standard Guidelines for the Verification and Validation of Computational Fluid Dynamics Simulations: ASCE/EWRI 70-19[S]. Reston: ASCE, 2019.</w:t>
      </w:r>
    </w:p>
    <w:p w14:paraId="0C28FC3E" w14:textId="77777777" w:rsidR="000D05E4" w:rsidRDefault="00000000">
      <w:pPr>
        <w:spacing w:before="30" w:after="30" w:line="360" w:lineRule="exact"/>
        <w:ind w:left="482" w:hanging="482"/>
        <w:rPr>
          <w:rFonts w:hint="eastAsia"/>
        </w:rPr>
      </w:pPr>
      <w:r>
        <w:rPr>
          <w:sz w:val="20"/>
        </w:rPr>
        <w:t>[36] ASME. Standard for Verification and Validation in Computational Fluid Dynamics and Heat Transfer: ASME V&amp;V 20-2009[S]. New York: ASME, 2009.</w:t>
      </w:r>
    </w:p>
    <w:p w14:paraId="1B61832F" w14:textId="77777777" w:rsidR="000D05E4" w:rsidRDefault="00000000">
      <w:pPr>
        <w:spacing w:before="30" w:after="30" w:line="360" w:lineRule="exact"/>
        <w:ind w:left="482" w:hanging="482"/>
        <w:rPr>
          <w:rFonts w:hint="eastAsia"/>
        </w:rPr>
      </w:pPr>
      <w:r>
        <w:rPr>
          <w:sz w:val="20"/>
        </w:rPr>
        <w:t>[37] Ljung L. System Identification: Theory for the User[M]. 2nd ed. Upper Saddle River: Prentice Hall, 1999.</w:t>
      </w:r>
    </w:p>
    <w:p w14:paraId="06F25F72" w14:textId="77777777" w:rsidR="000D05E4" w:rsidRDefault="00000000">
      <w:pPr>
        <w:spacing w:before="30" w:after="30" w:line="360" w:lineRule="exact"/>
        <w:ind w:left="482" w:hanging="482"/>
        <w:rPr>
          <w:rFonts w:hint="eastAsia"/>
        </w:rPr>
      </w:pPr>
      <w:r>
        <w:rPr>
          <w:sz w:val="20"/>
        </w:rPr>
        <w:t>[38] Åström K J, Wittenmark B. Adaptive Control[M]. 2nd ed. Reading: Addison-Wesley, 1995.</w:t>
      </w:r>
    </w:p>
    <w:p w14:paraId="1B4442D3" w14:textId="77777777" w:rsidR="000D05E4" w:rsidRDefault="00000000">
      <w:pPr>
        <w:spacing w:before="30" w:after="30" w:line="360" w:lineRule="exact"/>
        <w:ind w:left="482" w:hanging="482"/>
        <w:rPr>
          <w:rFonts w:hint="eastAsia"/>
        </w:rPr>
      </w:pPr>
      <w:r>
        <w:rPr>
          <w:sz w:val="20"/>
        </w:rPr>
        <w:t>[39] Narendra K S, Balakrishnan J. Adaptive control using multiple models[J]. IEEE Transactions on Automatic Control, 1997, 42(2): 171-187.</w:t>
      </w:r>
    </w:p>
    <w:p w14:paraId="24C46B26" w14:textId="77777777" w:rsidR="000D05E4" w:rsidRDefault="00000000">
      <w:pPr>
        <w:spacing w:before="30" w:after="30" w:line="360" w:lineRule="exact"/>
        <w:ind w:left="482" w:hanging="482"/>
        <w:rPr>
          <w:rFonts w:hint="eastAsia"/>
        </w:rPr>
      </w:pPr>
      <w:r>
        <w:rPr>
          <w:sz w:val="20"/>
        </w:rPr>
        <w:t>[40] Zaccarian L, Teel A R. Modern Anti-windup Synthesis: Control Augmentation for Actuator Saturation[M]. Princeton: Princeton University Press, 2011.</w:t>
      </w:r>
    </w:p>
    <w:p w14:paraId="1E4F6A1F" w14:textId="77777777" w:rsidR="000D05E4" w:rsidRDefault="00000000">
      <w:pPr>
        <w:spacing w:before="30" w:after="30" w:line="360" w:lineRule="exact"/>
        <w:ind w:left="482" w:hanging="482"/>
        <w:rPr>
          <w:rFonts w:hint="eastAsia"/>
        </w:rPr>
      </w:pPr>
      <w:r>
        <w:rPr>
          <w:sz w:val="20"/>
        </w:rPr>
        <w:t>[41] Nash J E, Sutcliffe J V. River flow forecasting through conceptual models part I: A discussion of principles[J]. Journal of Hydrology, 1970, 10(3): 282-290.</w:t>
      </w:r>
    </w:p>
    <w:p w14:paraId="67A6EE84" w14:textId="77777777" w:rsidR="000D05E4" w:rsidRDefault="00000000">
      <w:pPr>
        <w:spacing w:before="30" w:after="30" w:line="360" w:lineRule="exact"/>
        <w:ind w:left="482" w:hanging="482"/>
        <w:rPr>
          <w:rFonts w:hint="eastAsia"/>
        </w:rPr>
      </w:pPr>
      <w:r>
        <w:rPr>
          <w:sz w:val="20"/>
        </w:rPr>
        <w:t>[42] 雷晓辉, 蒋云钟, 王浩, 等. 水网智能调控与自主运行关键技术研究报告[R]. 北京, 2024.</w:t>
      </w:r>
    </w:p>
    <w:p w14:paraId="0A193432" w14:textId="77777777" w:rsidR="000D05E4" w:rsidRDefault="00000000">
      <w:pPr>
        <w:spacing w:before="30" w:after="30" w:line="360" w:lineRule="exact"/>
        <w:ind w:left="482" w:hanging="482"/>
        <w:rPr>
          <w:rFonts w:hint="eastAsia"/>
        </w:rPr>
      </w:pPr>
      <w:r>
        <w:rPr>
          <w:sz w:val="20"/>
        </w:rPr>
        <w:t>[43] van Overloop P J, Clemmens A J, Strand R J, et al. Real-time implementation of model predictive control on Maricopa-Stanfield Irrigation and Drainage District’s WM Canal[J]. Journal of Irrigation and Drainage Engineering, 2010, 136(11): 747-756.</w:t>
      </w:r>
    </w:p>
    <w:p w14:paraId="03F40768" w14:textId="77777777" w:rsidR="000D05E4" w:rsidRDefault="00000000">
      <w:pPr>
        <w:spacing w:before="30" w:after="30" w:line="360" w:lineRule="exact"/>
        <w:ind w:left="482" w:hanging="482"/>
        <w:rPr>
          <w:rFonts w:hint="eastAsia"/>
        </w:rPr>
      </w:pPr>
      <w:r>
        <w:rPr>
          <w:sz w:val="20"/>
        </w:rPr>
        <w:t>[44] Malaterre P O, Rogers D C, Schuurmans J. Classification of canal control algorithms[J]. Journal of Irrigation and Drainage Engineering, 1998, 124(1): 3-10.</w:t>
      </w:r>
    </w:p>
    <w:p w14:paraId="43CCDED2" w14:textId="77777777" w:rsidR="000D05E4" w:rsidRDefault="00000000">
      <w:pPr>
        <w:spacing w:before="30" w:after="30" w:line="360" w:lineRule="exact"/>
        <w:ind w:left="482" w:hanging="482"/>
        <w:rPr>
          <w:rFonts w:hint="eastAsia"/>
        </w:rPr>
      </w:pPr>
      <w:r>
        <w:rPr>
          <w:sz w:val="20"/>
        </w:rPr>
        <w:t>[45] 水利部. 南水北调工程运行管理条例[Z]. 北京, 2021.</w:t>
      </w:r>
    </w:p>
    <w:sectPr w:rsidR="000D05E4" w:rsidSect="00034616">
      <w:pgSz w:w="11906" w:h="16838"/>
      <w:pgMar w:top="1440" w:right="1304" w:bottom="144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2FB19" w14:textId="77777777" w:rsidR="002D11ED" w:rsidRDefault="002D11ED" w:rsidP="008C6D8C">
      <w:pPr>
        <w:spacing w:before="0" w:after="0" w:line="240" w:lineRule="auto"/>
        <w:rPr>
          <w:rFonts w:hint="eastAsia"/>
        </w:rPr>
      </w:pPr>
      <w:r>
        <w:separator/>
      </w:r>
    </w:p>
  </w:endnote>
  <w:endnote w:type="continuationSeparator" w:id="0">
    <w:p w14:paraId="7B7EFA18" w14:textId="77777777" w:rsidR="002D11ED" w:rsidRDefault="002D11ED" w:rsidP="008C6D8C">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6A50" w14:textId="77777777" w:rsidR="002D11ED" w:rsidRDefault="002D11ED" w:rsidP="008C6D8C">
      <w:pPr>
        <w:spacing w:before="0" w:after="0" w:line="240" w:lineRule="auto"/>
        <w:rPr>
          <w:rFonts w:hint="eastAsia"/>
        </w:rPr>
      </w:pPr>
      <w:r>
        <w:separator/>
      </w:r>
    </w:p>
  </w:footnote>
  <w:footnote w:type="continuationSeparator" w:id="0">
    <w:p w14:paraId="7C510D85" w14:textId="77777777" w:rsidR="002D11ED" w:rsidRDefault="002D11ED" w:rsidP="008C6D8C">
      <w:pPr>
        <w:spacing w:before="0"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0500470">
    <w:abstractNumId w:val="8"/>
  </w:num>
  <w:num w:numId="2" w16cid:durableId="648901768">
    <w:abstractNumId w:val="6"/>
  </w:num>
  <w:num w:numId="3" w16cid:durableId="1208957456">
    <w:abstractNumId w:val="5"/>
  </w:num>
  <w:num w:numId="4" w16cid:durableId="2112433148">
    <w:abstractNumId w:val="4"/>
  </w:num>
  <w:num w:numId="5" w16cid:durableId="1944725596">
    <w:abstractNumId w:val="7"/>
  </w:num>
  <w:num w:numId="6" w16cid:durableId="1869372781">
    <w:abstractNumId w:val="3"/>
  </w:num>
  <w:num w:numId="7" w16cid:durableId="1951815893">
    <w:abstractNumId w:val="2"/>
  </w:num>
  <w:num w:numId="8" w16cid:durableId="672995782">
    <w:abstractNumId w:val="1"/>
  </w:num>
  <w:num w:numId="9" w16cid:durableId="57594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5E4"/>
    <w:rsid w:val="000E12B9"/>
    <w:rsid w:val="001020E7"/>
    <w:rsid w:val="0015074B"/>
    <w:rsid w:val="0029639D"/>
    <w:rsid w:val="002D11ED"/>
    <w:rsid w:val="00326F90"/>
    <w:rsid w:val="003806FD"/>
    <w:rsid w:val="003E702A"/>
    <w:rsid w:val="003E7D90"/>
    <w:rsid w:val="004376D8"/>
    <w:rsid w:val="00460027"/>
    <w:rsid w:val="00482BBC"/>
    <w:rsid w:val="004F167D"/>
    <w:rsid w:val="0051230B"/>
    <w:rsid w:val="00515EDA"/>
    <w:rsid w:val="00560326"/>
    <w:rsid w:val="00635126"/>
    <w:rsid w:val="006A2348"/>
    <w:rsid w:val="007D50CB"/>
    <w:rsid w:val="008C6D8C"/>
    <w:rsid w:val="00936737"/>
    <w:rsid w:val="009D49D6"/>
    <w:rsid w:val="00A77A7C"/>
    <w:rsid w:val="00A91A4B"/>
    <w:rsid w:val="00A964D3"/>
    <w:rsid w:val="00AA1D8D"/>
    <w:rsid w:val="00B47730"/>
    <w:rsid w:val="00B86779"/>
    <w:rsid w:val="00BD7BE6"/>
    <w:rsid w:val="00C713F9"/>
    <w:rsid w:val="00CB0664"/>
    <w:rsid w:val="00CE11EF"/>
    <w:rsid w:val="00D63692"/>
    <w:rsid w:val="00E84286"/>
    <w:rsid w:val="00E92D5D"/>
    <w:rsid w:val="00EB79EF"/>
    <w:rsid w:val="00F71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1165BB"/>
  <w14:defaultImageDpi w14:val="300"/>
  <w15:docId w15:val="{73FE4D9C-49C3-49BB-A91B-5B86315A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60" w:after="60" w:line="40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3033</Words>
  <Characters>17289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 Xiaohui</cp:lastModifiedBy>
  <cp:revision>30</cp:revision>
  <dcterms:created xsi:type="dcterms:W3CDTF">2013-12-23T23:15:00Z</dcterms:created>
  <dcterms:modified xsi:type="dcterms:W3CDTF">2026-02-06T09:20:00Z</dcterms:modified>
  <cp:category/>
</cp:coreProperties>
</file>