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Pr>
      <w:r>
        <w:rPr>
          <w:rFonts w:ascii="SimSun" w:hAnsi="SimSun" w:eastAsia="SimSun"/>
          <w:b/>
          <w:sz w:val="32"/>
        </w:rPr>
        <w:t>第八章  关键技术四：安全边界锁定与约束管理</w:t>
      </w:r>
    </w:p>
    <w:p>
      <w:pPr>
        <w:spacing w:line="400" w:lineRule="exact" w:before="60" w:after="60"/>
        <w:ind w:firstLine="482"/>
      </w:pPr>
      <w:r>
        <w:rPr>
          <w:rFonts w:ascii="SimSun" w:hAnsi="SimSun" w:eastAsia="SimSun"/>
          <w:b w:val="0"/>
          <w:sz w:val="24"/>
        </w:rPr>
        <w:t>—— 红黄绿分级、告警与联动机制</w:t>
      </w:r>
    </w:p>
    <w:p>
      <w:pPr>
        <w:spacing w:before="280" w:after="200"/>
        <w:jc w:val="left"/>
      </w:pPr>
      <w:r>
        <w:rPr>
          <w:rFonts w:ascii="SimSun" w:hAnsi="SimSun" w:eastAsia="SimSun"/>
          <w:b/>
          <w:sz w:val="28"/>
        </w:rPr>
        <w:t>8.1  约束管理的工程意义与理论基础</w:t>
      </w:r>
    </w:p>
    <w:p>
      <w:pPr>
        <w:spacing w:line="400" w:lineRule="exact" w:before="60" w:after="60"/>
        <w:ind w:firstLine="482"/>
      </w:pPr>
      <w:r>
        <w:rPr>
          <w:rFonts w:ascii="SimSun" w:hAnsi="SimSun" w:eastAsia="SimSun"/>
          <w:b w:val="0"/>
          <w:sz w:val="24"/>
        </w:rPr>
        <w:t>约束管理是区分"研究性仿真"与"工程级控制"的关键分水岭。在学术研究中，优化算法的约束违反通常只意味着一次不成功的数值实验；而在工程运行中，约束违反可能意味着堤防漫溢、设备损坏甚至人身安全事故。因此，约束管理必须被提升到系统架构设计的核心位置，而非仅仅作为优化算法的附属功能[1]。</w:t>
      </w:r>
    </w:p>
    <w:p>
      <w:pPr>
        <w:spacing w:line="400" w:lineRule="exact" w:before="60" w:after="60"/>
        <w:ind w:firstLine="482"/>
      </w:pPr>
      <w:r>
        <w:rPr>
          <w:rFonts w:ascii="SimSun" w:hAnsi="SimSun" w:eastAsia="SimSun"/>
          <w:b w:val="0"/>
          <w:sz w:val="24"/>
        </w:rPr>
        <w:t>从系统安全工程的视角看，约束管理的本质是"防护屏障（Barrier）"的设计与维护。Reason于1990年提出的"瑞士奶酪模型"（Swiss Cheese Model）为多层防护体系提供了经典的概念框架[2]。在该模型中，每一层防护机制相当于一片"奶酪"，单层可能存在漏洞（由于设计缺陷、维护疏忽或操作失误），但多层叠加后将事故穿透概率降至可接受水平。只有当所有层的漏洞恰好对齐时，事故才会发生。</w:t>
      </w:r>
    </w:p>
    <w:p>
      <w:pPr>
        <w:spacing w:line="400" w:lineRule="exact" w:before="60" w:after="60"/>
        <w:ind w:firstLine="482"/>
      </w:pPr>
      <w:r>
        <w:rPr>
          <w:rFonts w:ascii="SimSun" w:hAnsi="SimSun" w:eastAsia="SimSun"/>
          <w:b w:val="0"/>
          <w:sz w:val="24"/>
        </w:rPr>
        <w:t>将瑞士奶酪模型应用于水网自主运行系统，防护屏障至少应包含四层。第一层是算法层——MPC约束求解确保控制指令在理论上不违反约束。第二层是逻辑层——边缘控制器对收到的控制指令进行独立校验，拒绝执行明显违反约束的指令。第三层是硬件层——PLC/RTU的限位保护确保闸门不超出物理行程范围。第四层是物理层——溢流堰、安全阀等被动保护设施在前三层全部失效时提供最后的安全保障[3]。</w:t>
      </w:r>
    </w:p>
    <w:p>
      <w:pPr>
        <w:spacing w:line="400" w:lineRule="exact" w:before="60" w:after="60"/>
        <w:ind w:firstLine="482"/>
      </w:pPr>
      <w:r>
        <w:rPr>
          <w:rFonts w:ascii="SimSun" w:hAnsi="SimSun" w:eastAsia="SimSun"/>
          <w:b w:val="0"/>
          <w:sz w:val="24"/>
        </w:rPr>
        <w:t>Leveson于2011年提出的STAMP（Systems-Theoretic Accident Model and Processes）理论为安全约束管理提供了更现代的理论框架[4]。STAMP认为事故不仅由组件故障导致，更由组件之间的不安全交互引起。在水网系统中，典型的不安全交互包括：上下游闸门的不协调动作导致渠道水位异常、传感器故障导致控制器基于错误信息做出危险决策、通信时延导致控制指令与实际工况不匹配等。STAMP框架强调"安全约束"（Safety Constraint）的概念——系统中每个控制动作必须满足的安全条件，这与本章提出的"红色约束"概念高度一致。</w:t>
      </w:r>
    </w:p>
    <w:p>
      <w:pPr>
        <w:spacing w:before="200" w:after="160"/>
        <w:jc w:val="left"/>
      </w:pPr>
      <w:r>
        <w:rPr>
          <w:rFonts w:ascii="SimSun" w:hAnsi="SimSun" w:eastAsia="SimSun"/>
          <w:b/>
          <w:sz w:val="24"/>
        </w:rPr>
        <w:t>8.1.1  约束来源与形式化方法</w:t>
      </w:r>
    </w:p>
    <w:p>
      <w:pPr>
        <w:spacing w:line="400" w:lineRule="exact" w:before="60" w:after="60"/>
        <w:ind w:firstLine="482"/>
      </w:pPr>
      <w:r>
        <w:rPr>
          <w:rFonts w:ascii="SimSun" w:hAnsi="SimSun" w:eastAsia="SimSun"/>
          <w:b w:val="0"/>
          <w:sz w:val="24"/>
        </w:rPr>
        <w:t>水网运行约束的来源可分为四大类[5]。第一类是物理约束，源于工程结构的物理极限，包括堤防高程（渠道水位不得超过堤顶高程减去安全超高）、管道承压极限（管内压力不得超过设计压力的一定比例）、闸门行程范围（闸门开度限于0至全开之间）。第二类是设备约束，源于机电设备的运行能力，包括泵组最小/最大流量、电机额定功率、阀门动作速率（闸门全行程动作时间约为数分钟到数十分钟）。第三类是管理约束，源于运行管理规定，包括生态流量下限、供水保证率要求、噪声排放标准。第四类是法规约束，源于法律法规和技术规程，包括防洪调度规程、水资源调度条例、水功能区水质标准。</w:t>
      </w:r>
    </w:p>
    <w:p>
      <w:pPr>
        <w:spacing w:line="400" w:lineRule="exact" w:before="60" w:after="60"/>
        <w:ind w:firstLine="482"/>
      </w:pPr>
      <w:r>
        <w:rPr>
          <w:rFonts w:ascii="SimSun" w:hAnsi="SimSun" w:eastAsia="SimSun"/>
          <w:b w:val="0"/>
          <w:sz w:val="24"/>
        </w:rPr>
        <w:t>所有约束必须经过"形式化"（Formalization）处理——从自然语言描述转换为数学不等式——才能嵌入控制算法。形式化过程需特别注意三个方面。第一是约束参数的不确定性——如Manning系数的季节性变化导致安全水位的动态调整，冰期冰盖下的过流面积变化导致流量约束的重新计算。第二是约束之间的逻辑关系——某些约束是"与"关系（必须同时满足），另一些是"或"关系（满足其一即可）。第三是约束的时变性——冰期与非冰期的水位上限不同，丰水期与枯水期的流量下限不同[6]。</w:t>
      </w:r>
    </w:p>
    <w:p>
      <w:pPr>
        <w:spacing w:line="400" w:lineRule="exact" w:before="60" w:after="60"/>
        <w:ind w:firstLine="482"/>
      </w:pPr>
      <w:r>
        <w:rPr>
          <w:rFonts w:ascii="SimSun" w:hAnsi="SimSun" w:eastAsia="SimSun"/>
          <w:b w:val="0"/>
          <w:sz w:val="24"/>
        </w:rPr>
        <w:t>约束形式化的标准格式可统一表述为：</w:t>
      </w:r>
    </w:p>
    <w:p>
      <w:pPr>
        <w:spacing w:before="120" w:after="120"/>
        <w:jc w:val="center"/>
      </w:pPr>
      <w:r>
        <w:rPr>
          <w:rFonts w:ascii="SimSun" w:hAnsi="SimSun" w:eastAsia="SimSun"/>
          <w:b w:val="0"/>
          <w:sz w:val="24"/>
        </w:rPr>
        <w:t>g(i)(x(k), u(k), d(k)) &lt;= 0, i = 1, 2, ..., n(c)    （式8-1）</w:t>
      </w:r>
    </w:p>
    <w:p>
      <w:pPr>
        <w:spacing w:line="360" w:lineRule="exact" w:before="40" w:after="40"/>
        <w:ind w:firstLine="482"/>
      </w:pPr>
      <w:r>
        <w:rPr>
          <w:rFonts w:ascii="SimSun" w:hAnsi="SimSun" w:eastAsia="SimSun"/>
          <w:b w:val="0"/>
          <w:sz w:val="21"/>
        </w:rPr>
        <w:t>式中：g(i)为第i个约束函数；x(k)为系统状态向量（各断面水位、流量）；u(k)为控制向量（闸门开度、泵站出力）；d(k)为外部扰动（侧向入流、取水口流量）；n(c)为约束总数。对于南水北调中线63个渠池的系统，典型的约束总数n(c)约为500–800个（包含每个渠池的上下限水位约束、每座闸门的开度和速率约束等）。</w:t>
      </w:r>
    </w:p>
    <w:p>
      <w:pPr>
        <w:spacing w:before="200" w:after="160"/>
        <w:jc w:val="left"/>
      </w:pPr>
      <w:r>
        <w:rPr>
          <w:rFonts w:ascii="SimSun" w:hAnsi="SimSun" w:eastAsia="SimSun"/>
          <w:b/>
          <w:sz w:val="24"/>
        </w:rPr>
        <w:t>8.1.2  FMEA与约束完整性分析</w:t>
      </w:r>
    </w:p>
    <w:p>
      <w:pPr>
        <w:spacing w:line="400" w:lineRule="exact" w:before="60" w:after="60"/>
        <w:ind w:firstLine="482"/>
      </w:pPr>
      <w:r>
        <w:rPr>
          <w:rFonts w:ascii="SimSun" w:hAnsi="SimSun" w:eastAsia="SimSun"/>
          <w:b w:val="0"/>
          <w:sz w:val="24"/>
        </w:rPr>
        <w:t>建议对所有安全关键约束进行失效模式与影响分析（FMEA, Failure Mode and Effects Analysis）[7]。FMEA是航空航天和汽车工业广泛采用的系统安全分析方法，其核心思想是系统地识别每个组件的所有可能失效模式，评估其后果严重度、发生概率和可检测性。</w:t>
      </w:r>
    </w:p>
    <w:p>
      <w:pPr>
        <w:spacing w:line="400" w:lineRule="exact" w:before="60" w:after="60"/>
        <w:ind w:firstLine="482"/>
      </w:pPr>
      <w:r>
        <w:rPr>
          <w:rFonts w:ascii="SimSun" w:hAnsi="SimSun" w:eastAsia="SimSun"/>
          <w:b w:val="0"/>
          <w:sz w:val="24"/>
        </w:rPr>
        <w:t>针对每条红色约束，FMEA需要回答三个核心问题。第一，该约束可能以何种方式失效？典型失效模式包括：传感器故障导致水位读数偏低从而掩盖了即将漫溢的危险、通信中断导致控制指令丢失从而使闸门停在危险位置、算法错误导致约束被错误松弛从而允许不安全的控制动作。第二，失效的后果严重度如何？从"无影响"到"灾难性后果"分为多个等级。第三，当前有哪些检测手段和缓解措施？</w:t>
      </w:r>
    </w:p>
    <w:p>
      <w:pPr>
        <w:spacing w:line="400" w:lineRule="exact" w:before="60" w:after="60"/>
        <w:ind w:firstLine="482"/>
      </w:pPr>
      <w:r>
        <w:rPr>
          <w:rFonts w:ascii="SimSun" w:hAnsi="SimSun" w:eastAsia="SimSun"/>
          <w:b w:val="0"/>
          <w:sz w:val="24"/>
        </w:rPr>
        <w:t>基于FMEA的风险优先数RPN（Risk Priority Number）计算为：</w:t>
      </w:r>
    </w:p>
    <w:p>
      <w:pPr>
        <w:spacing w:before="120" w:after="120"/>
        <w:jc w:val="center"/>
      </w:pPr>
      <w:r>
        <w:rPr>
          <w:rFonts w:ascii="SimSun" w:hAnsi="SimSun" w:eastAsia="SimSun"/>
          <w:b w:val="0"/>
          <w:sz w:val="24"/>
        </w:rPr>
        <w:t>RPN = S * O * D    （式8-2）</w:t>
      </w:r>
    </w:p>
    <w:p>
      <w:pPr>
        <w:spacing w:line="360" w:lineRule="exact" w:before="40" w:after="40"/>
        <w:ind w:firstLine="482"/>
      </w:pPr>
      <w:r>
        <w:rPr>
          <w:rFonts w:ascii="SimSun" w:hAnsi="SimSun" w:eastAsia="SimSun"/>
          <w:b w:val="0"/>
          <w:sz w:val="21"/>
        </w:rPr>
        <w:t>式中：S为严重度评分（1–10）；O为发生频度评分（1–10）；D为可检测性评分（1–10，越难检测越高）。对于RPN&gt;=200的高风险失效模式，必须设计专门的缓解措施并通过测试验证。</w:t>
      </w:r>
    </w:p>
    <w:p>
      <w:pPr>
        <w:spacing w:line="400" w:lineRule="exact" w:before="60" w:after="60"/>
        <w:ind w:firstLine="482"/>
      </w:pPr>
      <w:r>
        <w:rPr>
          <w:rFonts w:ascii="SimSun" w:hAnsi="SimSun" w:eastAsia="SimSun"/>
          <w:b w:val="0"/>
          <w:sz w:val="24"/>
        </w:rPr>
        <w:t>针对南水北调中线的典型失效模式及其RPN评估如下表所示。</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984"/>
            <w:shd w:fill="D9E2F3" w:val="clear"/>
          </w:tcPr>
          <w:p>
            <w:pPr>
              <w:jc w:val="center"/>
            </w:pPr>
            <w:r/>
            <w:r>
              <w:rPr>
                <w:rFonts w:ascii="SimSun" w:hAnsi="SimSun" w:eastAsia="SimSun"/>
                <w:b/>
                <w:sz w:val="20"/>
              </w:rPr>
              <w:t>失效模式</w:t>
            </w:r>
          </w:p>
        </w:tc>
        <w:tc>
          <w:tcPr>
            <w:tcW w:type="dxa" w:w="454"/>
            <w:shd w:fill="D9E2F3" w:val="clear"/>
          </w:tcPr>
          <w:p>
            <w:pPr>
              <w:jc w:val="center"/>
            </w:pPr>
            <w:r/>
            <w:r>
              <w:rPr>
                <w:rFonts w:ascii="SimSun" w:hAnsi="SimSun" w:eastAsia="SimSun"/>
                <w:b/>
                <w:sz w:val="20"/>
              </w:rPr>
              <w:t>S</w:t>
            </w:r>
          </w:p>
        </w:tc>
        <w:tc>
          <w:tcPr>
            <w:tcW w:type="dxa" w:w="454"/>
            <w:shd w:fill="D9E2F3" w:val="clear"/>
          </w:tcPr>
          <w:p>
            <w:pPr>
              <w:jc w:val="center"/>
            </w:pPr>
            <w:r/>
            <w:r>
              <w:rPr>
                <w:rFonts w:ascii="SimSun" w:hAnsi="SimSun" w:eastAsia="SimSun"/>
                <w:b/>
                <w:sz w:val="20"/>
              </w:rPr>
              <w:t>O</w:t>
            </w:r>
          </w:p>
        </w:tc>
        <w:tc>
          <w:tcPr>
            <w:tcW w:type="dxa" w:w="454"/>
            <w:shd w:fill="D9E2F3" w:val="clear"/>
          </w:tcPr>
          <w:p>
            <w:pPr>
              <w:jc w:val="center"/>
            </w:pPr>
            <w:r/>
            <w:r>
              <w:rPr>
                <w:rFonts w:ascii="SimSun" w:hAnsi="SimSun" w:eastAsia="SimSun"/>
                <w:b/>
                <w:sz w:val="20"/>
              </w:rPr>
              <w:t>D</w:t>
            </w:r>
          </w:p>
        </w:tc>
        <w:tc>
          <w:tcPr>
            <w:tcW w:type="dxa" w:w="567"/>
            <w:shd w:fill="D9E2F3" w:val="clear"/>
          </w:tcPr>
          <w:p>
            <w:pPr>
              <w:jc w:val="center"/>
            </w:pPr>
            <w:r/>
            <w:r>
              <w:rPr>
                <w:rFonts w:ascii="SimSun" w:hAnsi="SimSun" w:eastAsia="SimSun"/>
                <w:b/>
                <w:sz w:val="20"/>
              </w:rPr>
              <w:t>RPN</w:t>
            </w:r>
          </w:p>
        </w:tc>
        <w:tc>
          <w:tcPr>
            <w:tcW w:type="dxa" w:w="2551"/>
            <w:shd w:fill="D9E2F3" w:val="clear"/>
          </w:tcPr>
          <w:p>
            <w:pPr>
              <w:jc w:val="center"/>
            </w:pPr>
            <w:r/>
            <w:r>
              <w:rPr>
                <w:rFonts w:ascii="SimSun" w:hAnsi="SimSun" w:eastAsia="SimSun"/>
                <w:b/>
                <w:sz w:val="20"/>
              </w:rPr>
              <w:t>缓解措施</w:t>
            </w:r>
          </w:p>
        </w:tc>
      </w:tr>
      <w:tr>
        <w:tc>
          <w:tcPr>
            <w:tcW w:type="dxa" w:w="1984"/>
          </w:tcPr>
          <w:p>
            <w:pPr>
              <w:jc w:val="center"/>
            </w:pPr>
            <w:r/>
            <w:r>
              <w:rPr>
                <w:rFonts w:ascii="SimSun" w:hAnsi="SimSun" w:eastAsia="SimSun"/>
                <w:b w:val="0"/>
                <w:sz w:val="20"/>
              </w:rPr>
              <w:t>水位传感器卡死</w:t>
            </w:r>
          </w:p>
        </w:tc>
        <w:tc>
          <w:tcPr>
            <w:tcW w:type="dxa" w:w="454"/>
          </w:tcPr>
          <w:p>
            <w:pPr>
              <w:jc w:val="center"/>
            </w:pPr>
            <w:r/>
            <w:r>
              <w:rPr>
                <w:rFonts w:ascii="SimSun" w:hAnsi="SimSun" w:eastAsia="SimSun"/>
                <w:b w:val="0"/>
                <w:sz w:val="20"/>
              </w:rPr>
              <w:t>8</w:t>
            </w:r>
          </w:p>
        </w:tc>
        <w:tc>
          <w:tcPr>
            <w:tcW w:type="dxa" w:w="454"/>
          </w:tcPr>
          <w:p>
            <w:pPr>
              <w:jc w:val="center"/>
            </w:pPr>
            <w:r/>
            <w:r>
              <w:rPr>
                <w:rFonts w:ascii="SimSun" w:hAnsi="SimSun" w:eastAsia="SimSun"/>
                <w:b w:val="0"/>
                <w:sz w:val="20"/>
              </w:rPr>
              <w:t>3</w:t>
            </w:r>
          </w:p>
        </w:tc>
        <w:tc>
          <w:tcPr>
            <w:tcW w:type="dxa" w:w="454"/>
          </w:tcPr>
          <w:p>
            <w:pPr>
              <w:jc w:val="center"/>
            </w:pPr>
            <w:r/>
            <w:r>
              <w:rPr>
                <w:rFonts w:ascii="SimSun" w:hAnsi="SimSun" w:eastAsia="SimSun"/>
                <w:b w:val="0"/>
                <w:sz w:val="20"/>
              </w:rPr>
              <w:t>4</w:t>
            </w:r>
          </w:p>
        </w:tc>
        <w:tc>
          <w:tcPr>
            <w:tcW w:type="dxa" w:w="567"/>
          </w:tcPr>
          <w:p>
            <w:pPr>
              <w:jc w:val="center"/>
            </w:pPr>
            <w:r/>
            <w:r>
              <w:rPr>
                <w:rFonts w:ascii="SimSun" w:hAnsi="SimSun" w:eastAsia="SimSun"/>
                <w:b w:val="0"/>
                <w:sz w:val="20"/>
              </w:rPr>
              <w:t>96</w:t>
            </w:r>
          </w:p>
        </w:tc>
        <w:tc>
          <w:tcPr>
            <w:tcW w:type="dxa" w:w="2551"/>
          </w:tcPr>
          <w:p>
            <w:pPr>
              <w:jc w:val="center"/>
            </w:pPr>
            <w:r/>
            <w:r>
              <w:rPr>
                <w:rFonts w:ascii="SimSun" w:hAnsi="SimSun" w:eastAsia="SimSun"/>
                <w:b w:val="0"/>
                <w:sz w:val="20"/>
              </w:rPr>
              <w:t>双传感器冗余+偏差监测</w:t>
            </w:r>
          </w:p>
        </w:tc>
      </w:tr>
      <w:tr>
        <w:tc>
          <w:tcPr>
            <w:tcW w:type="dxa" w:w="1984"/>
          </w:tcPr>
          <w:p>
            <w:pPr>
              <w:jc w:val="center"/>
            </w:pPr>
            <w:r/>
            <w:r>
              <w:rPr>
                <w:rFonts w:ascii="SimSun" w:hAnsi="SimSun" w:eastAsia="SimSun"/>
                <w:b w:val="0"/>
                <w:sz w:val="20"/>
              </w:rPr>
              <w:t>闸门卡阻无法动作</w:t>
            </w:r>
          </w:p>
        </w:tc>
        <w:tc>
          <w:tcPr>
            <w:tcW w:type="dxa" w:w="454"/>
          </w:tcPr>
          <w:p>
            <w:pPr>
              <w:jc w:val="center"/>
            </w:pPr>
            <w:r/>
            <w:r>
              <w:rPr>
                <w:rFonts w:ascii="SimSun" w:hAnsi="SimSun" w:eastAsia="SimSun"/>
                <w:b w:val="0"/>
                <w:sz w:val="20"/>
              </w:rPr>
              <w:t>9</w:t>
            </w:r>
          </w:p>
        </w:tc>
        <w:tc>
          <w:tcPr>
            <w:tcW w:type="dxa" w:w="454"/>
          </w:tcPr>
          <w:p>
            <w:pPr>
              <w:jc w:val="center"/>
            </w:pPr>
            <w:r/>
            <w:r>
              <w:rPr>
                <w:rFonts w:ascii="SimSun" w:hAnsi="SimSun" w:eastAsia="SimSun"/>
                <w:b w:val="0"/>
                <w:sz w:val="20"/>
              </w:rPr>
              <w:t>2</w:t>
            </w:r>
          </w:p>
        </w:tc>
        <w:tc>
          <w:tcPr>
            <w:tcW w:type="dxa" w:w="454"/>
          </w:tcPr>
          <w:p>
            <w:pPr>
              <w:jc w:val="center"/>
            </w:pPr>
            <w:r/>
            <w:r>
              <w:rPr>
                <w:rFonts w:ascii="SimSun" w:hAnsi="SimSun" w:eastAsia="SimSun"/>
                <w:b w:val="0"/>
                <w:sz w:val="20"/>
              </w:rPr>
              <w:t>3</w:t>
            </w:r>
          </w:p>
        </w:tc>
        <w:tc>
          <w:tcPr>
            <w:tcW w:type="dxa" w:w="567"/>
          </w:tcPr>
          <w:p>
            <w:pPr>
              <w:jc w:val="center"/>
            </w:pPr>
            <w:r/>
            <w:r>
              <w:rPr>
                <w:rFonts w:ascii="SimSun" w:hAnsi="SimSun" w:eastAsia="SimSun"/>
                <w:b w:val="0"/>
                <w:sz w:val="20"/>
              </w:rPr>
              <w:t>54</w:t>
            </w:r>
          </w:p>
        </w:tc>
        <w:tc>
          <w:tcPr>
            <w:tcW w:type="dxa" w:w="2551"/>
          </w:tcPr>
          <w:p>
            <w:pPr>
              <w:jc w:val="center"/>
            </w:pPr>
            <w:r/>
            <w:r>
              <w:rPr>
                <w:rFonts w:ascii="SimSun" w:hAnsi="SimSun" w:eastAsia="SimSun"/>
                <w:b w:val="0"/>
                <w:sz w:val="20"/>
              </w:rPr>
              <w:t>电流监测+备用闸门预案</w:t>
            </w:r>
          </w:p>
        </w:tc>
      </w:tr>
      <w:tr>
        <w:tc>
          <w:tcPr>
            <w:tcW w:type="dxa" w:w="1984"/>
          </w:tcPr>
          <w:p>
            <w:pPr>
              <w:jc w:val="center"/>
            </w:pPr>
            <w:r/>
            <w:r>
              <w:rPr>
                <w:rFonts w:ascii="SimSun" w:hAnsi="SimSun" w:eastAsia="SimSun"/>
                <w:b w:val="0"/>
                <w:sz w:val="20"/>
              </w:rPr>
              <w:t>MPC求解器不收敛</w:t>
            </w:r>
          </w:p>
        </w:tc>
        <w:tc>
          <w:tcPr>
            <w:tcW w:type="dxa" w:w="454"/>
          </w:tcPr>
          <w:p>
            <w:pPr>
              <w:jc w:val="center"/>
            </w:pPr>
            <w:r/>
            <w:r>
              <w:rPr>
                <w:rFonts w:ascii="SimSun" w:hAnsi="SimSun" w:eastAsia="SimSun"/>
                <w:b w:val="0"/>
                <w:sz w:val="20"/>
              </w:rPr>
              <w:t>7</w:t>
            </w:r>
          </w:p>
        </w:tc>
        <w:tc>
          <w:tcPr>
            <w:tcW w:type="dxa" w:w="454"/>
          </w:tcPr>
          <w:p>
            <w:pPr>
              <w:jc w:val="center"/>
            </w:pPr>
            <w:r/>
            <w:r>
              <w:rPr>
                <w:rFonts w:ascii="SimSun" w:hAnsi="SimSun" w:eastAsia="SimSun"/>
                <w:b w:val="0"/>
                <w:sz w:val="20"/>
              </w:rPr>
              <w:t>4</w:t>
            </w:r>
          </w:p>
        </w:tc>
        <w:tc>
          <w:tcPr>
            <w:tcW w:type="dxa" w:w="454"/>
          </w:tcPr>
          <w:p>
            <w:pPr>
              <w:jc w:val="center"/>
            </w:pPr>
            <w:r/>
            <w:r>
              <w:rPr>
                <w:rFonts w:ascii="SimSun" w:hAnsi="SimSun" w:eastAsia="SimSun"/>
                <w:b w:val="0"/>
                <w:sz w:val="20"/>
              </w:rPr>
              <w:t>2</w:t>
            </w:r>
          </w:p>
        </w:tc>
        <w:tc>
          <w:tcPr>
            <w:tcW w:type="dxa" w:w="567"/>
          </w:tcPr>
          <w:p>
            <w:pPr>
              <w:jc w:val="center"/>
            </w:pPr>
            <w:r/>
            <w:r>
              <w:rPr>
                <w:rFonts w:ascii="SimSun" w:hAnsi="SimSun" w:eastAsia="SimSun"/>
                <w:b w:val="0"/>
                <w:sz w:val="20"/>
              </w:rPr>
              <w:t>56</w:t>
            </w:r>
          </w:p>
        </w:tc>
        <w:tc>
          <w:tcPr>
            <w:tcW w:type="dxa" w:w="2551"/>
          </w:tcPr>
          <w:p>
            <w:pPr>
              <w:jc w:val="center"/>
            </w:pPr>
            <w:r/>
            <w:r>
              <w:rPr>
                <w:rFonts w:ascii="SimSun" w:hAnsi="SimSun" w:eastAsia="SimSun"/>
                <w:b w:val="0"/>
                <w:sz w:val="20"/>
              </w:rPr>
              <w:t>安全默认控制+超时切换</w:t>
            </w:r>
          </w:p>
        </w:tc>
      </w:tr>
      <w:tr>
        <w:tc>
          <w:tcPr>
            <w:tcW w:type="dxa" w:w="1984"/>
          </w:tcPr>
          <w:p>
            <w:pPr>
              <w:jc w:val="center"/>
            </w:pPr>
            <w:r/>
            <w:r>
              <w:rPr>
                <w:rFonts w:ascii="SimSun" w:hAnsi="SimSun" w:eastAsia="SimSun"/>
                <w:b w:val="0"/>
                <w:sz w:val="20"/>
              </w:rPr>
              <w:t>通信链路中断(&gt;5min)</w:t>
            </w:r>
          </w:p>
        </w:tc>
        <w:tc>
          <w:tcPr>
            <w:tcW w:type="dxa" w:w="454"/>
          </w:tcPr>
          <w:p>
            <w:pPr>
              <w:jc w:val="center"/>
            </w:pPr>
            <w:r/>
            <w:r>
              <w:rPr>
                <w:rFonts w:ascii="SimSun" w:hAnsi="SimSun" w:eastAsia="SimSun"/>
                <w:b w:val="0"/>
                <w:sz w:val="20"/>
              </w:rPr>
              <w:t>8</w:t>
            </w:r>
          </w:p>
        </w:tc>
        <w:tc>
          <w:tcPr>
            <w:tcW w:type="dxa" w:w="454"/>
          </w:tcPr>
          <w:p>
            <w:pPr>
              <w:jc w:val="center"/>
            </w:pPr>
            <w:r/>
            <w:r>
              <w:rPr>
                <w:rFonts w:ascii="SimSun" w:hAnsi="SimSun" w:eastAsia="SimSun"/>
                <w:b w:val="0"/>
                <w:sz w:val="20"/>
              </w:rPr>
              <w:t>5</w:t>
            </w:r>
          </w:p>
        </w:tc>
        <w:tc>
          <w:tcPr>
            <w:tcW w:type="dxa" w:w="454"/>
          </w:tcPr>
          <w:p>
            <w:pPr>
              <w:jc w:val="center"/>
            </w:pPr>
            <w:r/>
            <w:r>
              <w:rPr>
                <w:rFonts w:ascii="SimSun" w:hAnsi="SimSun" w:eastAsia="SimSun"/>
                <w:b w:val="0"/>
                <w:sz w:val="20"/>
              </w:rPr>
              <w:t>2</w:t>
            </w:r>
          </w:p>
        </w:tc>
        <w:tc>
          <w:tcPr>
            <w:tcW w:type="dxa" w:w="567"/>
          </w:tcPr>
          <w:p>
            <w:pPr>
              <w:jc w:val="center"/>
            </w:pPr>
            <w:r/>
            <w:r>
              <w:rPr>
                <w:rFonts w:ascii="SimSun" w:hAnsi="SimSun" w:eastAsia="SimSun"/>
                <w:b w:val="0"/>
                <w:sz w:val="20"/>
              </w:rPr>
              <w:t>80</w:t>
            </w:r>
          </w:p>
        </w:tc>
        <w:tc>
          <w:tcPr>
            <w:tcW w:type="dxa" w:w="2551"/>
          </w:tcPr>
          <w:p>
            <w:pPr>
              <w:jc w:val="center"/>
            </w:pPr>
            <w:r/>
            <w:r>
              <w:rPr>
                <w:rFonts w:ascii="SimSun" w:hAnsi="SimSun" w:eastAsia="SimSun"/>
                <w:b w:val="0"/>
                <w:sz w:val="20"/>
              </w:rPr>
              <w:t>本地自主模式+4G备份</w:t>
            </w:r>
          </w:p>
        </w:tc>
      </w:tr>
      <w:tr>
        <w:tc>
          <w:tcPr>
            <w:tcW w:type="dxa" w:w="1984"/>
          </w:tcPr>
          <w:p>
            <w:pPr>
              <w:jc w:val="center"/>
            </w:pPr>
            <w:r/>
            <w:r>
              <w:rPr>
                <w:rFonts w:ascii="SimSun" w:hAnsi="SimSun" w:eastAsia="SimSun"/>
                <w:b w:val="0"/>
                <w:sz w:val="20"/>
              </w:rPr>
              <w:t>冰期冰盖突然坍塌</w:t>
            </w:r>
          </w:p>
        </w:tc>
        <w:tc>
          <w:tcPr>
            <w:tcW w:type="dxa" w:w="454"/>
          </w:tcPr>
          <w:p>
            <w:pPr>
              <w:jc w:val="center"/>
            </w:pPr>
            <w:r/>
            <w:r>
              <w:rPr>
                <w:rFonts w:ascii="SimSun" w:hAnsi="SimSun" w:eastAsia="SimSun"/>
                <w:b w:val="0"/>
                <w:sz w:val="20"/>
              </w:rPr>
              <w:t>10</w:t>
            </w:r>
          </w:p>
        </w:tc>
        <w:tc>
          <w:tcPr>
            <w:tcW w:type="dxa" w:w="454"/>
          </w:tcPr>
          <w:p>
            <w:pPr>
              <w:jc w:val="center"/>
            </w:pPr>
            <w:r/>
            <w:r>
              <w:rPr>
                <w:rFonts w:ascii="SimSun" w:hAnsi="SimSun" w:eastAsia="SimSun"/>
                <w:b w:val="0"/>
                <w:sz w:val="20"/>
              </w:rPr>
              <w:t>2</w:t>
            </w:r>
          </w:p>
        </w:tc>
        <w:tc>
          <w:tcPr>
            <w:tcW w:type="dxa" w:w="454"/>
          </w:tcPr>
          <w:p>
            <w:pPr>
              <w:jc w:val="center"/>
            </w:pPr>
            <w:r/>
            <w:r>
              <w:rPr>
                <w:rFonts w:ascii="SimSun" w:hAnsi="SimSun" w:eastAsia="SimSun"/>
                <w:b w:val="0"/>
                <w:sz w:val="20"/>
              </w:rPr>
              <w:t>6</w:t>
            </w:r>
          </w:p>
        </w:tc>
        <w:tc>
          <w:tcPr>
            <w:tcW w:type="dxa" w:w="567"/>
          </w:tcPr>
          <w:p>
            <w:pPr>
              <w:jc w:val="center"/>
            </w:pPr>
            <w:r/>
            <w:r>
              <w:rPr>
                <w:rFonts w:ascii="SimSun" w:hAnsi="SimSun" w:eastAsia="SimSun"/>
                <w:b w:val="0"/>
                <w:sz w:val="20"/>
              </w:rPr>
              <w:t>120</w:t>
            </w:r>
          </w:p>
        </w:tc>
        <w:tc>
          <w:tcPr>
            <w:tcW w:type="dxa" w:w="2551"/>
          </w:tcPr>
          <w:p>
            <w:pPr>
              <w:jc w:val="center"/>
            </w:pPr>
            <w:r/>
            <w:r>
              <w:rPr>
                <w:rFonts w:ascii="SimSun" w:hAnsi="SimSun" w:eastAsia="SimSun"/>
                <w:b w:val="0"/>
                <w:sz w:val="20"/>
              </w:rPr>
              <w:t>冰厚实时监测+退水闸预开</w:t>
            </w:r>
          </w:p>
        </w:tc>
      </w:tr>
      <w:tr>
        <w:tc>
          <w:tcPr>
            <w:tcW w:type="dxa" w:w="1984"/>
          </w:tcPr>
          <w:p>
            <w:pPr>
              <w:jc w:val="center"/>
            </w:pPr>
            <w:r/>
            <w:r>
              <w:rPr>
                <w:rFonts w:ascii="SimSun" w:hAnsi="SimSun" w:eastAsia="SimSun"/>
                <w:b w:val="0"/>
                <w:sz w:val="20"/>
              </w:rPr>
              <w:t>上游来流突变(暴雨)</w:t>
            </w:r>
          </w:p>
        </w:tc>
        <w:tc>
          <w:tcPr>
            <w:tcW w:type="dxa" w:w="454"/>
          </w:tcPr>
          <w:p>
            <w:pPr>
              <w:jc w:val="center"/>
            </w:pPr>
            <w:r/>
            <w:r>
              <w:rPr>
                <w:rFonts w:ascii="SimSun" w:hAnsi="SimSun" w:eastAsia="SimSun"/>
                <w:b w:val="0"/>
                <w:sz w:val="20"/>
              </w:rPr>
              <w:t>9</w:t>
            </w:r>
          </w:p>
        </w:tc>
        <w:tc>
          <w:tcPr>
            <w:tcW w:type="dxa" w:w="454"/>
          </w:tcPr>
          <w:p>
            <w:pPr>
              <w:jc w:val="center"/>
            </w:pPr>
            <w:r/>
            <w:r>
              <w:rPr>
                <w:rFonts w:ascii="SimSun" w:hAnsi="SimSun" w:eastAsia="SimSun"/>
                <w:b w:val="0"/>
                <w:sz w:val="20"/>
              </w:rPr>
              <w:t>3</w:t>
            </w:r>
          </w:p>
        </w:tc>
        <w:tc>
          <w:tcPr>
            <w:tcW w:type="dxa" w:w="454"/>
          </w:tcPr>
          <w:p>
            <w:pPr>
              <w:jc w:val="center"/>
            </w:pPr>
            <w:r/>
            <w:r>
              <w:rPr>
                <w:rFonts w:ascii="SimSun" w:hAnsi="SimSun" w:eastAsia="SimSun"/>
                <w:b w:val="0"/>
                <w:sz w:val="20"/>
              </w:rPr>
              <w:t>5</w:t>
            </w:r>
          </w:p>
        </w:tc>
        <w:tc>
          <w:tcPr>
            <w:tcW w:type="dxa" w:w="567"/>
          </w:tcPr>
          <w:p>
            <w:pPr>
              <w:jc w:val="center"/>
            </w:pPr>
            <w:r/>
            <w:r>
              <w:rPr>
                <w:rFonts w:ascii="SimSun" w:hAnsi="SimSun" w:eastAsia="SimSun"/>
                <w:b w:val="0"/>
                <w:sz w:val="20"/>
              </w:rPr>
              <w:t>135</w:t>
            </w:r>
          </w:p>
        </w:tc>
        <w:tc>
          <w:tcPr>
            <w:tcW w:type="dxa" w:w="2551"/>
          </w:tcPr>
          <w:p>
            <w:pPr>
              <w:jc w:val="center"/>
            </w:pPr>
            <w:r/>
            <w:r>
              <w:rPr>
                <w:rFonts w:ascii="SimSun" w:hAnsi="SimSun" w:eastAsia="SimSun"/>
                <w:b w:val="0"/>
                <w:sz w:val="20"/>
              </w:rPr>
              <w:t>气象预警联动+前馈补偿</w:t>
            </w:r>
          </w:p>
        </w:tc>
      </w:tr>
      <w:tr>
        <w:tc>
          <w:tcPr>
            <w:tcW w:type="dxa" w:w="1984"/>
          </w:tcPr>
          <w:p>
            <w:pPr>
              <w:jc w:val="center"/>
            </w:pPr>
            <w:r/>
            <w:r>
              <w:rPr>
                <w:rFonts w:ascii="SimSun" w:hAnsi="SimSun" w:eastAsia="SimSun"/>
                <w:b w:val="0"/>
                <w:sz w:val="20"/>
              </w:rPr>
              <w:t>多闸门同时误动</w:t>
            </w:r>
          </w:p>
        </w:tc>
        <w:tc>
          <w:tcPr>
            <w:tcW w:type="dxa" w:w="454"/>
          </w:tcPr>
          <w:p>
            <w:pPr>
              <w:jc w:val="center"/>
            </w:pPr>
            <w:r/>
            <w:r>
              <w:rPr>
                <w:rFonts w:ascii="SimSun" w:hAnsi="SimSun" w:eastAsia="SimSun"/>
                <w:b w:val="0"/>
                <w:sz w:val="20"/>
              </w:rPr>
              <w:t>10</w:t>
            </w:r>
          </w:p>
        </w:tc>
        <w:tc>
          <w:tcPr>
            <w:tcW w:type="dxa" w:w="454"/>
          </w:tcPr>
          <w:p>
            <w:pPr>
              <w:jc w:val="center"/>
            </w:pPr>
            <w:r/>
            <w:r>
              <w:rPr>
                <w:rFonts w:ascii="SimSun" w:hAnsi="SimSun" w:eastAsia="SimSun"/>
                <w:b w:val="0"/>
                <w:sz w:val="20"/>
              </w:rPr>
              <w:t>1</w:t>
            </w:r>
          </w:p>
        </w:tc>
        <w:tc>
          <w:tcPr>
            <w:tcW w:type="dxa" w:w="454"/>
          </w:tcPr>
          <w:p>
            <w:pPr>
              <w:jc w:val="center"/>
            </w:pPr>
            <w:r/>
            <w:r>
              <w:rPr>
                <w:rFonts w:ascii="SimSun" w:hAnsi="SimSun" w:eastAsia="SimSun"/>
                <w:b w:val="0"/>
                <w:sz w:val="20"/>
              </w:rPr>
              <w:t>3</w:t>
            </w:r>
          </w:p>
        </w:tc>
        <w:tc>
          <w:tcPr>
            <w:tcW w:type="dxa" w:w="567"/>
          </w:tcPr>
          <w:p>
            <w:pPr>
              <w:jc w:val="center"/>
            </w:pPr>
            <w:r/>
            <w:r>
              <w:rPr>
                <w:rFonts w:ascii="SimSun" w:hAnsi="SimSun" w:eastAsia="SimSun"/>
                <w:b w:val="0"/>
                <w:sz w:val="20"/>
              </w:rPr>
              <w:t>30</w:t>
            </w:r>
          </w:p>
        </w:tc>
        <w:tc>
          <w:tcPr>
            <w:tcW w:type="dxa" w:w="2551"/>
          </w:tcPr>
          <w:p>
            <w:pPr>
              <w:jc w:val="center"/>
            </w:pPr>
            <w:r/>
            <w:r>
              <w:rPr>
                <w:rFonts w:ascii="SimSun" w:hAnsi="SimSun" w:eastAsia="SimSun"/>
                <w:b w:val="0"/>
                <w:sz w:val="20"/>
              </w:rPr>
              <w:t>指令互锁+序列化执行</w:t>
            </w:r>
          </w:p>
        </w:tc>
      </w:tr>
      <w:tr>
        <w:tc>
          <w:tcPr>
            <w:tcW w:type="dxa" w:w="1984"/>
          </w:tcPr>
          <w:p>
            <w:pPr>
              <w:jc w:val="center"/>
            </w:pPr>
            <w:r/>
            <w:r>
              <w:rPr>
                <w:rFonts w:ascii="SimSun" w:hAnsi="SimSun" w:eastAsia="SimSun"/>
                <w:b w:val="0"/>
                <w:sz w:val="20"/>
              </w:rPr>
              <w:t>网络攻击篡改指令</w:t>
            </w:r>
          </w:p>
        </w:tc>
        <w:tc>
          <w:tcPr>
            <w:tcW w:type="dxa" w:w="454"/>
          </w:tcPr>
          <w:p>
            <w:pPr>
              <w:jc w:val="center"/>
            </w:pPr>
            <w:r/>
            <w:r>
              <w:rPr>
                <w:rFonts w:ascii="SimSun" w:hAnsi="SimSun" w:eastAsia="SimSun"/>
                <w:b w:val="0"/>
                <w:sz w:val="20"/>
              </w:rPr>
              <w:t>10</w:t>
            </w:r>
          </w:p>
        </w:tc>
        <w:tc>
          <w:tcPr>
            <w:tcW w:type="dxa" w:w="454"/>
          </w:tcPr>
          <w:p>
            <w:pPr>
              <w:jc w:val="center"/>
            </w:pPr>
            <w:r/>
            <w:r>
              <w:rPr>
                <w:rFonts w:ascii="SimSun" w:hAnsi="SimSun" w:eastAsia="SimSun"/>
                <w:b w:val="0"/>
                <w:sz w:val="20"/>
              </w:rPr>
              <w:t>2</w:t>
            </w:r>
          </w:p>
        </w:tc>
        <w:tc>
          <w:tcPr>
            <w:tcW w:type="dxa" w:w="454"/>
          </w:tcPr>
          <w:p>
            <w:pPr>
              <w:jc w:val="center"/>
            </w:pPr>
            <w:r/>
            <w:r>
              <w:rPr>
                <w:rFonts w:ascii="SimSun" w:hAnsi="SimSun" w:eastAsia="SimSun"/>
                <w:b w:val="0"/>
                <w:sz w:val="20"/>
              </w:rPr>
              <w:t>7</w:t>
            </w:r>
          </w:p>
        </w:tc>
        <w:tc>
          <w:tcPr>
            <w:tcW w:type="dxa" w:w="567"/>
          </w:tcPr>
          <w:p>
            <w:pPr>
              <w:jc w:val="center"/>
            </w:pPr>
            <w:r/>
            <w:r>
              <w:rPr>
                <w:rFonts w:ascii="SimSun" w:hAnsi="SimSun" w:eastAsia="SimSun"/>
                <w:b w:val="0"/>
                <w:sz w:val="20"/>
              </w:rPr>
              <w:t>140</w:t>
            </w:r>
          </w:p>
        </w:tc>
        <w:tc>
          <w:tcPr>
            <w:tcW w:type="dxa" w:w="2551"/>
          </w:tcPr>
          <w:p>
            <w:pPr>
              <w:jc w:val="center"/>
            </w:pPr>
            <w:r/>
            <w:r>
              <w:rPr>
                <w:rFonts w:ascii="SimSun" w:hAnsi="SimSun" w:eastAsia="SimSun"/>
                <w:b w:val="0"/>
                <w:sz w:val="20"/>
              </w:rPr>
              <w:t>数字签名+异常检测</w:t>
            </w:r>
          </w:p>
        </w:tc>
      </w:tr>
    </w:tbl>
    <w:p>
      <w:pPr>
        <w:spacing w:line="400" w:lineRule="exact" w:before="60" w:after="60"/>
        <w:ind w:firstLine="482"/>
      </w:pPr>
      <w:r>
        <w:rPr>
          <w:rFonts w:ascii="SimSun" w:hAnsi="SimSun" w:eastAsia="SimSun"/>
          <w:b w:val="0"/>
          <w:sz w:val="24"/>
        </w:rPr>
        <w:t>表8-1  南水北调中线典型失效模式FMEA评估</w:t>
      </w:r>
    </w:p>
    <w:p>
      <w:pPr>
        <w:spacing w:before="200" w:after="160"/>
        <w:jc w:val="left"/>
      </w:pPr>
      <w:r>
        <w:rPr>
          <w:rFonts w:ascii="SimSun" w:hAnsi="SimSun" w:eastAsia="SimSun"/>
          <w:b/>
          <w:sz w:val="24"/>
        </w:rPr>
        <w:t>8.1.3  对标ICOLD大坝安全管理框架</w:t>
      </w:r>
    </w:p>
    <w:p>
      <w:pPr>
        <w:spacing w:line="400" w:lineRule="exact" w:before="60" w:after="60"/>
        <w:ind w:firstLine="482"/>
      </w:pPr>
      <w:r>
        <w:rPr>
          <w:rFonts w:ascii="SimSun" w:hAnsi="SimSun" w:eastAsia="SimSun"/>
          <w:b w:val="0"/>
          <w:sz w:val="24"/>
        </w:rPr>
        <w:t>国际大坝委员会（ICOLD）Bulletin 154提出了大坝安全管理的系统框架[8]。其核心理念包括三个方面。第一是安全目标的定量化——个人风险标准通常为10^(-4)至10^(-6)/年，社会风险遵循ALARP（As Low As Reasonably Practicable）原则。第二是多重防护屏障——监测、预警、应急、疏散四道防线。第三是持续的安全评估——定期安全复核，通常每5至10年进行一次全面评估。</w:t>
      </w:r>
    </w:p>
    <w:p>
      <w:pPr>
        <w:spacing w:line="400" w:lineRule="exact" w:before="60" w:after="60"/>
        <w:ind w:firstLine="482"/>
      </w:pPr>
      <w:r>
        <w:rPr>
          <w:rFonts w:ascii="SimSun" w:hAnsi="SimSun" w:eastAsia="SimSun"/>
          <w:b w:val="0"/>
          <w:sz w:val="24"/>
        </w:rPr>
        <w:t>ICOLD框架对水网约束管理的启示有三点。第一，红色约束的安全裕度epsilon(r)应基于定量风险分析（QRA）确定，而非凭经验设定。第二，安全论证应采用"纵深防御"（Defence in Depth）原则，不依赖单一屏障。第三，所有安全关键设备应有独立的定期校核机制[9]。</w:t>
      </w:r>
    </w:p>
    <w:p>
      <w:pPr>
        <w:spacing w:line="400" w:lineRule="exact" w:before="60" w:after="60"/>
        <w:ind w:firstLine="482"/>
      </w:pPr>
      <w:r>
        <w:rPr>
          <w:rFonts w:ascii="SimSun" w:hAnsi="SimSun" w:eastAsia="SimSun"/>
          <w:b w:val="0"/>
          <w:sz w:val="24"/>
        </w:rPr>
        <w:t>IEC 61508标准提供了功能安全的完整生命周期管理框架[10]。该标准定义了四个安全完整性等级（SIL 1至SIL 4），其中SIL 1要求的危险失效概率为10^(-2)至10^(-1)/需求，SIL 4要求的危险失效概率为10^(-5)至10^(-4)/需求。对于水网自主运行系统，建议红色约束相关的安全功能按SIL 2至SIL 3设计，黄色约束按SIL 1设计。</w:t>
      </w:r>
    </w:p>
    <w:p>
      <w:pPr>
        <w:spacing w:before="280" w:after="200"/>
        <w:jc w:val="left"/>
      </w:pPr>
      <w:r>
        <w:rPr>
          <w:rFonts w:ascii="SimSun" w:hAnsi="SimSun" w:eastAsia="SimSun"/>
          <w:b/>
          <w:sz w:val="28"/>
        </w:rPr>
        <w:t>8.2  红黄绿三级约束体系</w:t>
      </w:r>
    </w:p>
    <w:p>
      <w:pPr>
        <w:spacing w:before="200" w:after="160"/>
        <w:jc w:val="left"/>
      </w:pPr>
      <w:r>
        <w:rPr>
          <w:rFonts w:ascii="SimSun" w:hAnsi="SimSun" w:eastAsia="SimSun"/>
          <w:b/>
          <w:sz w:val="24"/>
        </w:rPr>
        <w:t>8.2.1  红色约束（硬约束）</w:t>
      </w:r>
    </w:p>
    <w:p>
      <w:pPr>
        <w:spacing w:line="400" w:lineRule="exact" w:before="60" w:after="60"/>
        <w:ind w:firstLine="482"/>
      </w:pPr>
      <w:r>
        <w:rPr>
          <w:rFonts w:ascii="SimSun" w:hAnsi="SimSun" w:eastAsia="SimSun"/>
          <w:b w:val="0"/>
          <w:sz w:val="24"/>
        </w:rPr>
        <w:t>红色约束代表物理极限或安全红线，在任何情况下绝对不可突破。典型的红色约束包括：堤顶高程减去安全超高（渠道水位的绝对上限）、最低通航/生态水位（渠道水位的绝对下限）、闸门全开/全关极限（机械行程边界）、泵站最大出力（电机额定功率限制）。红色约束在MPC优化中以严格不等式约束形式实现：</w:t>
      </w:r>
    </w:p>
    <w:p>
      <w:pPr>
        <w:spacing w:before="120" w:after="120"/>
        <w:jc w:val="center"/>
      </w:pPr>
      <w:r>
        <w:rPr>
          <w:rFonts w:ascii="SimSun" w:hAnsi="SimSun" w:eastAsia="SimSun"/>
          <w:b w:val="0"/>
          <w:sz w:val="24"/>
        </w:rPr>
        <w:t>y(i)(k+j|k) &lt;= y(i,red) - epsilon(r), j = 1,...,N(p), 对所有d属于W    （式8-3）</w:t>
      </w:r>
    </w:p>
    <w:p>
      <w:pPr>
        <w:spacing w:line="360" w:lineRule="exact" w:before="40" w:after="40"/>
        <w:ind w:firstLine="482"/>
      </w:pPr>
      <w:r>
        <w:rPr>
          <w:rFonts w:ascii="SimSun" w:hAnsi="SimSun" w:eastAsia="SimSun"/>
          <w:b w:val="0"/>
          <w:sz w:val="21"/>
        </w:rPr>
        <w:t>式中：y(i,red)为红线值（如堤顶高程）；epsilon(r)为安全裕度（通常取0.10–0.30m）；W为扰动的有界集合。红色约束绝不允许通过松弛变量放松，且需要多层冗余执行：MPC层、边缘控制器层、现地PLC层，任一层检测到越限均立即触发保护动作。</w:t>
      </w:r>
    </w:p>
    <w:p>
      <w:pPr>
        <w:spacing w:line="400" w:lineRule="exact" w:before="60" w:after="60"/>
        <w:ind w:firstLine="482"/>
      </w:pPr>
      <w:r>
        <w:rPr>
          <w:rFonts w:ascii="SimSun" w:hAnsi="SimSun" w:eastAsia="SimSun"/>
          <w:b w:val="0"/>
          <w:sz w:val="24"/>
        </w:rPr>
        <w:t>红色约束的安全裕度epsilon(r)的确定是一个关键设计参数。裕度过大导致可用容量浪费——对于南水北调中线，堤顶高程裕度每增加0.1m，单个渠池的可调蓄容量约减少数千到数万立方米；裕度过小则面临约束违反的安全风险。本研究推荐采用基于不确定性的自适应裕度方法：</w:t>
      </w:r>
    </w:p>
    <w:p>
      <w:pPr>
        <w:spacing w:before="120" w:after="120"/>
        <w:jc w:val="center"/>
      </w:pPr>
      <w:r>
        <w:rPr>
          <w:rFonts w:ascii="SimSun" w:hAnsi="SimSun" w:eastAsia="SimSun"/>
          <w:b w:val="0"/>
          <w:sz w:val="24"/>
        </w:rPr>
        <w:t>epsilon(r,i)(k) = max{ epsilon(r,min), z(alpha) * sigma(a,i)(k) }    （式8-4）</w:t>
      </w:r>
    </w:p>
    <w:p>
      <w:pPr>
        <w:spacing w:line="360" w:lineRule="exact" w:before="40" w:after="40"/>
        <w:ind w:firstLine="482"/>
      </w:pPr>
      <w:r>
        <w:rPr>
          <w:rFonts w:ascii="SimSun" w:hAnsi="SimSun" w:eastAsia="SimSun"/>
          <w:b w:val="0"/>
          <w:sz w:val="21"/>
        </w:rPr>
        <w:t>式中：epsilon(r,min)为最小安全裕度（工程经验值，通常0.10m）；z(alpha)为置信系数（取z(0.999)=3.09，对应99.9%保证率）；sigma(a,i)(k)为第i个断面在k时刻的状态估计标准差（由第六章EnKF提供）。这种自适应裕度方法的物理含义是：当状态估计不确定性较大时（如传感器稀疏区域），安全裕度自动增大；当不确定性较小时（如闸门附近传感器密集区域），安全裕度可以适当减小以提高系统效率[11]。</w:t>
      </w:r>
    </w:p>
    <w:p>
      <w:pPr>
        <w:spacing w:before="200" w:after="160"/>
        <w:jc w:val="left"/>
      </w:pPr>
      <w:r>
        <w:rPr>
          <w:rFonts w:ascii="SimSun" w:hAnsi="SimSun" w:eastAsia="SimSun"/>
          <w:b/>
          <w:sz w:val="24"/>
        </w:rPr>
        <w:t>8.2.2  黄色约束（软约束）</w:t>
      </w:r>
    </w:p>
    <w:p>
      <w:pPr>
        <w:spacing w:line="400" w:lineRule="exact" w:before="60" w:after="60"/>
        <w:ind w:firstLine="482"/>
      </w:pPr>
      <w:r>
        <w:rPr>
          <w:rFonts w:ascii="SimSun" w:hAnsi="SimSun" w:eastAsia="SimSun"/>
          <w:b w:val="0"/>
          <w:sz w:val="24"/>
        </w:rPr>
        <w:t>黄色约束代表运行指标或管理要求，允许短时偏离但需要付出惩罚代价。黄色约束的典型实例包括：目标水位偏差容许带（如正负0.10m）、泵站组合切换最小间隔（如大于等于30min）、闸门调节频率上限（如每小时不超过6次）、分水口流量偏差容许范围（如正负5%）。</w:t>
      </w:r>
    </w:p>
    <w:p>
      <w:pPr>
        <w:spacing w:line="400" w:lineRule="exact" w:before="60" w:after="60"/>
        <w:ind w:firstLine="482"/>
      </w:pPr>
      <w:r>
        <w:rPr>
          <w:rFonts w:ascii="SimSun" w:hAnsi="SimSun" w:eastAsia="SimSun"/>
          <w:b w:val="0"/>
          <w:sz w:val="24"/>
        </w:rPr>
        <w:t>在MPC优化中，黄色约束以松弛变量和惩罚项形式嵌入目标函数：</w:t>
      </w:r>
    </w:p>
    <w:p>
      <w:pPr>
        <w:spacing w:before="120" w:after="120"/>
        <w:jc w:val="center"/>
      </w:pPr>
      <w:r>
        <w:rPr>
          <w:rFonts w:ascii="SimSun" w:hAnsi="SimSun" w:eastAsia="SimSun"/>
          <w:b w:val="0"/>
          <w:sz w:val="24"/>
        </w:rPr>
        <w:t>J(ext) = J + rho * Sigma(i) Sigma(j) xi(i,j)^2    （式8-5）</w:t>
      </w:r>
    </w:p>
    <w:p>
      <w:pPr>
        <w:spacing w:before="120" w:after="120"/>
        <w:jc w:val="center"/>
      </w:pPr>
      <w:r>
        <w:rPr>
          <w:rFonts w:ascii="SimSun" w:hAnsi="SimSun" w:eastAsia="SimSun"/>
          <w:b w:val="0"/>
          <w:sz w:val="24"/>
        </w:rPr>
        <w:t>y(i,min) - xi(i,j) &lt;= y(i)(k+j|k) &lt;= y(i,max) + xi(i,j), xi(i,j) &gt;= 0    （式8-6）</w:t>
      </w:r>
    </w:p>
    <w:p>
      <w:pPr>
        <w:spacing w:line="360" w:lineRule="exact" w:before="40" w:after="40"/>
        <w:ind w:firstLine="482"/>
      </w:pPr>
      <w:r>
        <w:rPr>
          <w:rFonts w:ascii="SimSun" w:hAnsi="SimSun" w:eastAsia="SimSun"/>
          <w:b w:val="0"/>
          <w:sz w:val="21"/>
        </w:rPr>
        <w:t>式中：xi(i,j)为松弛变量；rho为惩罚系数（取值远大于目标函数中Q、R的权重，确保仅在必要时才偏离约束）。松弛变量xi(i,j)的平方惩罚确保了偏离越大、代价越高的特性，优化器会自动寻找偏离最小的控制方案。</w:t>
      </w:r>
    </w:p>
    <w:p>
      <w:pPr>
        <w:spacing w:line="400" w:lineRule="exact" w:before="60" w:after="60"/>
        <w:ind w:firstLine="482"/>
      </w:pPr>
      <w:r>
        <w:rPr>
          <w:rFonts w:ascii="SimSun" w:hAnsi="SimSun" w:eastAsia="SimSun"/>
          <w:b w:val="0"/>
          <w:sz w:val="24"/>
        </w:rPr>
        <w:t>黄色约束的惩罚系数rho的选取直接影响控制行为。rho过大时，黄色约束实际上退化为硬约束，可能导致优化问题不可行；rho过小时，黄色约束被轻易违反，失去约束管理的意义。本研究推荐的经验准则是：rho应为目标函数中水位跟踪权重Q的10至100倍[12]。</w:t>
      </w:r>
    </w:p>
    <w:p>
      <w:pPr>
        <w:spacing w:before="200" w:after="160"/>
        <w:jc w:val="left"/>
      </w:pPr>
      <w:r>
        <w:rPr>
          <w:rFonts w:ascii="SimSun" w:hAnsi="SimSun" w:eastAsia="SimSun"/>
          <w:b/>
          <w:sz w:val="24"/>
        </w:rPr>
        <w:t>8.2.3  绿色约束（目标区间）</w:t>
      </w:r>
    </w:p>
    <w:p>
      <w:pPr>
        <w:spacing w:line="400" w:lineRule="exact" w:before="60" w:after="60"/>
        <w:ind w:firstLine="482"/>
      </w:pPr>
      <w:r>
        <w:rPr>
          <w:rFonts w:ascii="SimSun" w:hAnsi="SimSun" w:eastAsia="SimSun"/>
          <w:b w:val="0"/>
          <w:sz w:val="24"/>
        </w:rPr>
        <w:t>绿色约束代表理想的运行区间，是优化追求的方向。系统在满足红色和黄色约束的前提下，尽可能将运行状态维持在绿色区间内。绿色区间通过目标函数中的参考轨迹r(k)来实现，不形成显式约束。</w:t>
      </w:r>
    </w:p>
    <w:p>
      <w:pPr>
        <w:spacing w:line="400" w:lineRule="exact" w:before="60" w:after="60"/>
        <w:ind w:firstLine="482"/>
      </w:pPr>
      <w:r>
        <w:rPr>
          <w:rFonts w:ascii="SimSun" w:hAnsi="SimSun" w:eastAsia="SimSun"/>
          <w:b w:val="0"/>
          <w:sz w:val="24"/>
        </w:rPr>
        <w:t>绿色区间的典型定义包括：目标水位正负0.03m以内（高品质运行区间）、泵站运行在高效区（效率大于80%的工况点附近）、闸门开度变化率在平稳范围内。绿色区间的设计体现了"精细化运行"的理念——在确保安全的前提下追求效率和品质[13]。</w:t>
      </w:r>
    </w:p>
    <w:p>
      <w:pPr>
        <w:spacing w:line="400" w:lineRule="exact" w:before="60" w:after="60"/>
        <w:ind w:firstLine="482"/>
      </w:pPr>
      <w:r>
        <w:rPr>
          <w:rFonts w:ascii="SimSun" w:hAnsi="SimSun" w:eastAsia="SimSun"/>
          <w:b w:val="0"/>
          <w:sz w:val="24"/>
        </w:rPr>
        <w:t>三级约束体系形成了如下的嵌套结构：绿色区间包含于黄色约束内，黄色约束包含于红色约束内，形成由内到外的递进式防护。这种嵌套结构确保了系统在正常运行时始终处于绿色区间，在异常工况下可以退让到黄色区间（付出经济性代价但保持安全），在极端工况下绝不突破红色约束（确保人员和设施安全）。</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247"/>
            <w:shd w:fill="D9E2F3" w:val="clear"/>
          </w:tcPr>
          <w:p>
            <w:pPr>
              <w:jc w:val="center"/>
            </w:pPr>
            <w:r/>
            <w:r>
              <w:rPr>
                <w:rFonts w:ascii="SimSun" w:hAnsi="SimSun" w:eastAsia="SimSun"/>
                <w:b/>
                <w:sz w:val="20"/>
              </w:rPr>
              <w:t>约束等级</w:t>
            </w:r>
          </w:p>
        </w:tc>
        <w:tc>
          <w:tcPr>
            <w:tcW w:type="dxa" w:w="1247"/>
            <w:shd w:fill="D9E2F3" w:val="clear"/>
          </w:tcPr>
          <w:p>
            <w:pPr>
              <w:jc w:val="center"/>
            </w:pPr>
            <w:r/>
            <w:r>
              <w:rPr>
                <w:rFonts w:ascii="SimSun" w:hAnsi="SimSun" w:eastAsia="SimSun"/>
                <w:b/>
                <w:sz w:val="20"/>
              </w:rPr>
              <w:t>含义</w:t>
            </w:r>
          </w:p>
        </w:tc>
        <w:tc>
          <w:tcPr>
            <w:tcW w:type="dxa" w:w="1134"/>
            <w:shd w:fill="D9E2F3" w:val="clear"/>
          </w:tcPr>
          <w:p>
            <w:pPr>
              <w:jc w:val="center"/>
            </w:pPr>
            <w:r/>
            <w:r>
              <w:rPr>
                <w:rFonts w:ascii="SimSun" w:hAnsi="SimSun" w:eastAsia="SimSun"/>
                <w:b/>
                <w:sz w:val="20"/>
              </w:rPr>
              <w:t>违反后果</w:t>
            </w:r>
          </w:p>
        </w:tc>
        <w:tc>
          <w:tcPr>
            <w:tcW w:type="dxa" w:w="1417"/>
            <w:shd w:fill="D9E2F3" w:val="clear"/>
          </w:tcPr>
          <w:p>
            <w:pPr>
              <w:jc w:val="center"/>
            </w:pPr>
            <w:r/>
            <w:r>
              <w:rPr>
                <w:rFonts w:ascii="SimSun" w:hAnsi="SimSun" w:eastAsia="SimSun"/>
                <w:b/>
                <w:sz w:val="20"/>
              </w:rPr>
              <w:t>MPC实现方式</w:t>
            </w:r>
          </w:p>
        </w:tc>
        <w:tc>
          <w:tcPr>
            <w:tcW w:type="dxa" w:w="1247"/>
            <w:shd w:fill="D9E2F3" w:val="clear"/>
          </w:tcPr>
          <w:p>
            <w:pPr>
              <w:jc w:val="center"/>
            </w:pPr>
            <w:r/>
            <w:r>
              <w:rPr>
                <w:rFonts w:ascii="SimSun" w:hAnsi="SimSun" w:eastAsia="SimSun"/>
                <w:b/>
                <w:sz w:val="20"/>
              </w:rPr>
              <w:t>响应策略</w:t>
            </w:r>
          </w:p>
        </w:tc>
      </w:tr>
      <w:tr>
        <w:tc>
          <w:tcPr>
            <w:tcW w:type="dxa" w:w="1247"/>
          </w:tcPr>
          <w:p>
            <w:pPr>
              <w:jc w:val="center"/>
            </w:pPr>
            <w:r/>
            <w:r>
              <w:rPr>
                <w:rFonts w:ascii="SimSun" w:hAnsi="SimSun" w:eastAsia="SimSun"/>
                <w:b w:val="0"/>
                <w:sz w:val="20"/>
              </w:rPr>
              <w:t>红色</w:t>
              <w:br/>
              <w:t>（硬约束）</w:t>
            </w:r>
          </w:p>
        </w:tc>
        <w:tc>
          <w:tcPr>
            <w:tcW w:type="dxa" w:w="1247"/>
          </w:tcPr>
          <w:p>
            <w:pPr>
              <w:jc w:val="center"/>
            </w:pPr>
            <w:r/>
            <w:r>
              <w:rPr>
                <w:rFonts w:ascii="SimSun" w:hAnsi="SimSun" w:eastAsia="SimSun"/>
                <w:b w:val="0"/>
                <w:sz w:val="20"/>
              </w:rPr>
              <w:t>物理极限</w:t>
              <w:br/>
              <w:t>安全红线</w:t>
            </w:r>
          </w:p>
        </w:tc>
        <w:tc>
          <w:tcPr>
            <w:tcW w:type="dxa" w:w="1134"/>
          </w:tcPr>
          <w:p>
            <w:pPr>
              <w:jc w:val="center"/>
            </w:pPr>
            <w:r/>
            <w:r>
              <w:rPr>
                <w:rFonts w:ascii="SimSun" w:hAnsi="SimSun" w:eastAsia="SimSun"/>
                <w:b w:val="0"/>
                <w:sz w:val="20"/>
              </w:rPr>
              <w:t>可能导致</w:t>
              <w:br/>
              <w:t>事故</w:t>
            </w:r>
          </w:p>
        </w:tc>
        <w:tc>
          <w:tcPr>
            <w:tcW w:type="dxa" w:w="1417"/>
          </w:tcPr>
          <w:p>
            <w:pPr>
              <w:jc w:val="center"/>
            </w:pPr>
            <w:r/>
            <w:r>
              <w:rPr>
                <w:rFonts w:ascii="SimSun" w:hAnsi="SimSun" w:eastAsia="SimSun"/>
                <w:b w:val="0"/>
                <w:sz w:val="20"/>
              </w:rPr>
              <w:t>严格不等式</w:t>
              <w:br/>
              <w:t>不允许松弛</w:t>
            </w:r>
          </w:p>
        </w:tc>
        <w:tc>
          <w:tcPr>
            <w:tcW w:type="dxa" w:w="1247"/>
          </w:tcPr>
          <w:p>
            <w:pPr>
              <w:jc w:val="center"/>
            </w:pPr>
            <w:r/>
            <w:r>
              <w:rPr>
                <w:rFonts w:ascii="SimSun" w:hAnsi="SimSun" w:eastAsia="SimSun"/>
                <w:b w:val="0"/>
                <w:sz w:val="20"/>
              </w:rPr>
              <w:t>立即保护</w:t>
              <w:br/>
              <w:t>自动+人工</w:t>
            </w:r>
          </w:p>
        </w:tc>
      </w:tr>
      <w:tr>
        <w:tc>
          <w:tcPr>
            <w:tcW w:type="dxa" w:w="1247"/>
          </w:tcPr>
          <w:p>
            <w:pPr>
              <w:jc w:val="center"/>
            </w:pPr>
            <w:r/>
            <w:r>
              <w:rPr>
                <w:rFonts w:ascii="SimSun" w:hAnsi="SimSun" w:eastAsia="SimSun"/>
                <w:b w:val="0"/>
                <w:sz w:val="20"/>
              </w:rPr>
              <w:t>黄色</w:t>
              <w:br/>
              <w:t>（软约束）</w:t>
            </w:r>
          </w:p>
        </w:tc>
        <w:tc>
          <w:tcPr>
            <w:tcW w:type="dxa" w:w="1247"/>
          </w:tcPr>
          <w:p>
            <w:pPr>
              <w:jc w:val="center"/>
            </w:pPr>
            <w:r/>
            <w:r>
              <w:rPr>
                <w:rFonts w:ascii="SimSun" w:hAnsi="SimSun" w:eastAsia="SimSun"/>
                <w:b w:val="0"/>
                <w:sz w:val="20"/>
              </w:rPr>
              <w:t>运行指标</w:t>
              <w:br/>
              <w:t>管理要求</w:t>
            </w:r>
          </w:p>
        </w:tc>
        <w:tc>
          <w:tcPr>
            <w:tcW w:type="dxa" w:w="1134"/>
          </w:tcPr>
          <w:p>
            <w:pPr>
              <w:jc w:val="center"/>
            </w:pPr>
            <w:r/>
            <w:r>
              <w:rPr>
                <w:rFonts w:ascii="SimSun" w:hAnsi="SimSun" w:eastAsia="SimSun"/>
                <w:b w:val="0"/>
                <w:sz w:val="20"/>
              </w:rPr>
              <w:t>品质下降</w:t>
              <w:br/>
              <w:t>经济损失</w:t>
            </w:r>
          </w:p>
        </w:tc>
        <w:tc>
          <w:tcPr>
            <w:tcW w:type="dxa" w:w="1417"/>
          </w:tcPr>
          <w:p>
            <w:pPr>
              <w:jc w:val="center"/>
            </w:pPr>
            <w:r/>
            <w:r>
              <w:rPr>
                <w:rFonts w:ascii="SimSun" w:hAnsi="SimSun" w:eastAsia="SimSun"/>
                <w:b w:val="0"/>
                <w:sz w:val="20"/>
              </w:rPr>
              <w:t>松弛变量+</w:t>
              <w:br/>
              <w:t>二次惩罚项</w:t>
            </w:r>
          </w:p>
        </w:tc>
        <w:tc>
          <w:tcPr>
            <w:tcW w:type="dxa" w:w="1247"/>
          </w:tcPr>
          <w:p>
            <w:pPr>
              <w:jc w:val="center"/>
            </w:pPr>
            <w:r/>
            <w:r>
              <w:rPr>
                <w:rFonts w:ascii="SimSun" w:hAnsi="SimSun" w:eastAsia="SimSun"/>
                <w:b w:val="0"/>
                <w:sz w:val="20"/>
              </w:rPr>
              <w:t>调整策略</w:t>
              <w:br/>
              <w:t>限时恢复</w:t>
            </w:r>
          </w:p>
        </w:tc>
      </w:tr>
      <w:tr>
        <w:tc>
          <w:tcPr>
            <w:tcW w:type="dxa" w:w="1247"/>
          </w:tcPr>
          <w:p>
            <w:pPr>
              <w:jc w:val="center"/>
            </w:pPr>
            <w:r/>
            <w:r>
              <w:rPr>
                <w:rFonts w:ascii="SimSun" w:hAnsi="SimSun" w:eastAsia="SimSun"/>
                <w:b w:val="0"/>
                <w:sz w:val="20"/>
              </w:rPr>
              <w:t>绿色</w:t>
              <w:br/>
              <w:t>（目标区间）</w:t>
            </w:r>
          </w:p>
        </w:tc>
        <w:tc>
          <w:tcPr>
            <w:tcW w:type="dxa" w:w="1247"/>
          </w:tcPr>
          <w:p>
            <w:pPr>
              <w:jc w:val="center"/>
            </w:pPr>
            <w:r/>
            <w:r>
              <w:rPr>
                <w:rFonts w:ascii="SimSun" w:hAnsi="SimSun" w:eastAsia="SimSun"/>
                <w:b w:val="0"/>
                <w:sz w:val="20"/>
              </w:rPr>
              <w:t>理想运行</w:t>
              <w:br/>
              <w:t>范围</w:t>
            </w:r>
          </w:p>
        </w:tc>
        <w:tc>
          <w:tcPr>
            <w:tcW w:type="dxa" w:w="1134"/>
          </w:tcPr>
          <w:p>
            <w:pPr>
              <w:jc w:val="center"/>
            </w:pPr>
            <w:r/>
            <w:r>
              <w:rPr>
                <w:rFonts w:ascii="SimSun" w:hAnsi="SimSun" w:eastAsia="SimSun"/>
                <w:b w:val="0"/>
                <w:sz w:val="20"/>
              </w:rPr>
              <w:t>效率降低</w:t>
            </w:r>
          </w:p>
        </w:tc>
        <w:tc>
          <w:tcPr>
            <w:tcW w:type="dxa" w:w="1417"/>
          </w:tcPr>
          <w:p>
            <w:pPr>
              <w:jc w:val="center"/>
            </w:pPr>
            <w:r/>
            <w:r>
              <w:rPr>
                <w:rFonts w:ascii="SimSun" w:hAnsi="SimSun" w:eastAsia="SimSun"/>
                <w:b w:val="0"/>
                <w:sz w:val="20"/>
              </w:rPr>
              <w:t>目标函数中</w:t>
              <w:br/>
              <w:t>参考轨迹</w:t>
            </w:r>
          </w:p>
        </w:tc>
        <w:tc>
          <w:tcPr>
            <w:tcW w:type="dxa" w:w="1247"/>
          </w:tcPr>
          <w:p>
            <w:pPr>
              <w:jc w:val="center"/>
            </w:pPr>
            <w:r/>
            <w:r>
              <w:rPr>
                <w:rFonts w:ascii="SimSun" w:hAnsi="SimSun" w:eastAsia="SimSun"/>
                <w:b w:val="0"/>
                <w:sz w:val="20"/>
              </w:rPr>
              <w:t>优化调整</w:t>
              <w:br/>
              <w:t>日报记录</w:t>
            </w:r>
          </w:p>
        </w:tc>
      </w:tr>
    </w:tbl>
    <w:p>
      <w:pPr>
        <w:spacing w:line="400" w:lineRule="exact" w:before="60" w:after="60"/>
        <w:ind w:firstLine="482"/>
      </w:pPr>
      <w:r>
        <w:rPr>
          <w:rFonts w:ascii="SimSun" w:hAnsi="SimSun" w:eastAsia="SimSun"/>
          <w:b w:val="0"/>
          <w:sz w:val="24"/>
        </w:rPr>
        <w:t>表8-2  红黄绿三级约束体系概要</w:t>
      </w:r>
    </w:p>
    <w:p>
      <w:pPr>
        <w:spacing w:before="280" w:after="200"/>
        <w:jc w:val="left"/>
      </w:pPr>
      <w:r>
        <w:rPr>
          <w:rFonts w:ascii="SimSun" w:hAnsi="SimSun" w:eastAsia="SimSun"/>
          <w:b/>
          <w:sz w:val="28"/>
        </w:rPr>
        <w:t>8.3  约束裕度实时监测与动态调整</w:t>
      </w:r>
    </w:p>
    <w:p>
      <w:pPr>
        <w:spacing w:before="200" w:after="160"/>
        <w:jc w:val="left"/>
      </w:pPr>
      <w:r>
        <w:rPr>
          <w:rFonts w:ascii="SimSun" w:hAnsi="SimSun" w:eastAsia="SimSun"/>
          <w:b/>
          <w:sz w:val="24"/>
        </w:rPr>
        <w:t>8.3.1  约束裕度的定义与计算</w:t>
      </w:r>
    </w:p>
    <w:p>
      <w:pPr>
        <w:spacing w:line="400" w:lineRule="exact" w:before="60" w:after="60"/>
        <w:ind w:firstLine="482"/>
      </w:pPr>
      <w:r>
        <w:rPr>
          <w:rFonts w:ascii="SimSun" w:hAnsi="SimSun" w:eastAsia="SimSun"/>
          <w:b w:val="0"/>
          <w:sz w:val="24"/>
        </w:rPr>
        <w:t>约束裕度（Constraint Margin）定义为当前状态到约束边界的距离，是衡量系统安全状态的核心指标[14]：</w:t>
      </w:r>
    </w:p>
    <w:p>
      <w:pPr>
        <w:spacing w:before="120" w:after="120"/>
        <w:jc w:val="center"/>
      </w:pPr>
      <w:r>
        <w:rPr>
          <w:rFonts w:ascii="SimSun" w:hAnsi="SimSun" w:eastAsia="SimSun"/>
          <w:b w:val="0"/>
          <w:sz w:val="24"/>
        </w:rPr>
        <w:t>M(i,upper)(k) = y(i,max) - y(i)(k)    （式8-7）</w:t>
      </w:r>
    </w:p>
    <w:p>
      <w:pPr>
        <w:spacing w:before="120" w:after="120"/>
        <w:jc w:val="center"/>
      </w:pPr>
      <w:r>
        <w:rPr>
          <w:rFonts w:ascii="SimSun" w:hAnsi="SimSun" w:eastAsia="SimSun"/>
          <w:b w:val="0"/>
          <w:sz w:val="24"/>
        </w:rPr>
        <w:t>M(i,lower)(k) = y(i)(k) - y(i,min)    （式8-8）</w:t>
      </w:r>
    </w:p>
    <w:p>
      <w:pPr>
        <w:spacing w:line="360" w:lineRule="exact" w:before="40" w:after="40"/>
        <w:ind w:firstLine="482"/>
      </w:pPr>
      <w:r>
        <w:rPr>
          <w:rFonts w:ascii="SimSun" w:hAnsi="SimSun" w:eastAsia="SimSun"/>
          <w:b w:val="0"/>
          <w:sz w:val="21"/>
        </w:rPr>
        <w:t>式中：M(i,upper)(k)为第i个断面的上限裕度；M(i,lower)(k)为下限裕度；y(i,max)、y(i,min)为对应的约束上下限。综合裕度取两者的最小值：M(i)(k) = min{ M(i,upper)(k), M(i,lower)(k) }。</w:t>
      </w:r>
    </w:p>
    <w:p>
      <w:pPr>
        <w:spacing w:line="400" w:lineRule="exact" w:before="60" w:after="60"/>
        <w:ind w:firstLine="482"/>
      </w:pPr>
      <w:r>
        <w:rPr>
          <w:rFonts w:ascii="SimSun" w:hAnsi="SimSun" w:eastAsia="SimSun"/>
          <w:b w:val="0"/>
          <w:sz w:val="24"/>
        </w:rPr>
        <w:t>约束裕度的预警阈值应基于状态估计的不确定性动态调整：</w:t>
      </w:r>
    </w:p>
    <w:p>
      <w:pPr>
        <w:spacing w:before="120" w:after="120"/>
        <w:jc w:val="center"/>
      </w:pPr>
      <w:r>
        <w:rPr>
          <w:rFonts w:ascii="SimSun" w:hAnsi="SimSun" w:eastAsia="SimSun"/>
          <w:b w:val="0"/>
          <w:sz w:val="24"/>
        </w:rPr>
        <w:t>epsilon(0,i)(k) = alpha(0) * sigma(a,i)(k)    （式8-9）</w:t>
      </w:r>
    </w:p>
    <w:p>
      <w:pPr>
        <w:spacing w:before="120" w:after="120"/>
        <w:jc w:val="center"/>
      </w:pPr>
      <w:r>
        <w:rPr>
          <w:rFonts w:ascii="SimSun" w:hAnsi="SimSun" w:eastAsia="SimSun"/>
          <w:b w:val="0"/>
          <w:sz w:val="24"/>
        </w:rPr>
        <w:t>epsilon(r,i)(k) = alpha(r) * sigma(a,i)(k)    （式8-10）</w:t>
      </w:r>
    </w:p>
    <w:p>
      <w:pPr>
        <w:spacing w:line="360" w:lineRule="exact" w:before="40" w:after="40"/>
        <w:ind w:firstLine="482"/>
      </w:pPr>
      <w:r>
        <w:rPr>
          <w:rFonts w:ascii="SimSun" w:hAnsi="SimSun" w:eastAsia="SimSun"/>
          <w:b w:val="0"/>
          <w:sz w:val="21"/>
        </w:rPr>
        <w:t>式中：epsilon(0,i)(k)为黄色预警阈值；epsilon(r,i)(k)为红色紧急阈值；alpha(0)约等于2.0、alpha(r)约等于3.0为阈值系数；sigma(a,i)(k)为第六章EnKF提供的分析不确定性。当裕度M(i)(k) &lt; epsilon(0,i)(k)时进入黄色预警区；当M(i)(k) &lt; epsilon(r,i)(k)时进入红色紧急区。</w:t>
      </w:r>
    </w:p>
    <w:p>
      <w:pPr>
        <w:spacing w:line="400" w:lineRule="exact" w:before="60" w:after="60"/>
        <w:ind w:firstLine="482"/>
      </w:pPr>
      <w:r>
        <w:rPr>
          <w:rFonts w:ascii="SimSun" w:hAnsi="SimSun" w:eastAsia="SimSun"/>
          <w:b w:val="0"/>
          <w:sz w:val="24"/>
        </w:rPr>
        <w:t>这种基于不确定性的动态阈值机制是自主运行系统相比传统固定阈值报警的核心进步。传统系统使用固定阈值（如水位距堤顶0.5m报警），无法区分"确切知道水位距堤顶0.5m"和"水位估计值距堤顶0.5m但估计误差可能达0.3m"这两种截然不同的安全状态。动态阈值通过引入不确定性信息，实现了更加合理的安全决策[15]。</w:t>
      </w:r>
    </w:p>
    <w:p>
      <w:pPr>
        <w:spacing w:before="200" w:after="160"/>
        <w:jc w:val="left"/>
      </w:pPr>
      <w:r>
        <w:rPr>
          <w:rFonts w:ascii="SimSun" w:hAnsi="SimSun" w:eastAsia="SimSun"/>
          <w:b/>
          <w:sz w:val="24"/>
        </w:rPr>
        <w:t>8.3.2  约束裕度的预测与趋势分析</w:t>
      </w:r>
    </w:p>
    <w:p>
      <w:pPr>
        <w:spacing w:line="400" w:lineRule="exact" w:before="60" w:after="60"/>
        <w:ind w:firstLine="482"/>
      </w:pPr>
      <w:r>
        <w:rPr>
          <w:rFonts w:ascii="SimSun" w:hAnsi="SimSun" w:eastAsia="SimSun"/>
          <w:b w:val="0"/>
          <w:sz w:val="24"/>
        </w:rPr>
        <w:t>当前裕度只反映系统此刻的安全状态，而预测裕度可以揭示系统的安全趋势。利用MPC的预测轨迹，可以提前计算未来N(p)个时步的裕度预测序列：</w:t>
      </w:r>
    </w:p>
    <w:p>
      <w:pPr>
        <w:spacing w:before="120" w:after="120"/>
        <w:jc w:val="center"/>
      </w:pPr>
      <w:r>
        <w:rPr>
          <w:rFonts w:ascii="SimSun" w:hAnsi="SimSun" w:eastAsia="SimSun"/>
          <w:b w:val="0"/>
          <w:sz w:val="24"/>
        </w:rPr>
        <w:t>M(i,pred)(k+j|k) = y(i,max) - y(i)(k+j|k), j = 1, 2, ..., N(p)    （式8-11）</w:t>
      </w:r>
    </w:p>
    <w:p>
      <w:pPr>
        <w:spacing w:line="400" w:lineRule="exact" w:before="60" w:after="60"/>
        <w:ind w:firstLine="482"/>
      </w:pPr>
      <w:r>
        <w:rPr>
          <w:rFonts w:ascii="SimSun" w:hAnsi="SimSun" w:eastAsia="SimSun"/>
          <w:b w:val="0"/>
          <w:sz w:val="24"/>
        </w:rPr>
        <w:t>裕度恶化速率定义为裕度的时间导数：</w:t>
      </w:r>
    </w:p>
    <w:p>
      <w:pPr>
        <w:spacing w:before="120" w:after="120"/>
        <w:jc w:val="center"/>
      </w:pPr>
      <w:r>
        <w:rPr>
          <w:rFonts w:ascii="SimSun" w:hAnsi="SimSun" w:eastAsia="SimSun"/>
          <w:b w:val="0"/>
          <w:sz w:val="24"/>
        </w:rPr>
        <w:t>dM(i)/dt = [M(i)(k) - M(i)(k-1)] / Delta(t)    （式8-12）</w:t>
      </w:r>
    </w:p>
    <w:p>
      <w:pPr>
        <w:spacing w:line="360" w:lineRule="exact" w:before="40" w:after="40"/>
        <w:ind w:firstLine="482"/>
      </w:pPr>
      <w:r>
        <w:rPr>
          <w:rFonts w:ascii="SimSun" w:hAnsi="SimSun" w:eastAsia="SimSun"/>
          <w:b w:val="0"/>
          <w:sz w:val="21"/>
        </w:rPr>
        <w:t>式中：Delta(t)为采样周期。当dM(i)/dt &lt; 0且|dM(i)/dt|超过设定阈值时，表明裕度正在快速恶化，需要提高警戒等级。</w:t>
      </w:r>
    </w:p>
    <w:p>
      <w:pPr>
        <w:spacing w:line="400" w:lineRule="exact" w:before="60" w:after="60"/>
        <w:ind w:firstLine="482"/>
      </w:pPr>
      <w:r>
        <w:rPr>
          <w:rFonts w:ascii="SimSun" w:hAnsi="SimSun" w:eastAsia="SimSun"/>
          <w:b w:val="0"/>
          <w:sz w:val="24"/>
        </w:rPr>
        <w:t>裕度预警剩余时间（Time to Warning）定义为当前裕度按当前趋势降至阈值的预计时间：</w:t>
      </w:r>
    </w:p>
    <w:p>
      <w:pPr>
        <w:spacing w:before="120" w:after="120"/>
        <w:jc w:val="center"/>
      </w:pPr>
      <w:r>
        <w:rPr>
          <w:rFonts w:ascii="SimSun" w:hAnsi="SimSun" w:eastAsia="SimSun"/>
          <w:b w:val="0"/>
          <w:sz w:val="24"/>
        </w:rPr>
        <w:t>T(warn,i) = [M(i)(k) - epsilon(0,i)] / max{-dM(i)/dt, delta(min)}    （式8-13）</w:t>
      </w:r>
    </w:p>
    <w:p>
      <w:pPr>
        <w:spacing w:line="360" w:lineRule="exact" w:before="40" w:after="40"/>
        <w:ind w:firstLine="482"/>
      </w:pPr>
      <w:r>
        <w:rPr>
          <w:rFonts w:ascii="SimSun" w:hAnsi="SimSun" w:eastAsia="SimSun"/>
          <w:b w:val="0"/>
          <w:sz w:val="21"/>
        </w:rPr>
        <w:t>式中：delta(min)为最小分母值（避免除零，取delta(min) = 0.001 m/min）。T(warn,i)为"按当前趋势，还有多久到达黄色预警阈值"的预估。当T(warn,i)小于设定值（如T(warn,i) &lt; 30min）时，即使当前裕度仍在绿色区间，也应启动预防性控制策略调整。</w:t>
      </w:r>
    </w:p>
    <w:p>
      <w:pPr>
        <w:spacing w:line="400" w:lineRule="exact" w:before="60" w:after="60"/>
        <w:ind w:firstLine="482"/>
      </w:pPr>
      <w:r>
        <w:rPr>
          <w:rFonts w:ascii="SimSun" w:hAnsi="SimSun" w:eastAsia="SimSun"/>
          <w:b w:val="0"/>
          <w:sz w:val="24"/>
        </w:rPr>
        <w:t>这种"预测性约束管理"机制是自主运行系统相比传统阈值报警的核心优势[16]。传统系统只能在约束被违反或接近违反时才能报警，而预测性约束管理可以在约束违反发生之前数小时甚至数天提前预警，为调度人员和自动控制系统提供充分的响应时间。</w:t>
      </w:r>
    </w:p>
    <w:p>
      <w:pPr>
        <w:spacing w:before="200" w:after="160"/>
        <w:jc w:val="left"/>
      </w:pPr>
      <w:r>
        <w:rPr>
          <w:rFonts w:ascii="SimSun" w:hAnsi="SimSun" w:eastAsia="SimSun"/>
          <w:b/>
          <w:sz w:val="24"/>
        </w:rPr>
        <w:t>8.3.3  约束裕度可视化——全网安全态势图</w:t>
      </w:r>
    </w:p>
    <w:p>
      <w:pPr>
        <w:spacing w:line="400" w:lineRule="exact" w:before="60" w:after="60"/>
        <w:ind w:firstLine="482"/>
      </w:pPr>
      <w:r>
        <w:rPr>
          <w:rFonts w:ascii="SimSun" w:hAnsi="SimSun" w:eastAsia="SimSun"/>
          <w:b w:val="0"/>
          <w:sz w:val="24"/>
        </w:rPr>
        <w:t>为了使调度人员能够直观把握全网的约束安全态势，建议构建"全网约束裕度态势图"。态势图以渠道纵断面为基础，采用红黄绿三色填充显示各断面的当前裕度等级，并以曲线叠加显示裕度预测趋势和预警剩余时间。</w:t>
      </w:r>
    </w:p>
    <w:p>
      <w:pPr>
        <w:spacing w:line="400" w:lineRule="exact" w:before="60" w:after="60"/>
        <w:ind w:firstLine="482"/>
      </w:pPr>
      <w:r>
        <w:rPr>
          <w:rFonts w:ascii="SimSun" w:hAnsi="SimSun" w:eastAsia="SimSun"/>
          <w:b w:val="0"/>
          <w:sz w:val="24"/>
        </w:rPr>
        <w:t>态势图的核心信息包括三类。第一类是当前最小裕度断面——全网中裕度最小的控制断面，在图中高亮显示。第二类是裕度恶化最快断面——dM/dt绝对值最大的断面，以闪烁标记提示。第三类是裕度预警时间分布——全网各断面的T(warn)值，以热力图形式呈现。这一可视化工具使调度人员能够在数秒内掌握全网安全状态，支持快速决策[17]。</w:t>
      </w:r>
    </w:p>
    <w:p>
      <w:pPr>
        <w:spacing w:before="280" w:after="200"/>
        <w:jc w:val="left"/>
      </w:pPr>
      <w:r>
        <w:rPr>
          <w:rFonts w:ascii="SimSun" w:hAnsi="SimSun" w:eastAsia="SimSun"/>
          <w:b/>
          <w:sz w:val="28"/>
        </w:rPr>
        <w:t>8.4  约束-告警-预案联动机制</w:t>
      </w:r>
    </w:p>
    <w:p>
      <w:pPr>
        <w:spacing w:before="200" w:after="160"/>
        <w:jc w:val="left"/>
      </w:pPr>
      <w:r>
        <w:rPr>
          <w:rFonts w:ascii="SimSun" w:hAnsi="SimSun" w:eastAsia="SimSun"/>
          <w:b/>
          <w:sz w:val="24"/>
        </w:rPr>
        <w:t>8.4.1  告警分级与路由</w:t>
      </w:r>
    </w:p>
    <w:p>
      <w:pPr>
        <w:spacing w:line="400" w:lineRule="exact" w:before="60" w:after="60"/>
        <w:ind w:firstLine="482"/>
      </w:pPr>
      <w:r>
        <w:rPr>
          <w:rFonts w:ascii="SimSun" w:hAnsi="SimSun" w:eastAsia="SimSun"/>
          <w:b w:val="0"/>
          <w:sz w:val="24"/>
        </w:rPr>
        <w:t>基于约束裕度的分级结果，告警系统按以下三个等级发出告警[18]。</w:t>
      </w:r>
    </w:p>
    <w:p>
      <w:pPr>
        <w:spacing w:line="400" w:lineRule="exact" w:before="60" w:after="60"/>
        <w:ind w:firstLine="482"/>
      </w:pPr>
      <w:r>
        <w:rPr>
          <w:rFonts w:ascii="SimSun" w:hAnsi="SimSun" w:eastAsia="SimSun"/>
          <w:b w:val="0"/>
          <w:sz w:val="24"/>
        </w:rPr>
        <w:t>一级告警（红色约束裕度不足）：直接通知总调度中心值班主任和相关分控中心，同时触发自动保护动作。响应时间要求小于等于15分钟。告警信息包括：违约断面编号、当前裕度值、预测趋势、自动保护动作描述、建议人工操作。告警途径为短信+电话+SCADA弹窗同步发送。</w:t>
      </w:r>
    </w:p>
    <w:p>
      <w:pPr>
        <w:spacing w:line="400" w:lineRule="exact" w:before="60" w:after="60"/>
        <w:ind w:firstLine="482"/>
      </w:pPr>
      <w:r>
        <w:rPr>
          <w:rFonts w:ascii="SimSun" w:hAnsi="SimSun" w:eastAsia="SimSun"/>
          <w:b w:val="0"/>
          <w:sz w:val="24"/>
        </w:rPr>
        <w:t>二级告警（黄色约束偏离）：通知分控中心运行人员。响应时间要求小于等于30分钟。告警信息包括：偏离断面编号、偏离程度、恢复预案建议。告警途径为SCADA弹窗+短信。</w:t>
      </w:r>
    </w:p>
    <w:p>
      <w:pPr>
        <w:spacing w:line="400" w:lineRule="exact" w:before="60" w:after="60"/>
        <w:ind w:firstLine="482"/>
      </w:pPr>
      <w:r>
        <w:rPr>
          <w:rFonts w:ascii="SimSun" w:hAnsi="SimSun" w:eastAsia="SimSun"/>
          <w:b w:val="0"/>
          <w:sz w:val="24"/>
        </w:rPr>
        <w:t>三级告警（绿色区间偏离）：在运行日志中记录并在日报中汇总。无即时响应要求，但运行分析人员应在24小时内分析偏离原因并提出优化建议。</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134"/>
            <w:shd w:fill="D9E2F3" w:val="clear"/>
          </w:tcPr>
          <w:p>
            <w:pPr>
              <w:jc w:val="center"/>
            </w:pPr>
            <w:r/>
            <w:r>
              <w:rPr>
                <w:rFonts w:ascii="SimSun" w:hAnsi="SimSun" w:eastAsia="SimSun"/>
                <w:b/>
                <w:sz w:val="20"/>
              </w:rPr>
              <w:t>告警等级</w:t>
            </w:r>
          </w:p>
        </w:tc>
        <w:tc>
          <w:tcPr>
            <w:tcW w:type="dxa" w:w="1587"/>
            <w:shd w:fill="D9E2F3" w:val="clear"/>
          </w:tcPr>
          <w:p>
            <w:pPr>
              <w:jc w:val="center"/>
            </w:pPr>
            <w:r/>
            <w:r>
              <w:rPr>
                <w:rFonts w:ascii="SimSun" w:hAnsi="SimSun" w:eastAsia="SimSun"/>
                <w:b/>
                <w:sz w:val="20"/>
              </w:rPr>
              <w:t>触发条件</w:t>
            </w:r>
          </w:p>
        </w:tc>
        <w:tc>
          <w:tcPr>
            <w:tcW w:type="dxa" w:w="1417"/>
            <w:shd w:fill="D9E2F3" w:val="clear"/>
          </w:tcPr>
          <w:p>
            <w:pPr>
              <w:jc w:val="center"/>
            </w:pPr>
            <w:r/>
            <w:r>
              <w:rPr>
                <w:rFonts w:ascii="SimSun" w:hAnsi="SimSun" w:eastAsia="SimSun"/>
                <w:b/>
                <w:sz w:val="20"/>
              </w:rPr>
              <w:t>通知对象</w:t>
            </w:r>
          </w:p>
        </w:tc>
        <w:tc>
          <w:tcPr>
            <w:tcW w:type="dxa" w:w="1134"/>
            <w:shd w:fill="D9E2F3" w:val="clear"/>
          </w:tcPr>
          <w:p>
            <w:pPr>
              <w:jc w:val="center"/>
            </w:pPr>
            <w:r/>
            <w:r>
              <w:rPr>
                <w:rFonts w:ascii="SimSun" w:hAnsi="SimSun" w:eastAsia="SimSun"/>
                <w:b/>
                <w:sz w:val="20"/>
              </w:rPr>
              <w:t>响应时限</w:t>
            </w:r>
          </w:p>
        </w:tc>
        <w:tc>
          <w:tcPr>
            <w:tcW w:type="dxa" w:w="1587"/>
            <w:shd w:fill="D9E2F3" w:val="clear"/>
          </w:tcPr>
          <w:p>
            <w:pPr>
              <w:jc w:val="center"/>
            </w:pPr>
            <w:r/>
            <w:r>
              <w:rPr>
                <w:rFonts w:ascii="SimSun" w:hAnsi="SimSun" w:eastAsia="SimSun"/>
                <w:b/>
                <w:sz w:val="20"/>
              </w:rPr>
              <w:t>自动动作</w:t>
            </w:r>
          </w:p>
        </w:tc>
      </w:tr>
      <w:tr>
        <w:tc>
          <w:tcPr>
            <w:tcW w:type="dxa" w:w="1134"/>
          </w:tcPr>
          <w:p>
            <w:pPr>
              <w:jc w:val="center"/>
            </w:pPr>
            <w:r/>
            <w:r>
              <w:rPr>
                <w:rFonts w:ascii="SimSun" w:hAnsi="SimSun" w:eastAsia="SimSun"/>
                <w:b w:val="0"/>
                <w:sz w:val="20"/>
              </w:rPr>
              <w:t>一级（红色）</w:t>
            </w:r>
          </w:p>
        </w:tc>
        <w:tc>
          <w:tcPr>
            <w:tcW w:type="dxa" w:w="1587"/>
          </w:tcPr>
          <w:p>
            <w:pPr>
              <w:jc w:val="center"/>
            </w:pPr>
            <w:r/>
            <w:r>
              <w:rPr>
                <w:rFonts w:ascii="SimSun" w:hAnsi="SimSun" w:eastAsia="SimSun"/>
                <w:b w:val="0"/>
                <w:sz w:val="20"/>
              </w:rPr>
              <w:t>M(i) &lt; epsilon(r)</w:t>
              <w:br/>
              <w:t>或预测越红线</w:t>
            </w:r>
          </w:p>
        </w:tc>
        <w:tc>
          <w:tcPr>
            <w:tcW w:type="dxa" w:w="1417"/>
          </w:tcPr>
          <w:p>
            <w:pPr>
              <w:jc w:val="center"/>
            </w:pPr>
            <w:r/>
            <w:r>
              <w:rPr>
                <w:rFonts w:ascii="SimSun" w:hAnsi="SimSun" w:eastAsia="SimSun"/>
                <w:b w:val="0"/>
                <w:sz w:val="20"/>
              </w:rPr>
              <w:t>总调+分控</w:t>
              <w:br/>
              <w:t>值班主任</w:t>
            </w:r>
          </w:p>
        </w:tc>
        <w:tc>
          <w:tcPr>
            <w:tcW w:type="dxa" w:w="1134"/>
          </w:tcPr>
          <w:p>
            <w:pPr>
              <w:jc w:val="center"/>
            </w:pPr>
            <w:r/>
            <w:r>
              <w:rPr>
                <w:rFonts w:ascii="SimSun" w:hAnsi="SimSun" w:eastAsia="SimSun"/>
                <w:b w:val="0"/>
                <w:sz w:val="20"/>
              </w:rPr>
              <w:t>&lt;=15min</w:t>
            </w:r>
          </w:p>
        </w:tc>
        <w:tc>
          <w:tcPr>
            <w:tcW w:type="dxa" w:w="1587"/>
          </w:tcPr>
          <w:p>
            <w:pPr>
              <w:jc w:val="center"/>
            </w:pPr>
            <w:r/>
            <w:r>
              <w:rPr>
                <w:rFonts w:ascii="SimSun" w:hAnsi="SimSun" w:eastAsia="SimSun"/>
                <w:b w:val="0"/>
                <w:sz w:val="20"/>
              </w:rPr>
              <w:t>启动应急预案</w:t>
              <w:br/>
              <w:t>自动保护</w:t>
            </w:r>
          </w:p>
        </w:tc>
      </w:tr>
      <w:tr>
        <w:tc>
          <w:tcPr>
            <w:tcW w:type="dxa" w:w="1134"/>
          </w:tcPr>
          <w:p>
            <w:pPr>
              <w:jc w:val="center"/>
            </w:pPr>
            <w:r/>
            <w:r>
              <w:rPr>
                <w:rFonts w:ascii="SimSun" w:hAnsi="SimSun" w:eastAsia="SimSun"/>
                <w:b w:val="0"/>
                <w:sz w:val="20"/>
              </w:rPr>
              <w:t>二级（黄色）</w:t>
            </w:r>
          </w:p>
        </w:tc>
        <w:tc>
          <w:tcPr>
            <w:tcW w:type="dxa" w:w="1587"/>
          </w:tcPr>
          <w:p>
            <w:pPr>
              <w:jc w:val="center"/>
            </w:pPr>
            <w:r/>
            <w:r>
              <w:rPr>
                <w:rFonts w:ascii="SimSun" w:hAnsi="SimSun" w:eastAsia="SimSun"/>
                <w:b w:val="0"/>
                <w:sz w:val="20"/>
              </w:rPr>
              <w:t>M(i) &lt; epsilon(0)</w:t>
              <w:br/>
              <w:t>或预测越黄线</w:t>
            </w:r>
          </w:p>
        </w:tc>
        <w:tc>
          <w:tcPr>
            <w:tcW w:type="dxa" w:w="1417"/>
          </w:tcPr>
          <w:p>
            <w:pPr>
              <w:jc w:val="center"/>
            </w:pPr>
            <w:r/>
            <w:r>
              <w:rPr>
                <w:rFonts w:ascii="SimSun" w:hAnsi="SimSun" w:eastAsia="SimSun"/>
                <w:b w:val="0"/>
                <w:sz w:val="20"/>
              </w:rPr>
              <w:t>分控中心</w:t>
              <w:br/>
              <w:t>运行人员</w:t>
            </w:r>
          </w:p>
        </w:tc>
        <w:tc>
          <w:tcPr>
            <w:tcW w:type="dxa" w:w="1134"/>
          </w:tcPr>
          <w:p>
            <w:pPr>
              <w:jc w:val="center"/>
            </w:pPr>
            <w:r/>
            <w:r>
              <w:rPr>
                <w:rFonts w:ascii="SimSun" w:hAnsi="SimSun" w:eastAsia="SimSun"/>
                <w:b w:val="0"/>
                <w:sz w:val="20"/>
              </w:rPr>
              <w:t>&lt;=30min</w:t>
            </w:r>
          </w:p>
        </w:tc>
        <w:tc>
          <w:tcPr>
            <w:tcW w:type="dxa" w:w="1587"/>
          </w:tcPr>
          <w:p>
            <w:pPr>
              <w:jc w:val="center"/>
            </w:pPr>
            <w:r/>
            <w:r>
              <w:rPr>
                <w:rFonts w:ascii="SimSun" w:hAnsi="SimSun" w:eastAsia="SimSun"/>
                <w:b w:val="0"/>
                <w:sz w:val="20"/>
              </w:rPr>
              <w:t>调整控制策略</w:t>
              <w:br/>
              <w:t>限时恢复</w:t>
            </w:r>
          </w:p>
        </w:tc>
      </w:tr>
      <w:tr>
        <w:tc>
          <w:tcPr>
            <w:tcW w:type="dxa" w:w="1134"/>
          </w:tcPr>
          <w:p>
            <w:pPr>
              <w:jc w:val="center"/>
            </w:pPr>
            <w:r/>
            <w:r>
              <w:rPr>
                <w:rFonts w:ascii="SimSun" w:hAnsi="SimSun" w:eastAsia="SimSun"/>
                <w:b w:val="0"/>
                <w:sz w:val="20"/>
              </w:rPr>
              <w:t>三级（绿色）</w:t>
            </w:r>
          </w:p>
        </w:tc>
        <w:tc>
          <w:tcPr>
            <w:tcW w:type="dxa" w:w="1587"/>
          </w:tcPr>
          <w:p>
            <w:pPr>
              <w:jc w:val="center"/>
            </w:pPr>
            <w:r/>
            <w:r>
              <w:rPr>
                <w:rFonts w:ascii="SimSun" w:hAnsi="SimSun" w:eastAsia="SimSun"/>
                <w:b w:val="0"/>
                <w:sz w:val="20"/>
              </w:rPr>
              <w:t>偏离绿色区间</w:t>
              <w:br/>
              <w:t>或效率指标异常</w:t>
            </w:r>
          </w:p>
        </w:tc>
        <w:tc>
          <w:tcPr>
            <w:tcW w:type="dxa" w:w="1417"/>
          </w:tcPr>
          <w:p>
            <w:pPr>
              <w:jc w:val="center"/>
            </w:pPr>
            <w:r/>
            <w:r>
              <w:rPr>
                <w:rFonts w:ascii="SimSun" w:hAnsi="SimSun" w:eastAsia="SimSun"/>
                <w:b w:val="0"/>
                <w:sz w:val="20"/>
              </w:rPr>
              <w:t>运行日志</w:t>
              <w:br/>
              <w:t>日报汇总</w:t>
            </w:r>
          </w:p>
        </w:tc>
        <w:tc>
          <w:tcPr>
            <w:tcW w:type="dxa" w:w="1134"/>
          </w:tcPr>
          <w:p>
            <w:pPr>
              <w:jc w:val="center"/>
            </w:pPr>
            <w:r/>
            <w:r>
              <w:rPr>
                <w:rFonts w:ascii="SimSun" w:hAnsi="SimSun" w:eastAsia="SimSun"/>
                <w:b w:val="0"/>
                <w:sz w:val="20"/>
              </w:rPr>
              <w:t>24h内分析</w:t>
            </w:r>
          </w:p>
        </w:tc>
        <w:tc>
          <w:tcPr>
            <w:tcW w:type="dxa" w:w="1587"/>
          </w:tcPr>
          <w:p>
            <w:pPr>
              <w:jc w:val="center"/>
            </w:pPr>
            <w:r/>
            <w:r>
              <w:rPr>
                <w:rFonts w:ascii="SimSun" w:hAnsi="SimSun" w:eastAsia="SimSun"/>
                <w:b w:val="0"/>
                <w:sz w:val="20"/>
              </w:rPr>
              <w:t>无即时动作</w:t>
              <w:br/>
              <w:t>优化建议</w:t>
            </w:r>
          </w:p>
        </w:tc>
      </w:tr>
    </w:tbl>
    <w:p>
      <w:pPr>
        <w:spacing w:line="400" w:lineRule="exact" w:before="60" w:after="60"/>
        <w:ind w:firstLine="482"/>
      </w:pPr>
      <w:r>
        <w:rPr>
          <w:rFonts w:ascii="SimSun" w:hAnsi="SimSun" w:eastAsia="SimSun"/>
          <w:b w:val="0"/>
          <w:sz w:val="24"/>
        </w:rPr>
        <w:t>表8-3  三级告警体系配置</w:t>
      </w:r>
    </w:p>
    <w:p>
      <w:pPr>
        <w:spacing w:before="200" w:after="160"/>
        <w:jc w:val="left"/>
      </w:pPr>
      <w:r>
        <w:rPr>
          <w:rFonts w:ascii="SimSun" w:hAnsi="SimSun" w:eastAsia="SimSun"/>
          <w:b/>
          <w:sz w:val="24"/>
        </w:rPr>
        <w:t>8.4.2  应急预案自动衔接</w:t>
      </w:r>
    </w:p>
    <w:p>
      <w:pPr>
        <w:spacing w:line="400" w:lineRule="exact" w:before="60" w:after="60"/>
        <w:ind w:firstLine="482"/>
      </w:pPr>
      <w:r>
        <w:rPr>
          <w:rFonts w:ascii="SimSun" w:hAnsi="SimSun" w:eastAsia="SimSun"/>
          <w:b w:val="0"/>
          <w:sz w:val="24"/>
        </w:rPr>
        <w:t>约束管理的最终目的是实现"算法与预案同频"——当算法检测到约束裕度不足时，自动触发对应的应急预案，无需等待人工决策。每条红色约束关联一套预定义的应急预案，预案内容包括初始动作序列、升级条件和终止条件[19]。</w:t>
      </w:r>
    </w:p>
    <w:p>
      <w:pPr>
        <w:spacing w:line="400" w:lineRule="exact" w:before="60" w:after="60"/>
        <w:ind w:firstLine="482"/>
      </w:pPr>
      <w:r>
        <w:rPr>
          <w:rFonts w:ascii="SimSun" w:hAnsi="SimSun" w:eastAsia="SimSun"/>
          <w:b w:val="0"/>
          <w:sz w:val="24"/>
        </w:rPr>
        <w:t>当约束裕度进入红色区域时，系统自动启动预案中的初始动作序列。典型的初始动作包括：关闭相关闸门（防止水位继续上升）、开启退水闸（将多余水量排至退水通道）、降低上游泵站出力（减少来水量）、通知下游分控中心准备接收流量变化。</w:t>
      </w:r>
    </w:p>
    <w:p>
      <w:pPr>
        <w:spacing w:line="400" w:lineRule="exact" w:before="60" w:after="60"/>
        <w:ind w:firstLine="482"/>
      </w:pPr>
      <w:r>
        <w:rPr>
          <w:rFonts w:ascii="SimSun" w:hAnsi="SimSun" w:eastAsia="SimSun"/>
          <w:b w:val="0"/>
          <w:sz w:val="24"/>
        </w:rPr>
        <w:t>预案的启动不依赖人工确认——这是自主运行系统"安全优先"原则的直接体现。人工介入后可以修改或终止预案执行，但系统的默认行为是"先保护、再报告"。这一设计理念借鉴了航空领域的自动驾驶原则：自动系统可以随时被人工接管，但在人工明确接管之前，自动系统按预定的安全逻辑运行[20]。</w:t>
      </w:r>
    </w:p>
    <w:p>
      <w:pPr>
        <w:spacing w:line="400" w:lineRule="exact" w:before="60" w:after="60"/>
        <w:ind w:firstLine="482"/>
      </w:pPr>
      <w:r>
        <w:rPr>
          <w:rFonts w:ascii="SimSun" w:hAnsi="SimSun" w:eastAsia="SimSun"/>
          <w:b w:val="0"/>
          <w:sz w:val="24"/>
        </w:rPr>
        <w:t>预案的升级条件是：当初始动作执行后设定时间内（如15分钟）裕度未恢复到安全水平，自动升级为更强力的保护动作（如多座闸门同时关闭、启动应急退水闸等），并提高告警等级。预案的终止条件是：当约束裕度恢复到黄色预警阈值以上且持续稳定一定时间后（如30分钟），自动终止预案并恢复正常控制模式。</w:t>
      </w:r>
    </w:p>
    <w:p>
      <w:pPr>
        <w:spacing w:before="200" w:after="160"/>
        <w:jc w:val="left"/>
      </w:pPr>
      <w:r>
        <w:rPr>
          <w:rFonts w:ascii="SimSun" w:hAnsi="SimSun" w:eastAsia="SimSun"/>
          <w:b/>
          <w:sz w:val="24"/>
        </w:rPr>
        <w:t>8.4.3  约束-告警-预案联动的性能指标</w:t>
      </w:r>
    </w:p>
    <w:p>
      <w:pPr>
        <w:spacing w:line="400" w:lineRule="exact" w:before="60" w:after="60"/>
        <w:ind w:firstLine="482"/>
      </w:pPr>
      <w:r>
        <w:rPr>
          <w:rFonts w:ascii="SimSun" w:hAnsi="SimSun" w:eastAsia="SimSun"/>
          <w:b w:val="0"/>
          <w:sz w:val="24"/>
        </w:rPr>
        <w:t>联动机制的设计需满足以下性能指标[21]。第一，从约束裕度计算到告警发出的延时不超过1个控制周期（10分钟以内）。第二，从一级告警发出到自动保护动作启动的延时不超过30秒。第三，预案执行的可靠性大于99.9%（即1000次触发中至少999次成功执行）。第四，虚假告警率（False Alarm Rate）不超过5%——过高的虚假告警会导致运行人员产生"狼来了"效应，降低对真实告警的响应速度。</w:t>
      </w:r>
    </w:p>
    <w:p>
      <w:pPr>
        <w:spacing w:before="280" w:after="200"/>
        <w:jc w:val="left"/>
      </w:pPr>
      <w:r>
        <w:rPr>
          <w:rFonts w:ascii="SimSun" w:hAnsi="SimSun" w:eastAsia="SimSun"/>
          <w:b/>
          <w:sz w:val="28"/>
        </w:rPr>
        <w:t>8.5  多层冗余约束执行架构</w:t>
      </w:r>
    </w:p>
    <w:p>
      <w:pPr>
        <w:spacing w:before="200" w:after="160"/>
        <w:jc w:val="left"/>
      </w:pPr>
      <w:r>
        <w:rPr>
          <w:rFonts w:ascii="SimSun" w:hAnsi="SimSun" w:eastAsia="SimSun"/>
          <w:b/>
          <w:sz w:val="24"/>
        </w:rPr>
        <w:t>8.5.1  算法层约束执行</w:t>
      </w:r>
    </w:p>
    <w:p>
      <w:pPr>
        <w:spacing w:line="400" w:lineRule="exact" w:before="60" w:after="60"/>
        <w:ind w:firstLine="482"/>
      </w:pPr>
      <w:r>
        <w:rPr>
          <w:rFonts w:ascii="SimSun" w:hAnsi="SimSun" w:eastAsia="SimSun"/>
          <w:b w:val="0"/>
          <w:sz w:val="24"/>
        </w:rPr>
        <w:t>算法层是约束管理的第一道防线。MPC优化器在求解过程中直接将红色约束作为严格不等式约束、黄色约束作为带松弛的软约束嵌入QP问题。当QP问题可行时，输出的控制指令理论上满足所有红色约束；当QP问题不可行时（通常由于扰动预报错误或模型失配导致红色约束互相矛盾），算法层应切换到"安全默认控制"模式[22]。</w:t>
      </w:r>
    </w:p>
    <w:p>
      <w:pPr>
        <w:spacing w:line="400" w:lineRule="exact" w:before="60" w:after="60"/>
        <w:ind w:firstLine="482"/>
      </w:pPr>
      <w:r>
        <w:rPr>
          <w:rFonts w:ascii="SimSun" w:hAnsi="SimSun" w:eastAsia="SimSun"/>
          <w:b w:val="0"/>
          <w:sz w:val="24"/>
        </w:rPr>
        <w:t>安全默认控制（Safe Default Control）是一组预定义的控制动作，在MPC无法给出安全的优化解时自动启用。安全默认控制的典型策略包括：所有闸门保持当前开度不变（Freeze策略）、所有闸门按预定速率缓慢关闭（Gradual Closure策略）、切换到本地PID控制以各断面水位为目标独立控制。安全默认控制的选取原则是"不做比做错好"——宁可牺牲性能也不产生危险动作[23]。</w:t>
      </w:r>
    </w:p>
    <w:p>
      <w:pPr>
        <w:spacing w:before="200" w:after="160"/>
        <w:jc w:val="left"/>
      </w:pPr>
      <w:r>
        <w:rPr>
          <w:rFonts w:ascii="SimSun" w:hAnsi="SimSun" w:eastAsia="SimSun"/>
          <w:b/>
          <w:sz w:val="24"/>
        </w:rPr>
        <w:t>8.5.2  逻辑层约束校验</w:t>
      </w:r>
    </w:p>
    <w:p>
      <w:pPr>
        <w:spacing w:line="400" w:lineRule="exact" w:before="60" w:after="60"/>
        <w:ind w:firstLine="482"/>
      </w:pPr>
      <w:r>
        <w:rPr>
          <w:rFonts w:ascii="SimSun" w:hAnsi="SimSun" w:eastAsia="SimSun"/>
          <w:b w:val="0"/>
          <w:sz w:val="24"/>
        </w:rPr>
        <w:t>逻辑层由部署在边缘控制器上的独立约束校验程序实现。每个边缘控制器在执行MPC指令之前，独立检查以下条件[24]。第一，指令范围检查——闸门开度指令是否在物理行程范围内。第二，变化率检查——闸门开度变化率是否超出允许的最大速率。第三，一致性检查——相邻闸门的指令组合是否会导致渠段水位异常。第四，时序检查——多个闸门的动作时序是否合理（考虑水力传播时间）。任何检查不通过，边缘控制器拒绝执行该指令并向上报告，同时采用本地安全默认控制。</w:t>
      </w:r>
    </w:p>
    <w:p>
      <w:pPr>
        <w:spacing w:before="200" w:after="160"/>
        <w:jc w:val="left"/>
      </w:pPr>
      <w:r>
        <w:rPr>
          <w:rFonts w:ascii="SimSun" w:hAnsi="SimSun" w:eastAsia="SimSun"/>
          <w:b/>
          <w:sz w:val="24"/>
        </w:rPr>
        <w:t>8.5.3  硬件层限位保护</w:t>
      </w:r>
    </w:p>
    <w:p>
      <w:pPr>
        <w:spacing w:line="400" w:lineRule="exact" w:before="60" w:after="60"/>
        <w:ind w:firstLine="482"/>
      </w:pPr>
      <w:r>
        <w:rPr>
          <w:rFonts w:ascii="SimSun" w:hAnsi="SimSun" w:eastAsia="SimSun"/>
          <w:b w:val="0"/>
          <w:sz w:val="24"/>
        </w:rPr>
        <w:t>硬件层由PLC/RTU内置的限位保护逻辑实现[25]。这是完全独立于上层软件系统的硬件级保护，其核心机制包括：闸门行程限位开关（全开和全关位置的物理限位）、电机过载保护（电流超过额定值时自动断开）、水位极限联锁（本地水位传感器检测到水位超限时直接触发闸门保护动作）。硬件层保护的关键特征是"独立性"——即使所有上层软件系统全部失效，硬件层仍能独立工作。</w:t>
      </w:r>
    </w:p>
    <w:p>
      <w:pPr>
        <w:spacing w:before="200" w:after="160"/>
        <w:jc w:val="left"/>
      </w:pPr>
      <w:r>
        <w:rPr>
          <w:rFonts w:ascii="SimSun" w:hAnsi="SimSun" w:eastAsia="SimSun"/>
          <w:b/>
          <w:sz w:val="24"/>
        </w:rPr>
        <w:t>8.5.4  物理层被动保护</w:t>
      </w:r>
    </w:p>
    <w:p>
      <w:pPr>
        <w:spacing w:line="400" w:lineRule="exact" w:before="60" w:after="60"/>
        <w:ind w:firstLine="482"/>
      </w:pPr>
      <w:r>
        <w:rPr>
          <w:rFonts w:ascii="SimSun" w:hAnsi="SimSun" w:eastAsia="SimSun"/>
          <w:b w:val="0"/>
          <w:sz w:val="24"/>
        </w:rPr>
        <w:t>物理层是最后一道防线，由工程设施本身的安全设计提供[26]。典型的物理层保护措施包括：溢流堰——渠道在设计时预留溢流段，当水位超过溢流堰顶高程时自动溢出，防止堤防漫溢；退水闸——预设退水闸在超水位时可被动打开，将多余水量排入退水通道；安全阀——管道系统中的安全阀在压力超限时自动开启泄压。物理层保护不依赖任何电气、通信或计算设备，是纯粹的"被动安全"措施[27]。</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134"/>
            <w:shd w:fill="D9E2F3" w:val="clear"/>
          </w:tcPr>
          <w:p>
            <w:pPr>
              <w:jc w:val="center"/>
            </w:pPr>
            <w:r/>
            <w:r>
              <w:rPr>
                <w:rFonts w:ascii="SimSun" w:hAnsi="SimSun" w:eastAsia="SimSun"/>
                <w:b/>
                <w:sz w:val="20"/>
              </w:rPr>
              <w:t>防护层</w:t>
            </w:r>
          </w:p>
        </w:tc>
        <w:tc>
          <w:tcPr>
            <w:tcW w:type="dxa" w:w="1417"/>
            <w:shd w:fill="D9E2F3" w:val="clear"/>
          </w:tcPr>
          <w:p>
            <w:pPr>
              <w:jc w:val="center"/>
            </w:pPr>
            <w:r/>
            <w:r>
              <w:rPr>
                <w:rFonts w:ascii="SimSun" w:hAnsi="SimSun" w:eastAsia="SimSun"/>
                <w:b/>
                <w:sz w:val="20"/>
              </w:rPr>
              <w:t>执行主体</w:t>
            </w:r>
          </w:p>
        </w:tc>
        <w:tc>
          <w:tcPr>
            <w:tcW w:type="dxa" w:w="1134"/>
            <w:shd w:fill="D9E2F3" w:val="clear"/>
          </w:tcPr>
          <w:p>
            <w:pPr>
              <w:jc w:val="center"/>
            </w:pPr>
            <w:r/>
            <w:r>
              <w:rPr>
                <w:rFonts w:ascii="SimSun" w:hAnsi="SimSun" w:eastAsia="SimSun"/>
                <w:b/>
                <w:sz w:val="20"/>
              </w:rPr>
              <w:t>响应速度</w:t>
            </w:r>
          </w:p>
        </w:tc>
        <w:tc>
          <w:tcPr>
            <w:tcW w:type="dxa" w:w="1417"/>
            <w:shd w:fill="D9E2F3" w:val="clear"/>
          </w:tcPr>
          <w:p>
            <w:pPr>
              <w:jc w:val="center"/>
            </w:pPr>
            <w:r/>
            <w:r>
              <w:rPr>
                <w:rFonts w:ascii="SimSun" w:hAnsi="SimSun" w:eastAsia="SimSun"/>
                <w:b/>
                <w:sz w:val="20"/>
              </w:rPr>
              <w:t>独立性</w:t>
            </w:r>
          </w:p>
        </w:tc>
        <w:tc>
          <w:tcPr>
            <w:tcW w:type="dxa" w:w="1417"/>
            <w:shd w:fill="D9E2F3" w:val="clear"/>
          </w:tcPr>
          <w:p>
            <w:pPr>
              <w:jc w:val="center"/>
            </w:pPr>
            <w:r/>
            <w:r>
              <w:rPr>
                <w:rFonts w:ascii="SimSun" w:hAnsi="SimSun" w:eastAsia="SimSun"/>
                <w:b/>
                <w:sz w:val="20"/>
              </w:rPr>
              <w:t>保护范围</w:t>
            </w:r>
          </w:p>
        </w:tc>
      </w:tr>
      <w:tr>
        <w:tc>
          <w:tcPr>
            <w:tcW w:type="dxa" w:w="1134"/>
          </w:tcPr>
          <w:p>
            <w:pPr>
              <w:jc w:val="center"/>
            </w:pPr>
            <w:r/>
            <w:r>
              <w:rPr>
                <w:rFonts w:ascii="SimSun" w:hAnsi="SimSun" w:eastAsia="SimSun"/>
                <w:b w:val="0"/>
                <w:sz w:val="20"/>
              </w:rPr>
              <w:t>算法层</w:t>
            </w:r>
          </w:p>
        </w:tc>
        <w:tc>
          <w:tcPr>
            <w:tcW w:type="dxa" w:w="1417"/>
          </w:tcPr>
          <w:p>
            <w:pPr>
              <w:jc w:val="center"/>
            </w:pPr>
            <w:r/>
            <w:r>
              <w:rPr>
                <w:rFonts w:ascii="SimSun" w:hAnsi="SimSun" w:eastAsia="SimSun"/>
                <w:b w:val="0"/>
                <w:sz w:val="20"/>
              </w:rPr>
              <w:t>MPC优化器</w:t>
            </w:r>
          </w:p>
        </w:tc>
        <w:tc>
          <w:tcPr>
            <w:tcW w:type="dxa" w:w="1134"/>
          </w:tcPr>
          <w:p>
            <w:pPr>
              <w:jc w:val="center"/>
            </w:pPr>
            <w:r/>
            <w:r>
              <w:rPr>
                <w:rFonts w:ascii="SimSun" w:hAnsi="SimSun" w:eastAsia="SimSun"/>
                <w:b w:val="0"/>
                <w:sz w:val="20"/>
              </w:rPr>
              <w:t>分钟级</w:t>
            </w:r>
          </w:p>
        </w:tc>
        <w:tc>
          <w:tcPr>
            <w:tcW w:type="dxa" w:w="1417"/>
          </w:tcPr>
          <w:p>
            <w:pPr>
              <w:jc w:val="center"/>
            </w:pPr>
            <w:r/>
            <w:r>
              <w:rPr>
                <w:rFonts w:ascii="SimSun" w:hAnsi="SimSun" w:eastAsia="SimSun"/>
                <w:b w:val="0"/>
                <w:sz w:val="20"/>
              </w:rPr>
              <w:t>依赖模型</w:t>
              <w:br/>
              <w:t>和通信</w:t>
            </w:r>
          </w:p>
        </w:tc>
        <w:tc>
          <w:tcPr>
            <w:tcW w:type="dxa" w:w="1417"/>
          </w:tcPr>
          <w:p>
            <w:pPr>
              <w:jc w:val="center"/>
            </w:pPr>
            <w:r/>
            <w:r>
              <w:rPr>
                <w:rFonts w:ascii="SimSun" w:hAnsi="SimSun" w:eastAsia="SimSun"/>
                <w:b w:val="0"/>
                <w:sz w:val="20"/>
              </w:rPr>
              <w:t>全局最优</w:t>
              <w:br/>
              <w:t>约束管理</w:t>
            </w:r>
          </w:p>
        </w:tc>
      </w:tr>
      <w:tr>
        <w:tc>
          <w:tcPr>
            <w:tcW w:type="dxa" w:w="1134"/>
          </w:tcPr>
          <w:p>
            <w:pPr>
              <w:jc w:val="center"/>
            </w:pPr>
            <w:r/>
            <w:r>
              <w:rPr>
                <w:rFonts w:ascii="SimSun" w:hAnsi="SimSun" w:eastAsia="SimSun"/>
                <w:b w:val="0"/>
                <w:sz w:val="20"/>
              </w:rPr>
              <w:t>逻辑层</w:t>
            </w:r>
          </w:p>
        </w:tc>
        <w:tc>
          <w:tcPr>
            <w:tcW w:type="dxa" w:w="1417"/>
          </w:tcPr>
          <w:p>
            <w:pPr>
              <w:jc w:val="center"/>
            </w:pPr>
            <w:r/>
            <w:r>
              <w:rPr>
                <w:rFonts w:ascii="SimSun" w:hAnsi="SimSun" w:eastAsia="SimSun"/>
                <w:b w:val="0"/>
                <w:sz w:val="20"/>
              </w:rPr>
              <w:t>边缘控制器</w:t>
            </w:r>
          </w:p>
        </w:tc>
        <w:tc>
          <w:tcPr>
            <w:tcW w:type="dxa" w:w="1134"/>
          </w:tcPr>
          <w:p>
            <w:pPr>
              <w:jc w:val="center"/>
            </w:pPr>
            <w:r/>
            <w:r>
              <w:rPr>
                <w:rFonts w:ascii="SimSun" w:hAnsi="SimSun" w:eastAsia="SimSun"/>
                <w:b w:val="0"/>
                <w:sz w:val="20"/>
              </w:rPr>
              <w:t>秒级</w:t>
            </w:r>
          </w:p>
        </w:tc>
        <w:tc>
          <w:tcPr>
            <w:tcW w:type="dxa" w:w="1417"/>
          </w:tcPr>
          <w:p>
            <w:pPr>
              <w:jc w:val="center"/>
            </w:pPr>
            <w:r/>
            <w:r>
              <w:rPr>
                <w:rFonts w:ascii="SimSun" w:hAnsi="SimSun" w:eastAsia="SimSun"/>
                <w:b w:val="0"/>
                <w:sz w:val="20"/>
              </w:rPr>
              <w:t>半独立</w:t>
              <w:br/>
              <w:t>（本地校验）</w:t>
            </w:r>
          </w:p>
        </w:tc>
        <w:tc>
          <w:tcPr>
            <w:tcW w:type="dxa" w:w="1417"/>
          </w:tcPr>
          <w:p>
            <w:pPr>
              <w:jc w:val="center"/>
            </w:pPr>
            <w:r/>
            <w:r>
              <w:rPr>
                <w:rFonts w:ascii="SimSun" w:hAnsi="SimSun" w:eastAsia="SimSun"/>
                <w:b w:val="0"/>
                <w:sz w:val="20"/>
              </w:rPr>
              <w:t>局部安全</w:t>
              <w:br/>
              <w:t>校验</w:t>
            </w:r>
          </w:p>
        </w:tc>
      </w:tr>
      <w:tr>
        <w:tc>
          <w:tcPr>
            <w:tcW w:type="dxa" w:w="1134"/>
          </w:tcPr>
          <w:p>
            <w:pPr>
              <w:jc w:val="center"/>
            </w:pPr>
            <w:r/>
            <w:r>
              <w:rPr>
                <w:rFonts w:ascii="SimSun" w:hAnsi="SimSun" w:eastAsia="SimSun"/>
                <w:b w:val="0"/>
                <w:sz w:val="20"/>
              </w:rPr>
              <w:t>硬件层</w:t>
            </w:r>
          </w:p>
        </w:tc>
        <w:tc>
          <w:tcPr>
            <w:tcW w:type="dxa" w:w="1417"/>
          </w:tcPr>
          <w:p>
            <w:pPr>
              <w:jc w:val="center"/>
            </w:pPr>
            <w:r/>
            <w:r>
              <w:rPr>
                <w:rFonts w:ascii="SimSun" w:hAnsi="SimSun" w:eastAsia="SimSun"/>
                <w:b w:val="0"/>
                <w:sz w:val="20"/>
              </w:rPr>
              <w:t>PLC/RTU</w:t>
            </w:r>
          </w:p>
        </w:tc>
        <w:tc>
          <w:tcPr>
            <w:tcW w:type="dxa" w:w="1134"/>
          </w:tcPr>
          <w:p>
            <w:pPr>
              <w:jc w:val="center"/>
            </w:pPr>
            <w:r/>
            <w:r>
              <w:rPr>
                <w:rFonts w:ascii="SimSun" w:hAnsi="SimSun" w:eastAsia="SimSun"/>
                <w:b w:val="0"/>
                <w:sz w:val="20"/>
              </w:rPr>
              <w:t>毫秒级</w:t>
            </w:r>
          </w:p>
        </w:tc>
        <w:tc>
          <w:tcPr>
            <w:tcW w:type="dxa" w:w="1417"/>
          </w:tcPr>
          <w:p>
            <w:pPr>
              <w:jc w:val="center"/>
            </w:pPr>
            <w:r/>
            <w:r>
              <w:rPr>
                <w:rFonts w:ascii="SimSun" w:hAnsi="SimSun" w:eastAsia="SimSun"/>
                <w:b w:val="0"/>
                <w:sz w:val="20"/>
              </w:rPr>
              <w:t>完全独立</w:t>
            </w:r>
          </w:p>
        </w:tc>
        <w:tc>
          <w:tcPr>
            <w:tcW w:type="dxa" w:w="1417"/>
          </w:tcPr>
          <w:p>
            <w:pPr>
              <w:jc w:val="center"/>
            </w:pPr>
            <w:r/>
            <w:r>
              <w:rPr>
                <w:rFonts w:ascii="SimSun" w:hAnsi="SimSun" w:eastAsia="SimSun"/>
                <w:b w:val="0"/>
                <w:sz w:val="20"/>
              </w:rPr>
              <w:t>单设备限位</w:t>
              <w:br/>
              <w:t>保护</w:t>
            </w:r>
          </w:p>
        </w:tc>
      </w:tr>
      <w:tr>
        <w:tc>
          <w:tcPr>
            <w:tcW w:type="dxa" w:w="1134"/>
          </w:tcPr>
          <w:p>
            <w:pPr>
              <w:jc w:val="center"/>
            </w:pPr>
            <w:r/>
            <w:r>
              <w:rPr>
                <w:rFonts w:ascii="SimSun" w:hAnsi="SimSun" w:eastAsia="SimSun"/>
                <w:b w:val="0"/>
                <w:sz w:val="20"/>
              </w:rPr>
              <w:t>物理层</w:t>
            </w:r>
          </w:p>
        </w:tc>
        <w:tc>
          <w:tcPr>
            <w:tcW w:type="dxa" w:w="1417"/>
          </w:tcPr>
          <w:p>
            <w:pPr>
              <w:jc w:val="center"/>
            </w:pPr>
            <w:r/>
            <w:r>
              <w:rPr>
                <w:rFonts w:ascii="SimSun" w:hAnsi="SimSun" w:eastAsia="SimSun"/>
                <w:b w:val="0"/>
                <w:sz w:val="20"/>
              </w:rPr>
              <w:t>工程设施</w:t>
            </w:r>
          </w:p>
        </w:tc>
        <w:tc>
          <w:tcPr>
            <w:tcW w:type="dxa" w:w="1134"/>
          </w:tcPr>
          <w:p>
            <w:pPr>
              <w:jc w:val="center"/>
            </w:pPr>
            <w:r/>
            <w:r>
              <w:rPr>
                <w:rFonts w:ascii="SimSun" w:hAnsi="SimSun" w:eastAsia="SimSun"/>
                <w:b w:val="0"/>
                <w:sz w:val="20"/>
              </w:rPr>
              <w:t>被动响应</w:t>
            </w:r>
          </w:p>
        </w:tc>
        <w:tc>
          <w:tcPr>
            <w:tcW w:type="dxa" w:w="1417"/>
          </w:tcPr>
          <w:p>
            <w:pPr>
              <w:jc w:val="center"/>
            </w:pPr>
            <w:r/>
            <w:r>
              <w:rPr>
                <w:rFonts w:ascii="SimSun" w:hAnsi="SimSun" w:eastAsia="SimSun"/>
                <w:b w:val="0"/>
                <w:sz w:val="20"/>
              </w:rPr>
              <w:t>完全独立</w:t>
            </w:r>
          </w:p>
        </w:tc>
        <w:tc>
          <w:tcPr>
            <w:tcW w:type="dxa" w:w="1417"/>
          </w:tcPr>
          <w:p>
            <w:pPr>
              <w:jc w:val="center"/>
            </w:pPr>
            <w:r/>
            <w:r>
              <w:rPr>
                <w:rFonts w:ascii="SimSun" w:hAnsi="SimSun" w:eastAsia="SimSun"/>
                <w:b w:val="0"/>
                <w:sz w:val="20"/>
              </w:rPr>
              <w:t>极端工况</w:t>
              <w:br/>
              <w:t>最后防线</w:t>
            </w:r>
          </w:p>
        </w:tc>
      </w:tr>
    </w:tbl>
    <w:p>
      <w:pPr>
        <w:spacing w:line="400" w:lineRule="exact" w:before="60" w:after="60"/>
        <w:ind w:firstLine="482"/>
      </w:pPr>
      <w:r>
        <w:rPr>
          <w:rFonts w:ascii="SimSun" w:hAnsi="SimSun" w:eastAsia="SimSun"/>
          <w:b w:val="0"/>
          <w:sz w:val="24"/>
        </w:rPr>
        <w:t>表8-4  四层冗余约束执行架构</w:t>
      </w:r>
    </w:p>
    <w:p>
      <w:pPr>
        <w:spacing w:before="280" w:after="200"/>
        <w:jc w:val="left"/>
      </w:pPr>
      <w:r>
        <w:rPr>
          <w:rFonts w:ascii="SimSun" w:hAnsi="SimSun" w:eastAsia="SimSun"/>
          <w:b/>
          <w:sz w:val="28"/>
        </w:rPr>
        <w:t>8.6  约束管理的特殊工况</w:t>
      </w:r>
    </w:p>
    <w:p>
      <w:pPr>
        <w:spacing w:before="200" w:after="160"/>
        <w:jc w:val="left"/>
      </w:pPr>
      <w:r>
        <w:rPr>
          <w:rFonts w:ascii="SimSun" w:hAnsi="SimSun" w:eastAsia="SimSun"/>
          <w:b/>
          <w:sz w:val="24"/>
        </w:rPr>
        <w:t>8.6.1  冰期约束管理</w:t>
      </w:r>
    </w:p>
    <w:p>
      <w:pPr>
        <w:spacing w:line="400" w:lineRule="exact" w:before="60" w:after="60"/>
        <w:ind w:firstLine="482"/>
      </w:pPr>
      <w:r>
        <w:rPr>
          <w:rFonts w:ascii="SimSun" w:hAnsi="SimSun" w:eastAsia="SimSun"/>
          <w:b w:val="0"/>
          <w:sz w:val="24"/>
        </w:rPr>
        <w:t>冰期（通常为每年12月至次年3月）是南水北调中线约束管理最为复杂的时期[28]。冰盖形成后，渠道的过流能力显著下降（复合糙率增大），水位约束需要动态调整。冰期的特殊约束包括以下几方面。</w:t>
      </w:r>
    </w:p>
    <w:p>
      <w:pPr>
        <w:spacing w:line="400" w:lineRule="exact" w:before="60" w:after="60"/>
        <w:ind w:firstLine="482"/>
      </w:pPr>
      <w:r>
        <w:rPr>
          <w:rFonts w:ascii="SimSun" w:hAnsi="SimSun" w:eastAsia="SimSun"/>
          <w:b w:val="0"/>
          <w:sz w:val="24"/>
        </w:rPr>
        <w:t>第一，冰盖下水位上限约束——冰盖形成后，渠道水位不得超过冰盖底面以下一定安全距离（通常为冰厚的1.5倍），以防止水压将冰盖顶起导致冰坝形成：</w:t>
      </w:r>
    </w:p>
    <w:p>
      <w:pPr>
        <w:spacing w:before="120" w:after="120"/>
        <w:jc w:val="center"/>
      </w:pPr>
      <w:r>
        <w:rPr>
          <w:rFonts w:ascii="SimSun" w:hAnsi="SimSun" w:eastAsia="SimSun"/>
          <w:b w:val="0"/>
          <w:sz w:val="24"/>
        </w:rPr>
        <w:t>h(i)(k) &lt;= h(ice,bottom,i) - 1.5 * delta(ice,i)(k)    （式8-14）</w:t>
      </w:r>
    </w:p>
    <w:p>
      <w:pPr>
        <w:spacing w:line="360" w:lineRule="exact" w:before="40" w:after="40"/>
        <w:ind w:firstLine="482"/>
      </w:pPr>
      <w:r>
        <w:rPr>
          <w:rFonts w:ascii="SimSun" w:hAnsi="SimSun" w:eastAsia="SimSun"/>
          <w:b w:val="0"/>
          <w:sz w:val="21"/>
        </w:rPr>
        <w:t>式中：h(ice,bottom,i)为第i个断面冰盖底面高程；delta(ice,i)(k)为冰厚（由Stefan方程估算，见第六章）。</w:t>
      </w:r>
    </w:p>
    <w:p>
      <w:pPr>
        <w:spacing w:line="400" w:lineRule="exact" w:before="60" w:after="60"/>
        <w:ind w:firstLine="482"/>
      </w:pPr>
      <w:r>
        <w:rPr>
          <w:rFonts w:ascii="SimSun" w:hAnsi="SimSun" w:eastAsia="SimSun"/>
          <w:b w:val="0"/>
          <w:sz w:val="24"/>
        </w:rPr>
        <w:t>第二，冰期流量下限约束——冰盖下的流速不得低于临界流速（约0.3m/s），否则可能导致冰盖冻结到渠底形成"冰塞"。第三，冰期闸门动作约束——冰期闸门调节幅度和频率受限，过大的流量变化可能导致冰盖破裂形成冰块堵塞闸门[29]。冰期约束的动态调整需要与第六章的冰厚状态估计紧密联动。</w:t>
      </w:r>
    </w:p>
    <w:p>
      <w:pPr>
        <w:spacing w:before="200" w:after="160"/>
        <w:jc w:val="left"/>
      </w:pPr>
      <w:r>
        <w:rPr>
          <w:rFonts w:ascii="SimSun" w:hAnsi="SimSun" w:eastAsia="SimSun"/>
          <w:b/>
          <w:sz w:val="24"/>
        </w:rPr>
        <w:t>8.6.2  检修工况约束管理</w:t>
      </w:r>
    </w:p>
    <w:p>
      <w:pPr>
        <w:spacing w:line="400" w:lineRule="exact" w:before="60" w:after="60"/>
        <w:ind w:firstLine="482"/>
      </w:pPr>
      <w:r>
        <w:rPr>
          <w:rFonts w:ascii="SimSun" w:hAnsi="SimSun" w:eastAsia="SimSun"/>
          <w:b w:val="0"/>
          <w:sz w:val="24"/>
        </w:rPr>
        <w:t>渠道检修是南水北调中线每年必须进行的维护活动，通常在非灌溉季节安排集中检修。检修期间，被检修渠段需要降水甚至排空，而相邻渠段需要维持正常运行或临时改变运行方式[30]。检修工况的约束管理重点包括：降水速率约束（通常为0.1–0.3m/h，过快降水可能导致渠坡失稳）、供水保障约束（检修期间下游取水口的供水不能中断）、闸门操作序列约束（检修前后闸门操作需严格按预定序列执行）。</w:t>
      </w:r>
    </w:p>
    <w:p>
      <w:pPr>
        <w:spacing w:before="200" w:after="160"/>
        <w:jc w:val="left"/>
      </w:pPr>
      <w:r>
        <w:rPr>
          <w:rFonts w:ascii="SimSun" w:hAnsi="SimSun" w:eastAsia="SimSun"/>
          <w:b/>
          <w:sz w:val="24"/>
        </w:rPr>
        <w:t>8.6.3  极端暴雨工况约束管理</w:t>
      </w:r>
    </w:p>
    <w:p>
      <w:pPr>
        <w:spacing w:line="400" w:lineRule="exact" w:before="60" w:after="60"/>
        <w:ind w:firstLine="482"/>
      </w:pPr>
      <w:r>
        <w:rPr>
          <w:rFonts w:ascii="SimSun" w:hAnsi="SimSun" w:eastAsia="SimSun"/>
          <w:b w:val="0"/>
          <w:sz w:val="24"/>
        </w:rPr>
        <w:t>极端暴雨可能导致渠道沿线侧向入流急剧增加，短时间内渠道水位快速上升[31]。极端暴雨工况的约束管理策略包括三个方面。第一，气象预警联动——将气象部门的暴雨预警信息纳入MPC的扰动预报，提前调整控制策略。第二，退水闸预开策略——在暴雨来临前预防性地打开退水闸，降低渠道水位以预留调蓄空间。第三，约束优先级调整——在极端暴雨工况下调整目标函数权重：</w:t>
      </w:r>
    </w:p>
    <w:p>
      <w:pPr>
        <w:spacing w:before="120" w:after="120"/>
        <w:jc w:val="center"/>
      </w:pPr>
      <w:r>
        <w:rPr>
          <w:rFonts w:ascii="SimSun" w:hAnsi="SimSun" w:eastAsia="SimSun"/>
          <w:b w:val="0"/>
          <w:sz w:val="24"/>
        </w:rPr>
        <w:t>J(storm) = w(safety) * J(safety) + w(supply) * J(supply) + w(econ) * J(econ)    （式8-15）</w:t>
      </w:r>
    </w:p>
    <w:p>
      <w:pPr>
        <w:spacing w:line="360" w:lineRule="exact" w:before="40" w:after="40"/>
        <w:ind w:firstLine="482"/>
      </w:pPr>
      <w:r>
        <w:rPr>
          <w:rFonts w:ascii="SimSun" w:hAnsi="SimSun" w:eastAsia="SimSun"/>
          <w:b w:val="0"/>
          <w:sz w:val="21"/>
        </w:rPr>
        <w:t>式中：w(safety)、w(supply)、w(econ)分别为安全、供水和经济目标的权重。正常工况下三者相对均衡；暴雨工况下w(safety)大幅增加（如从1.0增至10.0），w(econ)大幅降低（如从1.0降至0.1），体现"安全第一"原则。</w:t>
      </w:r>
    </w:p>
    <w:p>
      <w:pPr>
        <w:spacing w:before="200" w:after="160"/>
        <w:jc w:val="left"/>
      </w:pPr>
      <w:r>
        <w:rPr>
          <w:rFonts w:ascii="SimSun" w:hAnsi="SimSun" w:eastAsia="SimSun"/>
          <w:b/>
          <w:sz w:val="24"/>
        </w:rPr>
        <w:t>8.6.4  网络安全威胁下的约束保护</w:t>
      </w:r>
    </w:p>
    <w:p>
      <w:pPr>
        <w:spacing w:line="400" w:lineRule="exact" w:before="60" w:after="60"/>
        <w:ind w:firstLine="482"/>
      </w:pPr>
      <w:r>
        <w:rPr>
          <w:rFonts w:ascii="SimSun" w:hAnsi="SimSun" w:eastAsia="SimSun"/>
          <w:b w:val="0"/>
          <w:sz w:val="24"/>
        </w:rPr>
        <w:t>随着水网系统数字化和网络化程度的提高，网络安全威胁对约束管理带来新的挑战[32]。攻击者可能通过篡改传感器数据（使控制器基于错误信息决策）、注入虚假控制指令（直接控制闸门做出危险动作）、或中断通信链路（导致控制系统失联）等方式威胁系统安全。</w:t>
      </w:r>
    </w:p>
    <w:p>
      <w:pPr>
        <w:spacing w:line="400" w:lineRule="exact" w:before="60" w:after="60"/>
        <w:ind w:firstLine="482"/>
      </w:pPr>
      <w:r>
        <w:rPr>
          <w:rFonts w:ascii="SimSun" w:hAnsi="SimSun" w:eastAsia="SimSun"/>
          <w:b w:val="0"/>
          <w:sz w:val="24"/>
        </w:rPr>
        <w:t>针对网络安全威胁的约束保护措施包括：控制指令的数字签名验证（确保指令来源可信）、传感器数据的异常检测（检测数据注入攻击）、控制指令的合理性校验（基于物理模型判断指令是否合理）、以及网络隔离的纵深防御架构（IT/OT网络分层隔离）[33]。</w:t>
      </w:r>
    </w:p>
    <w:p>
      <w:pPr>
        <w:spacing w:before="280" w:after="200"/>
        <w:jc w:val="left"/>
      </w:pPr>
      <w:r>
        <w:rPr>
          <w:rFonts w:ascii="SimSun" w:hAnsi="SimSun" w:eastAsia="SimSun"/>
          <w:b/>
          <w:sz w:val="28"/>
        </w:rPr>
        <w:t>8.7  安全论证与合规性验证</w:t>
      </w:r>
    </w:p>
    <w:p>
      <w:pPr>
        <w:spacing w:before="200" w:after="160"/>
        <w:jc w:val="left"/>
      </w:pPr>
      <w:r>
        <w:rPr>
          <w:rFonts w:ascii="SimSun" w:hAnsi="SimSun" w:eastAsia="SimSun"/>
          <w:b/>
          <w:sz w:val="24"/>
        </w:rPr>
        <w:t>8.7.1  安全论证框架</w:t>
      </w:r>
    </w:p>
    <w:p>
      <w:pPr>
        <w:spacing w:line="400" w:lineRule="exact" w:before="60" w:after="60"/>
        <w:ind w:firstLine="482"/>
      </w:pPr>
      <w:r>
        <w:rPr>
          <w:rFonts w:ascii="SimSun" w:hAnsi="SimSun" w:eastAsia="SimSun"/>
          <w:b w:val="0"/>
          <w:sz w:val="24"/>
        </w:rPr>
        <w:t>水网自主运行系统的安全论证需要建立系统化的安全论证框架。建议采用Goal Structuring Notation（GSN）方法构建安全论证案例（Safety Case）[34]。GSN通过"目标-策略-证据"的层级结构，系统地论证系统满足安全需求。</w:t>
      </w:r>
    </w:p>
    <w:p>
      <w:pPr>
        <w:spacing w:line="400" w:lineRule="exact" w:before="60" w:after="60"/>
        <w:ind w:firstLine="482"/>
      </w:pPr>
      <w:r>
        <w:rPr>
          <w:rFonts w:ascii="SimSun" w:hAnsi="SimSun" w:eastAsia="SimSun"/>
          <w:b w:val="0"/>
          <w:sz w:val="24"/>
        </w:rPr>
        <w:t>顶层安全目标定义为："水网自主运行系统在ODD范围内运行时，不会导致渠道水位超过堤顶高程，且年度约束违反概率不超过10^(-4)"。该目标通过以下策略分解：论证红色约束的完整性（所有物理安全红线均已识别并形式化）、论证约束执行的可靠性（四层冗余架构的失效概率满足目标）、论证约束管理的充分性（约束裕度设计覆盖了所有已识别的不确定性来源）[35]。</w:t>
      </w:r>
    </w:p>
    <w:p>
      <w:pPr>
        <w:spacing w:before="200" w:after="160"/>
        <w:jc w:val="left"/>
      </w:pPr>
      <w:r>
        <w:rPr>
          <w:rFonts w:ascii="SimSun" w:hAnsi="SimSun" w:eastAsia="SimSun"/>
          <w:b/>
          <w:sz w:val="24"/>
        </w:rPr>
        <w:t>8.7.2  基于故障树分析（FTA）的量化安全评估</w:t>
      </w:r>
    </w:p>
    <w:p>
      <w:pPr>
        <w:spacing w:line="400" w:lineRule="exact" w:before="60" w:after="60"/>
        <w:ind w:firstLine="482"/>
      </w:pPr>
      <w:r>
        <w:rPr>
          <w:rFonts w:ascii="SimSun" w:hAnsi="SimSun" w:eastAsia="SimSun"/>
          <w:b w:val="0"/>
          <w:sz w:val="24"/>
        </w:rPr>
        <w:t>故障树分析（FTA）是量化安全评估的经典方法[36]。以"渠道漫溢"这一顶级事件为例，四层防护同时失效的概率计算如下。假设算法层失效概率为10^(-2)/年、逻辑层失效概率为10^(-2)/年、硬件层失效概率为10^(-3)/年、物理层失效概率为10^(-2)/年，由于四层采用独立设计，各层失效概率可以相乘，则四层同时失效导致漫溢的概率为10^(-2) * 10^(-2) * 10^(-3) * 10^(-2) = 10^(-9)/年，远低于10^(-4)/年的安全目标。</w:t>
      </w:r>
    </w:p>
    <w:p>
      <w:pPr>
        <w:spacing w:line="400" w:lineRule="exact" w:before="60" w:after="60"/>
        <w:ind w:firstLine="482"/>
      </w:pPr>
      <w:r>
        <w:rPr>
          <w:rFonts w:ascii="SimSun" w:hAnsi="SimSun" w:eastAsia="SimSun"/>
          <w:b w:val="0"/>
          <w:sz w:val="24"/>
        </w:rPr>
        <w:t>共因失效（Common Cause Failure）是独立性假设的主要威胁[37]。典型的共因失效包括：洪水同时淹没控制室和PLC柜、地震导致渠道结构和控制设备同时损坏、网络攻击同时入侵上层MPC和边缘控制器。共因失效的防护策略包括：不同层采用不同的技术实现（异构冗余）、关键设备的物理隔离、网络安全的多层防护。</w:t>
      </w:r>
    </w:p>
    <w:p>
      <w:pPr>
        <w:spacing w:before="200" w:after="160"/>
        <w:jc w:val="left"/>
      </w:pPr>
      <w:r>
        <w:rPr>
          <w:rFonts w:ascii="SimSun" w:hAnsi="SimSun" w:eastAsia="SimSun"/>
          <w:b/>
          <w:sz w:val="24"/>
        </w:rPr>
        <w:t>8.7.3  合规性验证矩阵</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17"/>
            <w:shd w:fill="D9E2F3" w:val="clear"/>
          </w:tcPr>
          <w:p>
            <w:pPr>
              <w:jc w:val="center"/>
            </w:pPr>
            <w:r/>
            <w:r>
              <w:rPr>
                <w:rFonts w:ascii="SimSun" w:hAnsi="SimSun" w:eastAsia="SimSun"/>
                <w:b/>
                <w:sz w:val="20"/>
              </w:rPr>
              <w:t>标准/法规</w:t>
            </w:r>
          </w:p>
        </w:tc>
        <w:tc>
          <w:tcPr>
            <w:tcW w:type="dxa" w:w="1417"/>
            <w:shd w:fill="D9E2F3" w:val="clear"/>
          </w:tcPr>
          <w:p>
            <w:pPr>
              <w:jc w:val="center"/>
            </w:pPr>
            <w:r/>
            <w:r>
              <w:rPr>
                <w:rFonts w:ascii="SimSun" w:hAnsi="SimSun" w:eastAsia="SimSun"/>
                <w:b/>
                <w:sz w:val="20"/>
              </w:rPr>
              <w:t>关键要求</w:t>
            </w:r>
          </w:p>
        </w:tc>
        <w:tc>
          <w:tcPr>
            <w:tcW w:type="dxa" w:w="1417"/>
            <w:shd w:fill="D9E2F3" w:val="clear"/>
          </w:tcPr>
          <w:p>
            <w:pPr>
              <w:jc w:val="center"/>
            </w:pPr>
            <w:r/>
            <w:r>
              <w:rPr>
                <w:rFonts w:ascii="SimSun" w:hAnsi="SimSun" w:eastAsia="SimSun"/>
                <w:b/>
                <w:sz w:val="20"/>
              </w:rPr>
              <w:t>验证方法</w:t>
            </w:r>
          </w:p>
        </w:tc>
        <w:tc>
          <w:tcPr>
            <w:tcW w:type="dxa" w:w="1417"/>
            <w:shd w:fill="D9E2F3" w:val="clear"/>
          </w:tcPr>
          <w:p>
            <w:pPr>
              <w:jc w:val="center"/>
            </w:pPr>
            <w:r/>
            <w:r>
              <w:rPr>
                <w:rFonts w:ascii="SimSun" w:hAnsi="SimSun" w:eastAsia="SimSun"/>
                <w:b/>
                <w:sz w:val="20"/>
              </w:rPr>
              <w:t>目标等级</w:t>
            </w:r>
          </w:p>
        </w:tc>
      </w:tr>
      <w:tr>
        <w:tc>
          <w:tcPr>
            <w:tcW w:type="dxa" w:w="1417"/>
          </w:tcPr>
          <w:p>
            <w:pPr>
              <w:jc w:val="center"/>
            </w:pPr>
            <w:r/>
            <w:r>
              <w:rPr>
                <w:rFonts w:ascii="SimSun" w:hAnsi="SimSun" w:eastAsia="SimSun"/>
                <w:b w:val="0"/>
                <w:sz w:val="20"/>
              </w:rPr>
              <w:t>IEC 61508</w:t>
            </w:r>
          </w:p>
        </w:tc>
        <w:tc>
          <w:tcPr>
            <w:tcW w:type="dxa" w:w="1417"/>
          </w:tcPr>
          <w:p>
            <w:pPr>
              <w:jc w:val="center"/>
            </w:pPr>
            <w:r/>
            <w:r>
              <w:rPr>
                <w:rFonts w:ascii="SimSun" w:hAnsi="SimSun" w:eastAsia="SimSun"/>
                <w:b w:val="0"/>
                <w:sz w:val="20"/>
              </w:rPr>
              <w:t>功能安全</w:t>
              <w:br/>
              <w:t>SIL等级</w:t>
            </w:r>
          </w:p>
        </w:tc>
        <w:tc>
          <w:tcPr>
            <w:tcW w:type="dxa" w:w="1417"/>
          </w:tcPr>
          <w:p>
            <w:pPr>
              <w:jc w:val="center"/>
            </w:pPr>
            <w:r/>
            <w:r>
              <w:rPr>
                <w:rFonts w:ascii="SimSun" w:hAnsi="SimSun" w:eastAsia="SimSun"/>
                <w:b w:val="0"/>
                <w:sz w:val="20"/>
              </w:rPr>
              <w:t>FMEA+FTA</w:t>
              <w:br/>
              <w:t>量化评估</w:t>
            </w:r>
          </w:p>
        </w:tc>
        <w:tc>
          <w:tcPr>
            <w:tcW w:type="dxa" w:w="1417"/>
          </w:tcPr>
          <w:p>
            <w:pPr>
              <w:jc w:val="center"/>
            </w:pPr>
            <w:r/>
            <w:r>
              <w:rPr>
                <w:rFonts w:ascii="SimSun" w:hAnsi="SimSun" w:eastAsia="SimSun"/>
                <w:b w:val="0"/>
                <w:sz w:val="20"/>
              </w:rPr>
              <w:t>SIL 2-3</w:t>
            </w:r>
          </w:p>
        </w:tc>
      </w:tr>
      <w:tr>
        <w:tc>
          <w:tcPr>
            <w:tcW w:type="dxa" w:w="1417"/>
          </w:tcPr>
          <w:p>
            <w:pPr>
              <w:jc w:val="center"/>
            </w:pPr>
            <w:r/>
            <w:r>
              <w:rPr>
                <w:rFonts w:ascii="SimSun" w:hAnsi="SimSun" w:eastAsia="SimSun"/>
                <w:b w:val="0"/>
                <w:sz w:val="20"/>
              </w:rPr>
              <w:t>ICOLD Bull.154</w:t>
            </w:r>
          </w:p>
        </w:tc>
        <w:tc>
          <w:tcPr>
            <w:tcW w:type="dxa" w:w="1417"/>
          </w:tcPr>
          <w:p>
            <w:pPr>
              <w:jc w:val="center"/>
            </w:pPr>
            <w:r/>
            <w:r>
              <w:rPr>
                <w:rFonts w:ascii="SimSun" w:hAnsi="SimSun" w:eastAsia="SimSun"/>
                <w:b w:val="0"/>
                <w:sz w:val="20"/>
              </w:rPr>
              <w:t>大坝安全</w:t>
              <w:br/>
              <w:t>管理框架</w:t>
            </w:r>
          </w:p>
        </w:tc>
        <w:tc>
          <w:tcPr>
            <w:tcW w:type="dxa" w:w="1417"/>
          </w:tcPr>
          <w:p>
            <w:pPr>
              <w:jc w:val="center"/>
            </w:pPr>
            <w:r/>
            <w:r>
              <w:rPr>
                <w:rFonts w:ascii="SimSun" w:hAnsi="SimSun" w:eastAsia="SimSun"/>
                <w:b w:val="0"/>
                <w:sz w:val="20"/>
              </w:rPr>
              <w:t>安全复核</w:t>
              <w:br/>
              <w:t>定期评估</w:t>
            </w:r>
          </w:p>
        </w:tc>
        <w:tc>
          <w:tcPr>
            <w:tcW w:type="dxa" w:w="1417"/>
          </w:tcPr>
          <w:p>
            <w:pPr>
              <w:jc w:val="center"/>
            </w:pPr>
            <w:r/>
            <w:r>
              <w:rPr>
                <w:rFonts w:ascii="SimSun" w:hAnsi="SimSun" w:eastAsia="SimSun"/>
                <w:b w:val="0"/>
                <w:sz w:val="20"/>
              </w:rPr>
              <w:t>满足ALARP</w:t>
            </w:r>
          </w:p>
        </w:tc>
      </w:tr>
      <w:tr>
        <w:tc>
          <w:tcPr>
            <w:tcW w:type="dxa" w:w="1417"/>
          </w:tcPr>
          <w:p>
            <w:pPr>
              <w:jc w:val="center"/>
            </w:pPr>
            <w:r/>
            <w:r>
              <w:rPr>
                <w:rFonts w:ascii="SimSun" w:hAnsi="SimSun" w:eastAsia="SimSun"/>
                <w:b w:val="0"/>
                <w:sz w:val="20"/>
              </w:rPr>
              <w:t>GB 50288</w:t>
            </w:r>
          </w:p>
        </w:tc>
        <w:tc>
          <w:tcPr>
            <w:tcW w:type="dxa" w:w="1417"/>
          </w:tcPr>
          <w:p>
            <w:pPr>
              <w:jc w:val="center"/>
            </w:pPr>
            <w:r/>
            <w:r>
              <w:rPr>
                <w:rFonts w:ascii="SimSun" w:hAnsi="SimSun" w:eastAsia="SimSun"/>
                <w:b w:val="0"/>
                <w:sz w:val="20"/>
              </w:rPr>
              <w:t>灌溉排水</w:t>
              <w:br/>
              <w:t>工程设计</w:t>
            </w:r>
          </w:p>
        </w:tc>
        <w:tc>
          <w:tcPr>
            <w:tcW w:type="dxa" w:w="1417"/>
          </w:tcPr>
          <w:p>
            <w:pPr>
              <w:jc w:val="center"/>
            </w:pPr>
            <w:r/>
            <w:r>
              <w:rPr>
                <w:rFonts w:ascii="SimSun" w:hAnsi="SimSun" w:eastAsia="SimSun"/>
                <w:b w:val="0"/>
                <w:sz w:val="20"/>
              </w:rPr>
              <w:t>设计审查</w:t>
              <w:br/>
              <w:t>仿真验证</w:t>
            </w:r>
          </w:p>
        </w:tc>
        <w:tc>
          <w:tcPr>
            <w:tcW w:type="dxa" w:w="1417"/>
          </w:tcPr>
          <w:p>
            <w:pPr>
              <w:jc w:val="center"/>
            </w:pPr>
            <w:r/>
            <w:r>
              <w:rPr>
                <w:rFonts w:ascii="SimSun" w:hAnsi="SimSun" w:eastAsia="SimSun"/>
                <w:b w:val="0"/>
                <w:sz w:val="20"/>
              </w:rPr>
              <w:t>规范合规</w:t>
            </w:r>
          </w:p>
        </w:tc>
      </w:tr>
      <w:tr>
        <w:tc>
          <w:tcPr>
            <w:tcW w:type="dxa" w:w="1417"/>
          </w:tcPr>
          <w:p>
            <w:pPr>
              <w:jc w:val="center"/>
            </w:pPr>
            <w:r/>
            <w:r>
              <w:rPr>
                <w:rFonts w:ascii="SimSun" w:hAnsi="SimSun" w:eastAsia="SimSun"/>
                <w:b w:val="0"/>
                <w:sz w:val="20"/>
              </w:rPr>
              <w:t>SL 252</w:t>
            </w:r>
          </w:p>
        </w:tc>
        <w:tc>
          <w:tcPr>
            <w:tcW w:type="dxa" w:w="1417"/>
          </w:tcPr>
          <w:p>
            <w:pPr>
              <w:jc w:val="center"/>
            </w:pPr>
            <w:r/>
            <w:r>
              <w:rPr>
                <w:rFonts w:ascii="SimSun" w:hAnsi="SimSun" w:eastAsia="SimSun"/>
                <w:b w:val="0"/>
                <w:sz w:val="20"/>
              </w:rPr>
              <w:t>水利自动化</w:t>
              <w:br/>
              <w:t>系统设计</w:t>
            </w:r>
          </w:p>
        </w:tc>
        <w:tc>
          <w:tcPr>
            <w:tcW w:type="dxa" w:w="1417"/>
          </w:tcPr>
          <w:p>
            <w:pPr>
              <w:jc w:val="center"/>
            </w:pPr>
            <w:r/>
            <w:r>
              <w:rPr>
                <w:rFonts w:ascii="SimSun" w:hAnsi="SimSun" w:eastAsia="SimSun"/>
                <w:b w:val="0"/>
                <w:sz w:val="20"/>
              </w:rPr>
              <w:t>功能测试</w:t>
              <w:br/>
              <w:t>性能验证</w:t>
            </w:r>
          </w:p>
        </w:tc>
        <w:tc>
          <w:tcPr>
            <w:tcW w:type="dxa" w:w="1417"/>
          </w:tcPr>
          <w:p>
            <w:pPr>
              <w:jc w:val="center"/>
            </w:pPr>
            <w:r/>
            <w:r>
              <w:rPr>
                <w:rFonts w:ascii="SimSun" w:hAnsi="SimSun" w:eastAsia="SimSun"/>
                <w:b w:val="0"/>
                <w:sz w:val="20"/>
              </w:rPr>
              <w:t>规范合规</w:t>
            </w:r>
          </w:p>
        </w:tc>
      </w:tr>
      <w:tr>
        <w:tc>
          <w:tcPr>
            <w:tcW w:type="dxa" w:w="1417"/>
          </w:tcPr>
          <w:p>
            <w:pPr>
              <w:jc w:val="center"/>
            </w:pPr>
            <w:r/>
            <w:r>
              <w:rPr>
                <w:rFonts w:ascii="SimSun" w:hAnsi="SimSun" w:eastAsia="SimSun"/>
                <w:b w:val="0"/>
                <w:sz w:val="20"/>
              </w:rPr>
              <w:t>ISO 27001</w:t>
            </w:r>
          </w:p>
        </w:tc>
        <w:tc>
          <w:tcPr>
            <w:tcW w:type="dxa" w:w="1417"/>
          </w:tcPr>
          <w:p>
            <w:pPr>
              <w:jc w:val="center"/>
            </w:pPr>
            <w:r/>
            <w:r>
              <w:rPr>
                <w:rFonts w:ascii="SimSun" w:hAnsi="SimSun" w:eastAsia="SimSun"/>
                <w:b w:val="0"/>
                <w:sz w:val="20"/>
              </w:rPr>
              <w:t>信息安全</w:t>
              <w:br/>
              <w:t>管理体系</w:t>
            </w:r>
          </w:p>
        </w:tc>
        <w:tc>
          <w:tcPr>
            <w:tcW w:type="dxa" w:w="1417"/>
          </w:tcPr>
          <w:p>
            <w:pPr>
              <w:jc w:val="center"/>
            </w:pPr>
            <w:r/>
            <w:r>
              <w:rPr>
                <w:rFonts w:ascii="SimSun" w:hAnsi="SimSun" w:eastAsia="SimSun"/>
                <w:b w:val="0"/>
                <w:sz w:val="20"/>
              </w:rPr>
              <w:t>渗透测试</w:t>
              <w:br/>
              <w:t>安全审计</w:t>
            </w:r>
          </w:p>
        </w:tc>
        <w:tc>
          <w:tcPr>
            <w:tcW w:type="dxa" w:w="1417"/>
          </w:tcPr>
          <w:p>
            <w:pPr>
              <w:jc w:val="center"/>
            </w:pPr>
            <w:r/>
            <w:r>
              <w:rPr>
                <w:rFonts w:ascii="SimSun" w:hAnsi="SimSun" w:eastAsia="SimSun"/>
                <w:b w:val="0"/>
                <w:sz w:val="20"/>
              </w:rPr>
              <w:t>认证通过</w:t>
            </w:r>
          </w:p>
        </w:tc>
      </w:tr>
    </w:tbl>
    <w:p>
      <w:pPr>
        <w:spacing w:line="400" w:lineRule="exact" w:before="60" w:after="60"/>
        <w:ind w:firstLine="482"/>
      </w:pPr>
      <w:r>
        <w:rPr>
          <w:rFonts w:ascii="SimSun" w:hAnsi="SimSun" w:eastAsia="SimSun"/>
          <w:b w:val="0"/>
          <w:sz w:val="24"/>
        </w:rPr>
        <w:t>表8-5  约束管理系统合规性验证矩阵</w:t>
      </w:r>
    </w:p>
    <w:p>
      <w:pPr>
        <w:spacing w:before="280" w:after="200"/>
        <w:jc w:val="left"/>
      </w:pPr>
      <w:r>
        <w:rPr>
          <w:rFonts w:ascii="SimSun" w:hAnsi="SimSun" w:eastAsia="SimSun"/>
          <w:b/>
          <w:sz w:val="28"/>
        </w:rPr>
        <w:t>8.8  国际对标与最佳实践</w:t>
      </w:r>
    </w:p>
    <w:p>
      <w:pPr>
        <w:spacing w:before="200" w:after="160"/>
        <w:jc w:val="left"/>
      </w:pPr>
      <w:r>
        <w:rPr>
          <w:rFonts w:ascii="SimSun" w:hAnsi="SimSun" w:eastAsia="SimSun"/>
          <w:b/>
          <w:sz w:val="24"/>
        </w:rPr>
        <w:t>8.8.1  荷兰Rijkswaterstaat的防洪约束管理</w:t>
      </w:r>
    </w:p>
    <w:p>
      <w:pPr>
        <w:spacing w:line="400" w:lineRule="exact" w:before="60" w:after="60"/>
        <w:ind w:firstLine="482"/>
      </w:pPr>
      <w:r>
        <w:rPr>
          <w:rFonts w:ascii="SimSun" w:hAnsi="SimSun" w:eastAsia="SimSun"/>
          <w:b w:val="0"/>
          <w:sz w:val="24"/>
        </w:rPr>
        <w:t>荷兰国家水管理局（Rijkswaterstaat）管理着世界上最复杂的水利防洪系统之一。其约束管理体系的核心特点包括：分级水位预警系统（从"关注"到"灾难"四个等级）、自动化闸群联动控制（Maeslant Barrier等大型防洪闸门的全自动启闭决策）、基于FEWS（Flood Early Warning System）的多模式集合预报[38]。荷兰经验的关键启示是：约束管理必须与预报系统深度整合——约束裕度计算基于48小时的水位集合预报，而非仅基于当前实测值。</w:t>
      </w:r>
    </w:p>
    <w:p>
      <w:pPr>
        <w:spacing w:before="200" w:after="160"/>
        <w:jc w:val="left"/>
      </w:pPr>
      <w:r>
        <w:rPr>
          <w:rFonts w:ascii="SimSun" w:hAnsi="SimSun" w:eastAsia="SimSun"/>
          <w:b/>
          <w:sz w:val="24"/>
        </w:rPr>
        <w:t>8.8.2  日本水资源机构的安全管理</w:t>
      </w:r>
    </w:p>
    <w:p>
      <w:pPr>
        <w:spacing w:line="400" w:lineRule="exact" w:before="60" w:after="60"/>
        <w:ind w:firstLine="482"/>
      </w:pPr>
      <w:r>
        <w:rPr>
          <w:rFonts w:ascii="SimSun" w:hAnsi="SimSun" w:eastAsia="SimSun"/>
          <w:b w:val="0"/>
          <w:sz w:val="24"/>
        </w:rPr>
        <w:t>日本水资源机构（Japan Water Agency）的安全管理体系特点包括：极端保守的安全裕度设计（通常为设计值的2–3倍标准差）、完善的人机协同流程（自动系统建议+人工确认的"双重确认"机制）、定期的防灾演练（每年至少2次全系统应急演练）[39]。日本经验的关键启示是：约束管理的可靠性不仅取决于技术系统，更取决于组织管理和人员培训。</w:t>
      </w:r>
    </w:p>
    <w:p>
      <w:pPr>
        <w:spacing w:before="200" w:after="160"/>
        <w:jc w:val="left"/>
      </w:pPr>
      <w:r>
        <w:rPr>
          <w:rFonts w:ascii="SimSun" w:hAnsi="SimSun" w:eastAsia="SimSun"/>
          <w:b/>
          <w:sz w:val="24"/>
        </w:rPr>
        <w:t>8.8.3  美国陆军工程兵团的大坝安全计划</w:t>
      </w:r>
    </w:p>
    <w:p>
      <w:pPr>
        <w:spacing w:line="400" w:lineRule="exact" w:before="60" w:after="60"/>
        <w:ind w:firstLine="482"/>
      </w:pPr>
      <w:r>
        <w:rPr>
          <w:rFonts w:ascii="SimSun" w:hAnsi="SimSun" w:eastAsia="SimSun"/>
          <w:b w:val="0"/>
          <w:sz w:val="24"/>
        </w:rPr>
        <w:t>美国陆军工程兵团（USACE）的大坝安全计划是全球最成熟的大坝安全管理体系之一[40]。其核心要素包括：定量风险评估驱动的安全决策、基于ALARP原则的风险容忍标准、DSAC（Dam Safety Action Classification）五级分类体系（从"正常"到"紧急"逐级递增）。DSAC的分级思想与本章的红黄绿三级约束体系具有相似的逻辑结构，但更加精细化，值得借鉴。</w:t>
      </w:r>
    </w:p>
    <w:p>
      <w:pPr>
        <w:spacing w:before="280" w:after="200"/>
        <w:jc w:val="left"/>
      </w:pPr>
      <w:r>
        <w:rPr>
          <w:rFonts w:ascii="SimSun" w:hAnsi="SimSun" w:eastAsia="SimSun"/>
          <w:b/>
          <w:sz w:val="28"/>
        </w:rPr>
        <w:t>8.9  面向南水北调中线的工程化方案</w:t>
      </w:r>
    </w:p>
    <w:p>
      <w:pPr>
        <w:spacing w:before="200" w:after="160"/>
        <w:jc w:val="left"/>
      </w:pPr>
      <w:r>
        <w:rPr>
          <w:rFonts w:ascii="SimSun" w:hAnsi="SimSun" w:eastAsia="SimSun"/>
          <w:b/>
          <w:sz w:val="24"/>
        </w:rPr>
        <w:t>8.9.1  约束清单与参数配置</w:t>
      </w:r>
    </w:p>
    <w:p>
      <w:pPr>
        <w:spacing w:line="400" w:lineRule="exact" w:before="60" w:after="60"/>
        <w:ind w:firstLine="482"/>
      </w:pPr>
      <w:r>
        <w:rPr>
          <w:rFonts w:ascii="SimSun" w:hAnsi="SimSun" w:eastAsia="SimSun"/>
          <w:b w:val="0"/>
          <w:sz w:val="24"/>
        </w:rPr>
        <w:t>基于南水北调中线的工程特点，建立完整的约束清单[41]。全线63个渠池共涉及约800条约束，分为以下几类：渠池水位上限约束63条（红色）、渠池水位下限约束63条（红色）、闸门开度上下限约束约130条（红色）、闸门动作速率约束约130条（黄色）、流量上下限约束约130条（黄色）、目标水位偏差约束63条（黄色）、泵站出力约束约20条（红色/黄色）、冰期附加约束约60条（季节性红色/黄色）。约束参数的季节性调整方案需在每年10月（冰期前）和3月（冰期后）进行更新。</w:t>
      </w:r>
    </w:p>
    <w:p>
      <w:pPr>
        <w:spacing w:before="200" w:after="160"/>
        <w:jc w:val="left"/>
      </w:pPr>
      <w:r>
        <w:rPr>
          <w:rFonts w:ascii="SimSun" w:hAnsi="SimSun" w:eastAsia="SimSun"/>
          <w:b/>
          <w:sz w:val="24"/>
        </w:rPr>
        <w:t>8.9.2  实施路线图</w:t>
      </w:r>
    </w:p>
    <w:p>
      <w:pPr>
        <w:spacing w:line="400" w:lineRule="exact" w:before="60" w:after="60"/>
        <w:ind w:firstLine="482"/>
      </w:pPr>
      <w:r>
        <w:rPr>
          <w:rFonts w:ascii="SimSun" w:hAnsi="SimSun" w:eastAsia="SimSun"/>
          <w:b w:val="0"/>
          <w:sz w:val="24"/>
        </w:rPr>
        <w:t>第一阶段（2025—2026年）：完成约束清单建立和FMEA分析；在3—5个典型渠池部署约束裕度实时监测；开发全网安全态势图原型。第二阶段（2026—2028年）：在10–15个渠池部署四层冗余约束执行架构；实现约束-告警-预案联动机制的工程化运行；完成冰期和检修工况的约束管理验证。第三阶段（2028—2030年）：全线部署约束管理系统；通过安全论证和合规性验证；实现约束管理系统的常态化运行和持续优化[42]。</w:t>
      </w:r>
    </w:p>
    <w:p>
      <w:pPr>
        <w:spacing w:before="280" w:after="200"/>
        <w:jc w:val="left"/>
      </w:pPr>
      <w:r>
        <w:rPr>
          <w:rFonts w:ascii="SimSun" w:hAnsi="SimSun" w:eastAsia="SimSun"/>
          <w:b/>
          <w:sz w:val="28"/>
        </w:rPr>
        <w:t>8.10  本章小结</w:t>
      </w:r>
    </w:p>
    <w:p>
      <w:pPr>
        <w:spacing w:line="400" w:lineRule="exact" w:before="60" w:after="60"/>
        <w:ind w:firstLine="482"/>
      </w:pPr>
      <w:r>
        <w:rPr>
          <w:rFonts w:ascii="SimSun" w:hAnsi="SimSun" w:eastAsia="SimSun"/>
          <w:b w:val="0"/>
          <w:sz w:val="24"/>
        </w:rPr>
        <w:t>本章系统论述了水网自主运行系统的安全核心——约束管理的理论体系和工程化方案。主要结论如下。</w:t>
      </w:r>
    </w:p>
    <w:p>
      <w:pPr>
        <w:spacing w:line="400" w:lineRule="exact" w:before="60" w:after="60"/>
        <w:ind w:firstLine="482"/>
      </w:pPr>
      <w:r>
        <w:rPr>
          <w:rFonts w:ascii="SimSun" w:hAnsi="SimSun" w:eastAsia="SimSun"/>
          <w:b w:val="0"/>
          <w:sz w:val="24"/>
        </w:rPr>
        <w:t>第一，约束管理是水网自主运行从"仿真"走向"工程"的关键跨越。借鉴Reason的瑞士奶酪模型和Leveson的STAMP理论，水网约束管理应采用"纵深防御"原则，建立算法层、逻辑层、硬件层、物理层四层冗余防护体系。四层独立防护的联合失效概率可达10^(-9)/年，远低于10^(-4)/年的安全目标。</w:t>
      </w:r>
    </w:p>
    <w:p>
      <w:pPr>
        <w:spacing w:line="400" w:lineRule="exact" w:before="60" w:after="60"/>
        <w:ind w:firstLine="482"/>
      </w:pPr>
      <w:r>
        <w:rPr>
          <w:rFonts w:ascii="SimSun" w:hAnsi="SimSun" w:eastAsia="SimSun"/>
          <w:b w:val="0"/>
          <w:sz w:val="24"/>
        </w:rPr>
        <w:t>第二，红黄绿三级约束体系实现了"安全性"与"经济性"的平衡。红色约束保障绝对安全、黄色约束允许有代价的偏离、绿色约束追求运行品质——三者形成由内到外的嵌套式防护结构，使系统在不同工况下都能找到最优的安全-效率平衡点。</w:t>
      </w:r>
    </w:p>
    <w:p>
      <w:pPr>
        <w:spacing w:line="400" w:lineRule="exact" w:before="60" w:after="60"/>
        <w:ind w:firstLine="482"/>
      </w:pPr>
      <w:r>
        <w:rPr>
          <w:rFonts w:ascii="SimSun" w:hAnsi="SimSun" w:eastAsia="SimSun"/>
          <w:b w:val="0"/>
          <w:sz w:val="24"/>
        </w:rPr>
        <w:t>第三，基于不确定性的动态约束裕度是自主运行系统区别于传统系统的核心特征。通过将第六章EnKF提供的状态估计不确定性sigma(a)转化为约束裕度epsilon(r) = z(alpha) * sigma(a)，系统实现了"不确定性大时保守、不确定性小时高效"的自适应安全策略。预测性约束管理进一步将安全预警提前到约束违反之前数小时。</w:t>
      </w:r>
    </w:p>
    <w:p>
      <w:pPr>
        <w:spacing w:line="400" w:lineRule="exact" w:before="60" w:after="60"/>
        <w:ind w:firstLine="482"/>
      </w:pPr>
      <w:r>
        <w:rPr>
          <w:rFonts w:ascii="SimSun" w:hAnsi="SimSun" w:eastAsia="SimSun"/>
          <w:b w:val="0"/>
          <w:sz w:val="24"/>
        </w:rPr>
        <w:t>第四，约束-告警-预案联动机制实现了"算法与预案同频"。当约束裕度进入红色区域时，系统自动启动应急预案的初始动作序列，无需等待人工决策。"先保护、再报告"的设计理念确保了在最危急时刻系统仍能自主维护安全。</w:t>
      </w:r>
    </w:p>
    <w:p>
      <w:pPr>
        <w:spacing w:line="400" w:lineRule="exact" w:before="60" w:after="60"/>
        <w:ind w:firstLine="482"/>
      </w:pPr>
      <w:r>
        <w:rPr>
          <w:rFonts w:ascii="SimSun" w:hAnsi="SimSun" w:eastAsia="SimSun"/>
          <w:b w:val="0"/>
          <w:sz w:val="24"/>
        </w:rPr>
        <w:t>第五，特殊工况（冰期、检修、极端暴雨、网络攻击）的约束管理需要针对性的策略设计。冰期需要与冰厚状态估计联动调整水位约束，检修需要严格的降水速率控制和供水保障预案，极端暴雨需要气象预警联动和目标权重动态调整，网络安全需要数字签名和异常检测等纵深防护。</w:t>
      </w:r>
    </w:p>
    <w:p>
      <w:pPr>
        <w:spacing w:line="400" w:lineRule="exact" w:before="60" w:after="60"/>
        <w:ind w:firstLine="482"/>
      </w:pPr>
      <w:r>
        <w:rPr>
          <w:rFonts w:ascii="SimSun" w:hAnsi="SimSun" w:eastAsia="SimSun"/>
          <w:b w:val="0"/>
          <w:sz w:val="24"/>
        </w:rPr>
        <w:t>第六，安全论证需要系统化方法。建议采用GSN方法构建安全论证案例，以FTA方法进行量化安全评估，以合规性验证矩阵确保满足IEC 61508、ICOLD等相关标准和法规要求。</w:t>
      </w:r>
    </w:p>
    <w:p>
      <w:pPr>
        <w:spacing w:line="400" w:lineRule="exact" w:before="60" w:after="60"/>
        <w:ind w:firstLine="482"/>
      </w:pPr>
      <w:r>
        <w:rPr>
          <w:rFonts w:ascii="SimSun" w:hAnsi="SimSun" w:eastAsia="SimSun"/>
          <w:b w:val="0"/>
          <w:sz w:val="24"/>
        </w:rPr>
        <w:t>本章的约束管理体系与第六章的状态重构、第七章的MPC/DMPC控制共同构成水网自主运行的"感知-控制-安全"闭环。状态重构回答"系统处于什么状态"，MPC控制回答"应该采取什么动作"，约束管理确保"动作不会超越安全红线"——三者缺一不可，共同支撑水网的安全、可靠、高效自主运行。</w:t>
      </w:r>
    </w:p>
    <w:p>
      <w:pPr>
        <w:spacing w:before="280" w:after="200"/>
        <w:jc w:val="left"/>
      </w:pPr>
      <w:r>
        <w:rPr>
          <w:rFonts w:ascii="SimSun" w:hAnsi="SimSun" w:eastAsia="SimSun"/>
          <w:b/>
          <w:sz w:val="28"/>
        </w:rPr>
        <w:t>参考文献</w:t>
      </w:r>
    </w:p>
    <w:p>
      <w:pPr>
        <w:spacing w:line="360" w:lineRule="exact" w:before="30" w:after="30"/>
        <w:ind w:left="482" w:hanging="482"/>
      </w:pPr>
      <w:r>
        <w:rPr>
          <w:rFonts w:ascii="SimSun" w:hAnsi="SimSun" w:eastAsia="SimSun"/>
          <w:b w:val="0"/>
          <w:sz w:val="20"/>
        </w:rPr>
        <w:t>[1] Blanke M, Kinnaert M, Lunze J, et al. Diagnosis and Fault-Tolerant Control (3rd ed.). Springer, 2016.</w:t>
      </w:r>
    </w:p>
    <w:p>
      <w:pPr>
        <w:spacing w:line="360" w:lineRule="exact" w:before="30" w:after="30"/>
        <w:ind w:left="482" w:hanging="482"/>
      </w:pPr>
      <w:r>
        <w:rPr>
          <w:rFonts w:ascii="SimSun" w:hAnsi="SimSun" w:eastAsia="SimSun"/>
          <w:b w:val="0"/>
          <w:sz w:val="20"/>
        </w:rPr>
        <w:t>[2] Reason J. Human Error. Cambridge University Press, 1990.</w:t>
      </w:r>
    </w:p>
    <w:p>
      <w:pPr>
        <w:spacing w:line="360" w:lineRule="exact" w:before="30" w:after="30"/>
        <w:ind w:left="482" w:hanging="482"/>
      </w:pPr>
      <w:r>
        <w:rPr>
          <w:rFonts w:ascii="SimSun" w:hAnsi="SimSun" w:eastAsia="SimSun"/>
          <w:b w:val="0"/>
          <w:sz w:val="20"/>
        </w:rPr>
        <w:t>[3] Hollnagel E. Barriers and Accident Prevention. Ashgate Publishing, 2004.</w:t>
      </w:r>
    </w:p>
    <w:p>
      <w:pPr>
        <w:spacing w:line="360" w:lineRule="exact" w:before="30" w:after="30"/>
        <w:ind w:left="482" w:hanging="482"/>
      </w:pPr>
      <w:r>
        <w:rPr>
          <w:rFonts w:ascii="SimSun" w:hAnsi="SimSun" w:eastAsia="SimSun"/>
          <w:b w:val="0"/>
          <w:sz w:val="20"/>
        </w:rPr>
        <w:t>[4] Leveson N G. Engineering a Safer World: Systems Thinking Applied to Safety. MIT Press, 2011.</w:t>
      </w:r>
    </w:p>
    <w:p>
      <w:pPr>
        <w:spacing w:line="360" w:lineRule="exact" w:before="30" w:after="30"/>
        <w:ind w:left="482" w:hanging="482"/>
      </w:pPr>
      <w:r>
        <w:rPr>
          <w:rFonts w:ascii="SimSun" w:hAnsi="SimSun" w:eastAsia="SimSun"/>
          <w:b w:val="0"/>
          <w:sz w:val="20"/>
        </w:rPr>
        <w:t>[5] Litrico X, Fromion V. Modeling and Control of Hydrosystems. Springer, 2009.</w:t>
      </w:r>
    </w:p>
    <w:p>
      <w:pPr>
        <w:spacing w:line="360" w:lineRule="exact" w:before="30" w:after="30"/>
        <w:ind w:left="482" w:hanging="482"/>
      </w:pPr>
      <w:r>
        <w:rPr>
          <w:rFonts w:ascii="SimSun" w:hAnsi="SimSun" w:eastAsia="SimSun"/>
          <w:b w:val="0"/>
          <w:sz w:val="20"/>
        </w:rPr>
        <w:t>[6] 南水北调中线干线工程建设管理局. 南水北调中线一期工程运行管理办法. 中国水利水电出版社, 2015.</w:t>
      </w:r>
    </w:p>
    <w:p>
      <w:pPr>
        <w:spacing w:line="360" w:lineRule="exact" w:before="30" w:after="30"/>
        <w:ind w:left="482" w:hanging="482"/>
      </w:pPr>
      <w:r>
        <w:rPr>
          <w:rFonts w:ascii="SimSun" w:hAnsi="SimSun" w:eastAsia="SimSun"/>
          <w:b w:val="0"/>
          <w:sz w:val="20"/>
        </w:rPr>
        <w:t>[7] IEC 60812:2018. Failure modes and effects analysis (FMEA and FMECA). International Electrotechnical Commission, 2018.</w:t>
      </w:r>
    </w:p>
    <w:p>
      <w:pPr>
        <w:spacing w:line="360" w:lineRule="exact" w:before="30" w:after="30"/>
        <w:ind w:left="482" w:hanging="482"/>
      </w:pPr>
      <w:r>
        <w:rPr>
          <w:rFonts w:ascii="SimSun" w:hAnsi="SimSun" w:eastAsia="SimSun"/>
          <w:b w:val="0"/>
          <w:sz w:val="20"/>
        </w:rPr>
        <w:t>[8] ICOLD. Bulletin 154: Dam Safety Management. International Commission on Large Dams, 2017.</w:t>
      </w:r>
    </w:p>
    <w:p>
      <w:pPr>
        <w:spacing w:line="360" w:lineRule="exact" w:before="30" w:after="30"/>
        <w:ind w:left="482" w:hanging="482"/>
      </w:pPr>
      <w:r>
        <w:rPr>
          <w:rFonts w:ascii="SimSun" w:hAnsi="SimSun" w:eastAsia="SimSun"/>
          <w:b w:val="0"/>
          <w:sz w:val="20"/>
        </w:rPr>
        <w:t>[9] Hartford D N D, Baecher G B. Risk and Uncertainty in Dam Safety. Thomas Telford Publishing, 2004.</w:t>
      </w:r>
    </w:p>
    <w:p>
      <w:pPr>
        <w:spacing w:line="360" w:lineRule="exact" w:before="30" w:after="30"/>
        <w:ind w:left="482" w:hanging="482"/>
      </w:pPr>
      <w:r>
        <w:rPr>
          <w:rFonts w:ascii="SimSun" w:hAnsi="SimSun" w:eastAsia="SimSun"/>
          <w:b w:val="0"/>
          <w:sz w:val="20"/>
        </w:rPr>
        <w:t>[10] IEC 61508:2010. Functional Safety of Electrical/Electronic/Programmable Electronic Safety-related Systems. International Electrotechnical Commission, 2010.</w:t>
      </w:r>
    </w:p>
    <w:p>
      <w:pPr>
        <w:spacing w:line="360" w:lineRule="exact" w:before="30" w:after="30"/>
        <w:ind w:left="482" w:hanging="482"/>
      </w:pPr>
      <w:r>
        <w:rPr>
          <w:rFonts w:ascii="SimSun" w:hAnsi="SimSun" w:eastAsia="SimSun"/>
          <w:b w:val="0"/>
          <w:sz w:val="20"/>
        </w:rPr>
        <w:t>[11] Mesbah A. Stochastic model predictive control: An overview and perspectives for future research. IEEE Control Systems Magazine, 2016, 36(6): 30-44.</w:t>
      </w:r>
    </w:p>
    <w:p>
      <w:pPr>
        <w:spacing w:line="360" w:lineRule="exact" w:before="30" w:after="30"/>
        <w:ind w:left="482" w:hanging="482"/>
      </w:pPr>
      <w:r>
        <w:rPr>
          <w:rFonts w:ascii="SimSun" w:hAnsi="SimSun" w:eastAsia="SimSun"/>
          <w:b w:val="0"/>
          <w:sz w:val="20"/>
        </w:rPr>
        <w:t>[12] Rawlings J B, Mayne D Q, Diehl M M. Model Predictive Control: Theory, Computation, and Design (2nd ed.). Nob Hill Publishing, 2017.</w:t>
      </w:r>
    </w:p>
    <w:p>
      <w:pPr>
        <w:spacing w:line="360" w:lineRule="exact" w:before="30" w:after="30"/>
        <w:ind w:left="482" w:hanging="482"/>
      </w:pPr>
      <w:r>
        <w:rPr>
          <w:rFonts w:ascii="SimSun" w:hAnsi="SimSun" w:eastAsia="SimSun"/>
          <w:b w:val="0"/>
          <w:sz w:val="20"/>
        </w:rPr>
        <w:t>[13] Mayne D Q, Rawlings J B, Rao C V, et al. Constrained model predictive control: Stability and optimality. Automatica, 2000, 36(6): 789-814.</w:t>
      </w:r>
    </w:p>
    <w:p>
      <w:pPr>
        <w:spacing w:line="360" w:lineRule="exact" w:before="30" w:after="30"/>
        <w:ind w:left="482" w:hanging="482"/>
      </w:pPr>
      <w:r>
        <w:rPr>
          <w:rFonts w:ascii="SimSun" w:hAnsi="SimSun" w:eastAsia="SimSun"/>
          <w:b w:val="0"/>
          <w:sz w:val="20"/>
        </w:rPr>
        <w:t>[14] Kerrigan E C, Maciejowski J M. Soft constraints and exact penalty functions in model predictive control. UKACC International Conference on Control, 2000.</w:t>
      </w:r>
    </w:p>
    <w:p>
      <w:pPr>
        <w:spacing w:line="360" w:lineRule="exact" w:before="30" w:after="30"/>
        <w:ind w:left="482" w:hanging="482"/>
      </w:pPr>
      <w:r>
        <w:rPr>
          <w:rFonts w:ascii="SimSun" w:hAnsi="SimSun" w:eastAsia="SimSun"/>
          <w:b w:val="0"/>
          <w:sz w:val="20"/>
        </w:rPr>
        <w:t>[15] Mayne D Q. Robust and stochastic model predictive control: Are we going in the right direction? Annual Reviews in Control, 2016, 41: 184-192.</w:t>
      </w:r>
    </w:p>
    <w:p>
      <w:pPr>
        <w:spacing w:line="360" w:lineRule="exact" w:before="30" w:after="30"/>
        <w:ind w:left="482" w:hanging="482"/>
      </w:pPr>
      <w:r>
        <w:rPr>
          <w:rFonts w:ascii="SimSun" w:hAnsi="SimSun" w:eastAsia="SimSun"/>
          <w:b w:val="0"/>
          <w:sz w:val="20"/>
        </w:rPr>
        <w:t>[16] Bemporad A, Morari M. Robust model predictive control: A survey. In: Robustness in Identification and Control. Springer, 1999: 207-226.</w:t>
      </w:r>
    </w:p>
    <w:p>
      <w:pPr>
        <w:spacing w:line="360" w:lineRule="exact" w:before="30" w:after="30"/>
        <w:ind w:left="482" w:hanging="482"/>
      </w:pPr>
      <w:r>
        <w:rPr>
          <w:rFonts w:ascii="SimSun" w:hAnsi="SimSun" w:eastAsia="SimSun"/>
          <w:b w:val="0"/>
          <w:sz w:val="20"/>
        </w:rPr>
        <w:t>[17] Schuurmans J, Bosgra O H, Brouwer R. Open-channel flow model approximation for controller design. Applied Mathematical Modelling, 1995, 19(9): 525-530.</w:t>
      </w:r>
    </w:p>
    <w:p>
      <w:pPr>
        <w:spacing w:line="360" w:lineRule="exact" w:before="30" w:after="30"/>
        <w:ind w:left="482" w:hanging="482"/>
      </w:pPr>
      <w:r>
        <w:rPr>
          <w:rFonts w:ascii="SimSun" w:hAnsi="SimSun" w:eastAsia="SimSun"/>
          <w:b w:val="0"/>
          <w:sz w:val="20"/>
        </w:rPr>
        <w:t>[18] 水利部. 水利工程运行安全监测自动化技术规范(SL 551-2012). 中国水利水电出版社, 2012.</w:t>
      </w:r>
    </w:p>
    <w:p>
      <w:pPr>
        <w:spacing w:line="360" w:lineRule="exact" w:before="30" w:after="30"/>
        <w:ind w:left="482" w:hanging="482"/>
      </w:pPr>
      <w:r>
        <w:rPr>
          <w:rFonts w:ascii="SimSun" w:hAnsi="SimSun" w:eastAsia="SimSun"/>
          <w:b w:val="0"/>
          <w:sz w:val="20"/>
        </w:rPr>
        <w:t>[19] Leveson N G. SafeWare: System Safety and Computers. Addison-Wesley, 1995.</w:t>
      </w:r>
    </w:p>
    <w:p>
      <w:pPr>
        <w:spacing w:line="360" w:lineRule="exact" w:before="30" w:after="30"/>
        <w:ind w:left="482" w:hanging="482"/>
      </w:pPr>
      <w:r>
        <w:rPr>
          <w:rFonts w:ascii="SimSun" w:hAnsi="SimSun" w:eastAsia="SimSun"/>
          <w:b w:val="0"/>
          <w:sz w:val="20"/>
        </w:rPr>
        <w:t>[20] Clemmens A J, Kacerek T F, Grawitz B, et al. Test cases for canal control algorithms. Journal of Irrigation and Drainage Engineering, 1998, 124(1): 23-30.</w:t>
      </w:r>
    </w:p>
    <w:p>
      <w:pPr>
        <w:spacing w:line="360" w:lineRule="exact" w:before="30" w:after="30"/>
        <w:ind w:left="482" w:hanging="482"/>
      </w:pPr>
      <w:r>
        <w:rPr>
          <w:rFonts w:ascii="SimSun" w:hAnsi="SimSun" w:eastAsia="SimSun"/>
          <w:b w:val="0"/>
          <w:sz w:val="20"/>
        </w:rPr>
        <w:t>[21] Cantoni M, Weyer E, Li Y, et al. Control of large-scale irrigation networks. Proceedings of the IEEE, 2007, 95(1): 75-91.</w:t>
      </w:r>
    </w:p>
    <w:p>
      <w:pPr>
        <w:spacing w:line="360" w:lineRule="exact" w:before="30" w:after="30"/>
        <w:ind w:left="482" w:hanging="482"/>
      </w:pPr>
      <w:r>
        <w:rPr>
          <w:rFonts w:ascii="SimSun" w:hAnsi="SimSun" w:eastAsia="SimSun"/>
          <w:b w:val="0"/>
          <w:sz w:val="20"/>
        </w:rPr>
        <w:t>[22] Maciejowski J M. Predictive Control with Constraints. Pearson Education, 2002.</w:t>
      </w:r>
    </w:p>
    <w:p>
      <w:pPr>
        <w:spacing w:line="360" w:lineRule="exact" w:before="30" w:after="30"/>
        <w:ind w:left="482" w:hanging="482"/>
      </w:pPr>
      <w:r>
        <w:rPr>
          <w:rFonts w:ascii="SimSun" w:hAnsi="SimSun" w:eastAsia="SimSun"/>
          <w:b w:val="0"/>
          <w:sz w:val="20"/>
        </w:rPr>
        <w:t>[23] Skogestad S, Postlethwaite I. Multivariable Feedback Control: Analysis and Design (2nd ed.). John Wiley &amp; Sons, 2005.</w:t>
      </w:r>
    </w:p>
    <w:p>
      <w:pPr>
        <w:spacing w:line="360" w:lineRule="exact" w:before="30" w:after="30"/>
        <w:ind w:left="482" w:hanging="482"/>
      </w:pPr>
      <w:r>
        <w:rPr>
          <w:rFonts w:ascii="SimSun" w:hAnsi="SimSun" w:eastAsia="SimSun"/>
          <w:b w:val="0"/>
          <w:sz w:val="20"/>
        </w:rPr>
        <w:t>[24] Hatton L. Safer C: Developing Software for High-integrity and Safety-critical Systems. McGraw-Hill, 1995.</w:t>
      </w:r>
    </w:p>
    <w:p>
      <w:pPr>
        <w:spacing w:line="360" w:lineRule="exact" w:before="30" w:after="30"/>
        <w:ind w:left="482" w:hanging="482"/>
      </w:pPr>
      <w:r>
        <w:rPr>
          <w:rFonts w:ascii="SimSun" w:hAnsi="SimSun" w:eastAsia="SimSun"/>
          <w:b w:val="0"/>
          <w:sz w:val="20"/>
        </w:rPr>
        <w:t>[25] IEC 61131-3:2013. Programmable controllers - Part 3: Programming languages. International Electrotechnical Commission, 2013.</w:t>
      </w:r>
    </w:p>
    <w:p>
      <w:pPr>
        <w:spacing w:line="360" w:lineRule="exact" w:before="30" w:after="30"/>
        <w:ind w:left="482" w:hanging="482"/>
      </w:pPr>
      <w:r>
        <w:rPr>
          <w:rFonts w:ascii="SimSun" w:hAnsi="SimSun" w:eastAsia="SimSun"/>
          <w:b w:val="0"/>
          <w:sz w:val="20"/>
        </w:rPr>
        <w:t>[26] USBR. Design of Small Canal Structures. US Bureau of Reclamation, 1978 (Revised 2020).</w:t>
      </w:r>
    </w:p>
    <w:p>
      <w:pPr>
        <w:spacing w:line="360" w:lineRule="exact" w:before="30" w:after="30"/>
        <w:ind w:left="482" w:hanging="482"/>
      </w:pPr>
      <w:r>
        <w:rPr>
          <w:rFonts w:ascii="SimSun" w:hAnsi="SimSun" w:eastAsia="SimSun"/>
          <w:b w:val="0"/>
          <w:sz w:val="20"/>
        </w:rPr>
        <w:t>[27] Molak V. Fundamentals of Risk Analysis and Risk Management. CRC Press, 1997.</w:t>
      </w:r>
    </w:p>
    <w:p>
      <w:pPr>
        <w:spacing w:line="360" w:lineRule="exact" w:before="30" w:after="30"/>
        <w:ind w:left="482" w:hanging="482"/>
      </w:pPr>
      <w:r>
        <w:rPr>
          <w:rFonts w:ascii="SimSun" w:hAnsi="SimSun" w:eastAsia="SimSun"/>
          <w:b w:val="0"/>
          <w:sz w:val="20"/>
        </w:rPr>
        <w:t>[28] 雷晓辉, 王浩, 张成, 等. 冰期明渠输水工程水力控制研究综述. 水利学报, 2023, 54(8): 901-915.</w:t>
      </w:r>
    </w:p>
    <w:p>
      <w:pPr>
        <w:spacing w:line="360" w:lineRule="exact" w:before="30" w:after="30"/>
        <w:ind w:left="482" w:hanging="482"/>
      </w:pPr>
      <w:r>
        <w:rPr>
          <w:rFonts w:ascii="SimSun" w:hAnsi="SimSun" w:eastAsia="SimSun"/>
          <w:b w:val="0"/>
          <w:sz w:val="20"/>
        </w:rPr>
        <w:t>[29] Shen H T. Mathematical modeling of river ice processes. Cold Regions Science and Technology, 2010, 62(1): 3-13.</w:t>
      </w:r>
    </w:p>
    <w:p>
      <w:pPr>
        <w:spacing w:line="360" w:lineRule="exact" w:before="30" w:after="30"/>
        <w:ind w:left="482" w:hanging="482"/>
      </w:pPr>
      <w:r>
        <w:rPr>
          <w:rFonts w:ascii="SimSun" w:hAnsi="SimSun" w:eastAsia="SimSun"/>
          <w:b w:val="0"/>
          <w:sz w:val="20"/>
        </w:rPr>
        <w:t>[30] 南水北调中线干线工程建设管理局. 南水北调中线干线工程检修管理暂行办法. 2018.</w:t>
      </w:r>
    </w:p>
    <w:p>
      <w:pPr>
        <w:spacing w:line="360" w:lineRule="exact" w:before="30" w:after="30"/>
        <w:ind w:left="482" w:hanging="482"/>
      </w:pPr>
      <w:r>
        <w:rPr>
          <w:rFonts w:ascii="SimSun" w:hAnsi="SimSun" w:eastAsia="SimSun"/>
          <w:b w:val="0"/>
          <w:sz w:val="20"/>
        </w:rPr>
        <w:t>[31] Xu M, Schwanenberg D, Barciela R, et al. Real-time control of urban drainage systems using model predictive control. Water Science and Technology, 2013, 67(11): 2575-2582.</w:t>
      </w:r>
    </w:p>
    <w:p>
      <w:pPr>
        <w:spacing w:line="360" w:lineRule="exact" w:before="30" w:after="30"/>
        <w:ind w:left="482" w:hanging="482"/>
      </w:pPr>
      <w:r>
        <w:rPr>
          <w:rFonts w:ascii="SimSun" w:hAnsi="SimSun" w:eastAsia="SimSun"/>
          <w:b w:val="0"/>
          <w:sz w:val="20"/>
        </w:rPr>
        <w:t>[32] Adepu S, Mathur A. An investigation into the response of a water treatment system to cyber attacks. IEEE International Symposium on High Assurance Systems Engineering, 2016: 141-148.</w:t>
      </w:r>
    </w:p>
    <w:p>
      <w:pPr>
        <w:spacing w:line="360" w:lineRule="exact" w:before="30" w:after="30"/>
        <w:ind w:left="482" w:hanging="482"/>
      </w:pPr>
      <w:r>
        <w:rPr>
          <w:rFonts w:ascii="SimSun" w:hAnsi="SimSun" w:eastAsia="SimSun"/>
          <w:b w:val="0"/>
          <w:sz w:val="20"/>
        </w:rPr>
        <w:t>[33] Taormina R, Galelli S, Tippenhauer N O, et al. Battle of the attack detection algorithms: Disclosing cyber attacks on water distribution networks. Journal of Water Resources Planning and Management, 2018, 144(8): 04018048.</w:t>
      </w:r>
    </w:p>
    <w:p>
      <w:pPr>
        <w:spacing w:line="360" w:lineRule="exact" w:before="30" w:after="30"/>
        <w:ind w:left="482" w:hanging="482"/>
      </w:pPr>
      <w:r>
        <w:rPr>
          <w:rFonts w:ascii="SimSun" w:hAnsi="SimSun" w:eastAsia="SimSun"/>
          <w:b w:val="0"/>
          <w:sz w:val="20"/>
        </w:rPr>
        <w:t>[34] Kelly T. Arguing Safety: A Systematic Approach to Managing Safety Cases. PhD Thesis, University of York, 1998.</w:t>
      </w:r>
    </w:p>
    <w:p>
      <w:pPr>
        <w:spacing w:line="360" w:lineRule="exact" w:before="30" w:after="30"/>
        <w:ind w:left="482" w:hanging="482"/>
      </w:pPr>
      <w:r>
        <w:rPr>
          <w:rFonts w:ascii="SimSun" w:hAnsi="SimSun" w:eastAsia="SimSun"/>
          <w:b w:val="0"/>
          <w:sz w:val="20"/>
        </w:rPr>
        <w:t>[35] Habli I, Kelly T. Process and product certification arguments: Getting the balance right. SAFECOMP Workshop on Assurance Cases, 2007.</w:t>
      </w:r>
    </w:p>
    <w:p>
      <w:pPr>
        <w:spacing w:line="360" w:lineRule="exact" w:before="30" w:after="30"/>
        <w:ind w:left="482" w:hanging="482"/>
      </w:pPr>
      <w:r>
        <w:rPr>
          <w:rFonts w:ascii="SimSun" w:hAnsi="SimSun" w:eastAsia="SimSun"/>
          <w:b w:val="0"/>
          <w:sz w:val="20"/>
        </w:rPr>
        <w:t>[36] Vesely W E, Goldberg F F, Roberts N H, et al. Fault Tree Handbook. US Nuclear Regulatory Commission, NUREG-0492, 1981.</w:t>
      </w:r>
    </w:p>
    <w:p>
      <w:pPr>
        <w:spacing w:line="360" w:lineRule="exact" w:before="30" w:after="30"/>
        <w:ind w:left="482" w:hanging="482"/>
      </w:pPr>
      <w:r>
        <w:rPr>
          <w:rFonts w:ascii="SimSun" w:hAnsi="SimSun" w:eastAsia="SimSun"/>
          <w:b w:val="0"/>
          <w:sz w:val="20"/>
        </w:rPr>
        <w:t>[37] Mosleh A, Fleming K N, Parry G W, et al. Procedures for treating common cause failures in safety and reliability studies. NUREG/CR-4780, 1988.</w:t>
      </w:r>
    </w:p>
    <w:p>
      <w:pPr>
        <w:spacing w:line="360" w:lineRule="exact" w:before="30" w:after="30"/>
        <w:ind w:left="482" w:hanging="482"/>
      </w:pPr>
      <w:r>
        <w:rPr>
          <w:rFonts w:ascii="SimSun" w:hAnsi="SimSun" w:eastAsia="SimSun"/>
          <w:b w:val="0"/>
          <w:sz w:val="20"/>
        </w:rPr>
        <w:t>[38] Deltares. FEWS: Flood Early Warning System Technical Documentation. Deltares, 2020.</w:t>
      </w:r>
    </w:p>
    <w:p>
      <w:pPr>
        <w:spacing w:line="360" w:lineRule="exact" w:before="30" w:after="30"/>
        <w:ind w:left="482" w:hanging="482"/>
      </w:pPr>
      <w:r>
        <w:rPr>
          <w:rFonts w:ascii="SimSun" w:hAnsi="SimSun" w:eastAsia="SimSun"/>
          <w:b w:val="0"/>
          <w:sz w:val="20"/>
        </w:rPr>
        <w:t>[39] Japan Water Agency. Annual Report on Water Resources Management. Tokyo, 2022.</w:t>
      </w:r>
    </w:p>
    <w:p>
      <w:pPr>
        <w:spacing w:line="360" w:lineRule="exact" w:before="30" w:after="30"/>
        <w:ind w:left="482" w:hanging="482"/>
      </w:pPr>
      <w:r>
        <w:rPr>
          <w:rFonts w:ascii="SimSun" w:hAnsi="SimSun" w:eastAsia="SimSun"/>
          <w:b w:val="0"/>
          <w:sz w:val="20"/>
        </w:rPr>
        <w:t>[40] USACE. Engineering and Design: Safety of Dams - Policy and Procedures. ER 1110-2-1156, 2014.</w:t>
      </w:r>
    </w:p>
    <w:p>
      <w:pPr>
        <w:spacing w:line="360" w:lineRule="exact" w:before="30" w:after="30"/>
        <w:ind w:left="482" w:hanging="482"/>
      </w:pPr>
      <w:r>
        <w:rPr>
          <w:rFonts w:ascii="SimSun" w:hAnsi="SimSun" w:eastAsia="SimSun"/>
          <w:b w:val="0"/>
          <w:sz w:val="20"/>
        </w:rPr>
        <w:t>[41] 雷晓辉, 王浩. 水系统控制论: 从反馈到涌现. 水利学报, 2025, 56(1): 1-15.</w:t>
      </w:r>
    </w:p>
    <w:p>
      <w:pPr>
        <w:spacing w:line="360" w:lineRule="exact" w:before="30" w:after="30"/>
        <w:ind w:left="482" w:hanging="482"/>
      </w:pPr>
      <w:r>
        <w:rPr>
          <w:rFonts w:ascii="SimSun" w:hAnsi="SimSun" w:eastAsia="SimSun"/>
          <w:b w:val="0"/>
          <w:sz w:val="20"/>
        </w:rPr>
        <w:t>[42] Malaterre P O, Rogers D C, Schuurmans J. Classification of canal control algorithms. Journal of Irrigation and Drainage Engineering, 1998, 124(1): 3-10.</w:t>
      </w:r>
    </w:p>
    <w:p>
      <w:pPr>
        <w:spacing w:line="360" w:lineRule="exact" w:before="30" w:after="30"/>
        <w:ind w:left="482" w:hanging="482"/>
      </w:pPr>
      <w:r>
        <w:rPr>
          <w:rFonts w:ascii="SimSun" w:hAnsi="SimSun" w:eastAsia="SimSun"/>
          <w:b w:val="0"/>
          <w:sz w:val="20"/>
        </w:rPr>
        <w:t>[43] Farina M, Giulioni L, Scattolini R. Stochastic linear model predictive control with chance constraints - A review. Journal of Process Control, 2016, 44: 53-67.</w:t>
      </w:r>
    </w:p>
    <w:p>
      <w:pPr>
        <w:spacing w:line="360" w:lineRule="exact" w:before="30" w:after="30"/>
        <w:ind w:left="482" w:hanging="482"/>
      </w:pPr>
      <w:r>
        <w:rPr>
          <w:rFonts w:ascii="SimSun" w:hAnsi="SimSun" w:eastAsia="SimSun"/>
          <w:b w:val="0"/>
          <w:sz w:val="20"/>
        </w:rPr>
        <w:t>[44] Rausand M, Hoyland A. System Reliability Theory: Models, Statistical Methods, and Applications (2nd ed.). John Wiley &amp; Sons, 2004.</w:t>
      </w:r>
    </w:p>
    <w:p>
      <w:pPr>
        <w:spacing w:line="360" w:lineRule="exact" w:before="30" w:after="30"/>
        <w:ind w:left="482" w:hanging="482"/>
      </w:pPr>
      <w:r>
        <w:rPr>
          <w:rFonts w:ascii="SimSun" w:hAnsi="SimSun" w:eastAsia="SimSun"/>
          <w:b w:val="0"/>
          <w:sz w:val="20"/>
        </w:rPr>
        <w:t>[45] ISO 26262:2018. Road vehicles - Functional safety. International Organization for Standardization, 2018.</w:t>
      </w:r>
    </w:p>
    <w:p>
      <w:pPr>
        <w:spacing w:line="360" w:lineRule="exact" w:before="30" w:after="30"/>
        <w:ind w:left="482" w:hanging="482"/>
      </w:pPr>
      <w:r>
        <w:rPr>
          <w:rFonts w:ascii="SimSun" w:hAnsi="SimSun" w:eastAsia="SimSun"/>
          <w:b w:val="0"/>
          <w:sz w:val="20"/>
        </w:rPr>
        <w:t>[46] Izadi I, Shah S L, Shook D S, et al. An introduction to alarm analysis and design. IFAC Proceedings Volumes, 2009, 42(8): 645-650.</w:t>
      </w:r>
    </w:p>
    <w:sectPr w:rsidR="00FC693F" w:rsidRPr="0006063C" w:rsidSect="00034616">
      <w:pgSz w:w="11906" w:h="16838"/>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before="60" w:after="6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