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081B4" w14:textId="77777777" w:rsidR="00D21BEE" w:rsidRDefault="00D21BEE">
      <w:pPr>
        <w:rPr>
          <w:rFonts w:hint="eastAsia"/>
        </w:rPr>
      </w:pPr>
    </w:p>
    <w:p w14:paraId="308CB733" w14:textId="77777777" w:rsidR="00D21BEE" w:rsidRDefault="00D21BEE">
      <w:pPr>
        <w:rPr>
          <w:rFonts w:hint="eastAsia"/>
        </w:rPr>
      </w:pPr>
    </w:p>
    <w:p w14:paraId="215CED15" w14:textId="77777777" w:rsidR="00D21BEE" w:rsidRDefault="00D21BEE">
      <w:pPr>
        <w:rPr>
          <w:rFonts w:hint="eastAsia"/>
        </w:rPr>
      </w:pPr>
    </w:p>
    <w:p w14:paraId="04FFF209" w14:textId="77777777" w:rsidR="00D21BEE" w:rsidRDefault="00D21BEE">
      <w:pPr>
        <w:rPr>
          <w:rFonts w:hint="eastAsia"/>
        </w:rPr>
      </w:pPr>
    </w:p>
    <w:p w14:paraId="69F4E79C" w14:textId="77777777" w:rsidR="00D21BEE" w:rsidRDefault="00D21BEE">
      <w:pPr>
        <w:rPr>
          <w:rFonts w:hint="eastAsia"/>
        </w:rPr>
      </w:pPr>
    </w:p>
    <w:p w14:paraId="7366292E" w14:textId="77777777" w:rsidR="00D21BEE" w:rsidRDefault="00D21BEE">
      <w:pPr>
        <w:rPr>
          <w:rFonts w:hint="eastAsia"/>
        </w:rPr>
      </w:pPr>
    </w:p>
    <w:p w14:paraId="3146BDED" w14:textId="77777777" w:rsidR="00D21BEE" w:rsidRDefault="00000000">
      <w:pPr>
        <w:jc w:val="center"/>
        <w:rPr>
          <w:rFonts w:hint="eastAsia"/>
          <w:lang w:eastAsia="zh-CN"/>
        </w:rPr>
      </w:pPr>
      <w:r>
        <w:rPr>
          <w:b/>
          <w:color w:val="1F4E79"/>
          <w:sz w:val="44"/>
          <w:lang w:eastAsia="zh-CN"/>
        </w:rPr>
        <w:t>水网智能调控与自主运行关键技术研究报告</w:t>
      </w:r>
    </w:p>
    <w:p w14:paraId="01F0FC73" w14:textId="77777777" w:rsidR="00D21BEE" w:rsidRDefault="00D21BEE">
      <w:pPr>
        <w:rPr>
          <w:rFonts w:hint="eastAsia"/>
          <w:lang w:eastAsia="zh-CN"/>
        </w:rPr>
      </w:pPr>
    </w:p>
    <w:p w14:paraId="151188F8" w14:textId="77777777" w:rsidR="00D21BEE" w:rsidRDefault="00000000">
      <w:pPr>
        <w:jc w:val="center"/>
        <w:rPr>
          <w:rFonts w:hint="eastAsia"/>
          <w:lang w:eastAsia="zh-CN"/>
        </w:rPr>
      </w:pPr>
      <w:r>
        <w:rPr>
          <w:b/>
          <w:color w:val="1F4E79"/>
          <w:sz w:val="36"/>
          <w:lang w:eastAsia="zh-CN"/>
        </w:rPr>
        <w:t>第四章  总体技术架构：云-边-端协同、数字孪生与多智能体</w:t>
      </w:r>
    </w:p>
    <w:p w14:paraId="5CC0469F" w14:textId="77777777" w:rsidR="00D21BEE" w:rsidRDefault="00D21BEE">
      <w:pPr>
        <w:rPr>
          <w:rFonts w:hint="eastAsia"/>
          <w:lang w:eastAsia="zh-CN"/>
        </w:rPr>
      </w:pPr>
    </w:p>
    <w:p w14:paraId="576218E7" w14:textId="77777777" w:rsidR="00D21BEE" w:rsidRDefault="00000000">
      <w:pPr>
        <w:jc w:val="center"/>
        <w:rPr>
          <w:rFonts w:hint="eastAsia"/>
          <w:lang w:eastAsia="zh-CN"/>
        </w:rPr>
      </w:pPr>
      <w:r>
        <w:rPr>
          <w:color w:val="646464"/>
          <w:sz w:val="28"/>
          <w:lang w:eastAsia="zh-CN"/>
        </w:rPr>
        <w:t>—— 从“数据可视化”到“闭环自主运行”的架构范式转型</w:t>
      </w:r>
    </w:p>
    <w:p w14:paraId="69623945" w14:textId="77777777" w:rsidR="00D21BEE" w:rsidRDefault="00D21BEE">
      <w:pPr>
        <w:rPr>
          <w:rFonts w:hint="eastAsia"/>
          <w:lang w:eastAsia="zh-CN"/>
        </w:rPr>
      </w:pPr>
    </w:p>
    <w:p w14:paraId="783C06B9" w14:textId="77777777" w:rsidR="00D21BEE" w:rsidRDefault="00D21BEE">
      <w:pPr>
        <w:rPr>
          <w:rFonts w:hint="eastAsia"/>
          <w:lang w:eastAsia="zh-CN"/>
        </w:rPr>
      </w:pPr>
    </w:p>
    <w:p w14:paraId="31DACE4F" w14:textId="77777777" w:rsidR="00D21BEE" w:rsidRDefault="00D21BEE">
      <w:pPr>
        <w:rPr>
          <w:rFonts w:hint="eastAsia"/>
          <w:lang w:eastAsia="zh-CN"/>
        </w:rPr>
      </w:pPr>
    </w:p>
    <w:p w14:paraId="32298424" w14:textId="77777777" w:rsidR="00D21BEE" w:rsidRDefault="00D21BEE">
      <w:pPr>
        <w:rPr>
          <w:rFonts w:hint="eastAsia"/>
          <w:lang w:eastAsia="zh-CN"/>
        </w:rPr>
      </w:pPr>
    </w:p>
    <w:p w14:paraId="7DBF31F1" w14:textId="77777777" w:rsidR="00D21BEE" w:rsidRDefault="00D21BEE">
      <w:pPr>
        <w:rPr>
          <w:rFonts w:hint="eastAsia"/>
          <w:lang w:eastAsia="zh-CN"/>
        </w:rPr>
      </w:pPr>
    </w:p>
    <w:p w14:paraId="2AEBD4BA" w14:textId="77777777" w:rsidR="00D21BEE" w:rsidRDefault="00D21BEE">
      <w:pPr>
        <w:rPr>
          <w:rFonts w:hint="eastAsia"/>
          <w:lang w:eastAsia="zh-CN"/>
        </w:rPr>
      </w:pPr>
    </w:p>
    <w:p w14:paraId="344CA5E2" w14:textId="77777777" w:rsidR="00D21BEE" w:rsidRDefault="00D21BEE">
      <w:pPr>
        <w:rPr>
          <w:rFonts w:hint="eastAsia"/>
          <w:lang w:eastAsia="zh-CN"/>
        </w:rPr>
      </w:pPr>
    </w:p>
    <w:p w14:paraId="7B849F6C" w14:textId="77777777" w:rsidR="00D21BEE" w:rsidRDefault="00D21BEE">
      <w:pPr>
        <w:rPr>
          <w:rFonts w:hint="eastAsia"/>
          <w:lang w:eastAsia="zh-CN"/>
        </w:rPr>
      </w:pPr>
    </w:p>
    <w:p w14:paraId="29E4E7A6" w14:textId="77777777" w:rsidR="00D21BEE" w:rsidRDefault="00000000">
      <w:pPr>
        <w:jc w:val="center"/>
        <w:rPr>
          <w:rFonts w:hint="eastAsia"/>
          <w:lang w:eastAsia="zh-CN"/>
        </w:rPr>
      </w:pPr>
      <w:r>
        <w:rPr>
          <w:color w:val="646464"/>
          <w:sz w:val="28"/>
          <w:lang w:eastAsia="zh-CN"/>
        </w:rPr>
        <w:t>2025年6月</w:t>
      </w:r>
    </w:p>
    <w:p w14:paraId="4D97970F" w14:textId="77777777" w:rsidR="00D21BEE" w:rsidRDefault="00000000">
      <w:pPr>
        <w:rPr>
          <w:rFonts w:hint="eastAsia"/>
          <w:lang w:eastAsia="zh-CN"/>
        </w:rPr>
      </w:pPr>
      <w:r>
        <w:rPr>
          <w:lang w:eastAsia="zh-CN"/>
        </w:rPr>
        <w:br w:type="page"/>
      </w:r>
    </w:p>
    <w:p w14:paraId="4B8AE66D" w14:textId="77777777" w:rsidR="00D21BEE" w:rsidRDefault="00000000">
      <w:pPr>
        <w:spacing w:before="360" w:after="240"/>
        <w:rPr>
          <w:rFonts w:hint="eastAsia"/>
          <w:lang w:eastAsia="zh-CN"/>
        </w:rPr>
      </w:pPr>
      <w:r>
        <w:rPr>
          <w:b/>
          <w:sz w:val="32"/>
          <w:lang w:eastAsia="zh-CN"/>
        </w:rPr>
        <w:lastRenderedPageBreak/>
        <w:t>第四章  总体技术架构：云-边-端协同、数字孪生与多智能体</w:t>
      </w:r>
    </w:p>
    <w:p w14:paraId="2AB6C47B" w14:textId="77777777" w:rsidR="00D21BEE" w:rsidRDefault="00000000">
      <w:pPr>
        <w:spacing w:before="280" w:after="200"/>
        <w:rPr>
          <w:rFonts w:hint="eastAsia"/>
          <w:lang w:eastAsia="zh-CN"/>
        </w:rPr>
      </w:pPr>
      <w:r>
        <w:rPr>
          <w:b/>
          <w:sz w:val="28"/>
          <w:lang w:eastAsia="zh-CN"/>
        </w:rPr>
        <w:t>4.1 云-边-端协同架构总述</w:t>
      </w:r>
    </w:p>
    <w:p w14:paraId="409C7734" w14:textId="77777777" w:rsidR="00D21BEE" w:rsidRDefault="00000000">
      <w:pPr>
        <w:ind w:firstLine="482"/>
        <w:rPr>
          <w:rFonts w:hint="eastAsia"/>
          <w:lang w:eastAsia="zh-CN"/>
        </w:rPr>
      </w:pPr>
      <w:r>
        <w:rPr>
          <w:lang w:eastAsia="zh-CN"/>
        </w:rPr>
        <w:t>水网智能调控与自主运行系统采用“云-边-端”三层协同架构，这是当前工业物联网（IIoT）领域的主流架构范式[1]，也是应对水网系统“地理分散、时间多尺度、安全关键”三大特征的最优架构选择。与传统的集中式SCADA架构相比，云-边-端架构的核心优势在于：通过计算能力的分层部署实现“时空分粒度匹配”——毫秒级的设备保护在端侧就近完成，秒级的区域协调在边侧处理，小时级的全局优化在云侧执行[2]。这种“能在下层做的不推到上层”的设计原则，最大限度地降低了对网络通信的依赖，增强了系统的鲁棒性。</w:t>
      </w:r>
    </w:p>
    <w:p w14:paraId="4D95DB88" w14:textId="36BE03F9" w:rsidR="00D21BEE" w:rsidRDefault="00000000">
      <w:pPr>
        <w:ind w:firstLine="482"/>
        <w:rPr>
          <w:rFonts w:hint="eastAsia"/>
          <w:lang w:eastAsia="zh-CN"/>
        </w:rPr>
      </w:pPr>
      <w:r>
        <w:rPr>
          <w:lang w:eastAsia="zh-CN"/>
        </w:rPr>
        <w:t>云侧（Cloud Layer）是整个系统的“大脑”，承载</w:t>
      </w:r>
      <w:r w:rsidRPr="00D81442">
        <w:rPr>
          <w:b/>
          <w:bCs/>
          <w:lang w:eastAsia="zh-CN"/>
        </w:rPr>
        <w:t>全局态势感知</w:t>
      </w:r>
      <w:r>
        <w:rPr>
          <w:lang w:eastAsia="zh-CN"/>
        </w:rPr>
        <w:t>、</w:t>
      </w:r>
      <w:r w:rsidRPr="00D81442">
        <w:rPr>
          <w:b/>
          <w:bCs/>
          <w:lang w:eastAsia="zh-CN"/>
        </w:rPr>
        <w:t>长周期滚动优化</w:t>
      </w:r>
      <w:r>
        <w:rPr>
          <w:lang w:eastAsia="zh-CN"/>
        </w:rPr>
        <w:t>、</w:t>
      </w:r>
      <w:r w:rsidRPr="00D81442">
        <w:rPr>
          <w:b/>
          <w:bCs/>
          <w:lang w:eastAsia="zh-CN"/>
        </w:rPr>
        <w:t>知识图谱管理</w:t>
      </w:r>
      <w:r>
        <w:rPr>
          <w:lang w:eastAsia="zh-CN"/>
        </w:rPr>
        <w:t>与</w:t>
      </w:r>
      <w:r w:rsidRPr="00D81442">
        <w:rPr>
          <w:b/>
          <w:bCs/>
          <w:lang w:eastAsia="zh-CN"/>
        </w:rPr>
        <w:t>大模型服务</w:t>
      </w:r>
      <w:r>
        <w:rPr>
          <w:lang w:eastAsia="zh-CN"/>
        </w:rPr>
        <w:t>等高层功能。在水网自主运行场景中，云侧的核心任务包括：</w:t>
      </w:r>
      <w:r w:rsidRPr="00D81442">
        <w:rPr>
          <w:b/>
          <w:bCs/>
          <w:lang w:eastAsia="zh-CN"/>
        </w:rPr>
        <w:t>基于数字孪生的全网状态重构与预测</w:t>
      </w:r>
      <w:r>
        <w:rPr>
          <w:lang w:eastAsia="zh-CN"/>
        </w:rPr>
        <w:t>，</w:t>
      </w:r>
      <w:r w:rsidRPr="00D81442">
        <w:rPr>
          <w:b/>
          <w:bCs/>
          <w:lang w:eastAsia="zh-CN"/>
        </w:rPr>
        <w:t>多目标滚动优化调度（典型时间尺度为小时到天）</w:t>
      </w:r>
      <w:r>
        <w:rPr>
          <w:lang w:eastAsia="zh-CN"/>
        </w:rPr>
        <w:t>，</w:t>
      </w:r>
      <w:r w:rsidRPr="00D81442">
        <w:rPr>
          <w:b/>
          <w:bCs/>
          <w:lang w:eastAsia="zh-CN"/>
        </w:rPr>
        <w:t>场景库管理与在线学习</w:t>
      </w:r>
      <w:r>
        <w:rPr>
          <w:lang w:eastAsia="zh-CN"/>
        </w:rPr>
        <w:t>，以及</w:t>
      </w:r>
      <w:r w:rsidRPr="00D81442">
        <w:rPr>
          <w:b/>
          <w:bCs/>
          <w:lang w:eastAsia="zh-CN"/>
        </w:rPr>
        <w:t>模型版本管理与追溯审计</w:t>
      </w:r>
      <w:r>
        <w:rPr>
          <w:lang w:eastAsia="zh-CN"/>
        </w:rPr>
        <w:t>。云侧部署在流域级</w:t>
      </w:r>
      <w:r w:rsidR="007352B5">
        <w:rPr>
          <w:rFonts w:hint="eastAsia"/>
          <w:lang w:eastAsia="zh-CN"/>
        </w:rPr>
        <w:t>或水利工程群</w:t>
      </w:r>
      <w:r>
        <w:rPr>
          <w:lang w:eastAsia="zh-CN"/>
        </w:rPr>
        <w:t>调度中心的高性能计算集群上，典型算力需求为百TFLOPS级别[3]。云侧还负责与外部系统（如气象预报、水文预报、用水需求预测等）的数据对接，将外部信息融入全局优化决策。</w:t>
      </w:r>
    </w:p>
    <w:p w14:paraId="0913E1DA" w14:textId="710246F8" w:rsidR="00D21BEE" w:rsidRDefault="00000000">
      <w:pPr>
        <w:ind w:firstLine="482"/>
        <w:rPr>
          <w:rFonts w:hint="eastAsia"/>
          <w:lang w:eastAsia="zh-CN"/>
        </w:rPr>
      </w:pPr>
      <w:r>
        <w:rPr>
          <w:lang w:eastAsia="zh-CN"/>
        </w:rPr>
        <w:t>边侧（Edge Layer）是区域级的“协调中心”，部署在分控中心或关键</w:t>
      </w:r>
      <w:r w:rsidR="007C1688">
        <w:rPr>
          <w:rFonts w:hint="eastAsia"/>
          <w:lang w:eastAsia="zh-CN"/>
        </w:rPr>
        <w:t>闸</w:t>
      </w:r>
      <w:r>
        <w:rPr>
          <w:lang w:eastAsia="zh-CN"/>
        </w:rPr>
        <w:t>泵</w:t>
      </w:r>
      <w:r w:rsidR="007C1688">
        <w:rPr>
          <w:rFonts w:hint="eastAsia"/>
          <w:lang w:eastAsia="zh-CN"/>
        </w:rPr>
        <w:t>阀水电</w:t>
      </w:r>
      <w:r>
        <w:rPr>
          <w:lang w:eastAsia="zh-CN"/>
        </w:rPr>
        <w:t>站群附近。边侧承载</w:t>
      </w:r>
      <w:r w:rsidRPr="00B94227">
        <w:rPr>
          <w:b/>
          <w:bCs/>
          <w:lang w:eastAsia="zh-CN"/>
        </w:rPr>
        <w:t>区域性的实时协调决策</w:t>
      </w:r>
      <w:r>
        <w:rPr>
          <w:lang w:eastAsia="zh-CN"/>
        </w:rPr>
        <w:t>、</w:t>
      </w:r>
      <w:r w:rsidRPr="00B94227">
        <w:rPr>
          <w:b/>
          <w:bCs/>
          <w:lang w:eastAsia="zh-CN"/>
        </w:rPr>
        <w:t>局部数据清洗与融合</w:t>
      </w:r>
      <w:r>
        <w:rPr>
          <w:lang w:eastAsia="zh-CN"/>
        </w:rPr>
        <w:t>、以及</w:t>
      </w:r>
      <w:r w:rsidRPr="00B94227">
        <w:rPr>
          <w:b/>
          <w:bCs/>
          <w:lang w:eastAsia="zh-CN"/>
        </w:rPr>
        <w:t>快速响应策略执行</w:t>
      </w:r>
      <w:r>
        <w:rPr>
          <w:lang w:eastAsia="zh-CN"/>
        </w:rPr>
        <w:t>等功能。在南水北调中线工程场景中，每个管理处可作为一个边缘节点，负责管辖范围内约10～15个节制闸的协调控制。边侧的典型时间尺度为秒到分钟，算力需求为十TFLOPS级别，通常采用工业级边缘计算服务器部署[4]。边侧的设计需要充分考虑断网自治能力，即在与云侧失联时仍能维持安全的区域运行。</w:t>
      </w:r>
    </w:p>
    <w:p w14:paraId="5ACC1BD2" w14:textId="77777777" w:rsidR="00D21BEE" w:rsidRDefault="00000000">
      <w:pPr>
        <w:ind w:firstLine="482"/>
        <w:rPr>
          <w:rFonts w:hint="eastAsia"/>
          <w:lang w:eastAsia="zh-CN"/>
        </w:rPr>
      </w:pPr>
      <w:r>
        <w:rPr>
          <w:lang w:eastAsia="zh-CN"/>
        </w:rPr>
        <w:t>端侧（Device Layer）是控制执行的“手脚”，由现地控制器（PLC/RTU/MCU）构成，直接连接传感器和执行机构。端侧承担</w:t>
      </w:r>
      <w:r w:rsidRPr="000911CF">
        <w:rPr>
          <w:b/>
          <w:bCs/>
          <w:lang w:eastAsia="zh-CN"/>
        </w:rPr>
        <w:t>毫秒级的执行闭环控制</w:t>
      </w:r>
      <w:r>
        <w:rPr>
          <w:lang w:eastAsia="zh-CN"/>
        </w:rPr>
        <w:t>与</w:t>
      </w:r>
      <w:r w:rsidRPr="000911CF">
        <w:rPr>
          <w:b/>
          <w:bCs/>
          <w:lang w:eastAsia="zh-CN"/>
        </w:rPr>
        <w:t>设备保护</w:t>
      </w:r>
      <w:r>
        <w:rPr>
          <w:lang w:eastAsia="zh-CN"/>
        </w:rPr>
        <w:t>功能。在闸站控制中，端侧PLC负责闸门开度的精确控制、设备状态监测以及紧急停机保护。端侧设计的核心原则是“确定性与可靠性”——每个控制周期必须在确定的时间内完成，软件逻辑必须经过形式化验证[5]。三层之间通过标准化接口（API/OPC UA/MQTT等）实现数据交换和指令传递。</w:t>
      </w:r>
    </w:p>
    <w:p w14:paraId="217B1230" w14:textId="77777777" w:rsidR="001649E0" w:rsidRDefault="00000000">
      <w:pPr>
        <w:ind w:firstLine="482"/>
        <w:rPr>
          <w:rFonts w:hint="eastAsia"/>
          <w:lang w:eastAsia="zh-CN"/>
        </w:rPr>
      </w:pPr>
      <w:r>
        <w:rPr>
          <w:lang w:eastAsia="zh-CN"/>
        </w:rPr>
        <w:t>三层架构的关键设计原则可以概括为三条。</w:t>
      </w:r>
    </w:p>
    <w:p w14:paraId="7D7F86E3" w14:textId="77777777" w:rsidR="001649E0" w:rsidRDefault="00000000">
      <w:pPr>
        <w:ind w:firstLine="482"/>
        <w:rPr>
          <w:rFonts w:hint="eastAsia"/>
          <w:lang w:eastAsia="zh-CN"/>
        </w:rPr>
      </w:pPr>
      <w:r>
        <w:rPr>
          <w:lang w:eastAsia="zh-CN"/>
        </w:rPr>
        <w:t>第一，“能在下层做的不推到上层”——减少对网络通信的依赖，增强局部自治能力。</w:t>
      </w:r>
    </w:p>
    <w:p w14:paraId="1CC1D463" w14:textId="77777777" w:rsidR="001649E0" w:rsidRDefault="00000000">
      <w:pPr>
        <w:ind w:firstLine="482"/>
        <w:rPr>
          <w:rFonts w:hint="eastAsia"/>
          <w:lang w:eastAsia="zh-CN"/>
        </w:rPr>
      </w:pPr>
      <w:r>
        <w:rPr>
          <w:lang w:eastAsia="zh-CN"/>
        </w:rPr>
        <w:lastRenderedPageBreak/>
        <w:t>第二，“上层优化、下层约束”——上层调度结果以“目标+约束”形式下发到下层，下层在约束范围内自主决策。</w:t>
      </w:r>
    </w:p>
    <w:p w14:paraId="635426E5" w14:textId="2066A482" w:rsidR="00D21BEE" w:rsidRDefault="00000000">
      <w:pPr>
        <w:ind w:firstLine="482"/>
        <w:rPr>
          <w:rFonts w:hint="eastAsia"/>
          <w:lang w:eastAsia="zh-CN"/>
        </w:rPr>
      </w:pPr>
      <w:r>
        <w:rPr>
          <w:lang w:eastAsia="zh-CN"/>
        </w:rPr>
        <w:t>第三，“降级保护”——任何一层失联时，下层都有预定义的降级运行策略。这三条原则直接借鉴了航空航天领域的“分层自主”设计理念[6]。</w:t>
      </w:r>
    </w:p>
    <w:p w14:paraId="2E6516B4" w14:textId="77777777" w:rsidR="00D21BEE" w:rsidRDefault="00000000">
      <w:pPr>
        <w:ind w:firstLine="482"/>
        <w:rPr>
          <w:rFonts w:hint="eastAsia"/>
          <w:lang w:eastAsia="zh-CN"/>
        </w:rPr>
      </w:pPr>
      <w:r>
        <w:rPr>
          <w:lang w:eastAsia="zh-CN"/>
        </w:rPr>
        <w:t>表4-1展示了云-边-端三层架构的核心参数对比。</w:t>
      </w:r>
    </w:p>
    <w:tbl>
      <w:tblPr>
        <w:tblW w:w="0" w:type="auto"/>
        <w:jc w:val="center"/>
        <w:tblLook w:val="04A0" w:firstRow="1" w:lastRow="0" w:firstColumn="1" w:lastColumn="0" w:noHBand="0" w:noVBand="1"/>
      </w:tblPr>
      <w:tblGrid>
        <w:gridCol w:w="1417"/>
        <w:gridCol w:w="1417"/>
        <w:gridCol w:w="1417"/>
        <w:gridCol w:w="1716"/>
        <w:gridCol w:w="3118"/>
      </w:tblGrid>
      <w:tr w:rsidR="00D21BEE" w14:paraId="66936764" w14:textId="77777777">
        <w:trPr>
          <w:jc w:val="center"/>
        </w:trPr>
        <w:tc>
          <w:tcPr>
            <w:tcW w:w="1417" w:type="dxa"/>
            <w:shd w:val="clear" w:color="auto" w:fill="1F4E79"/>
          </w:tcPr>
          <w:p w14:paraId="7724C65D" w14:textId="77777777" w:rsidR="00D21BEE" w:rsidRDefault="00000000">
            <w:pPr>
              <w:jc w:val="center"/>
              <w:rPr>
                <w:rFonts w:hint="eastAsia"/>
              </w:rPr>
            </w:pPr>
            <w:r>
              <w:rPr>
                <w:b/>
                <w:color w:val="FFFFFF"/>
                <w:sz w:val="21"/>
              </w:rPr>
              <w:t>架构层</w:t>
            </w:r>
          </w:p>
        </w:tc>
        <w:tc>
          <w:tcPr>
            <w:tcW w:w="1417" w:type="dxa"/>
            <w:shd w:val="clear" w:color="auto" w:fill="1F4E79"/>
          </w:tcPr>
          <w:p w14:paraId="58DAC8DB" w14:textId="77777777" w:rsidR="00D21BEE" w:rsidRDefault="00000000">
            <w:pPr>
              <w:jc w:val="center"/>
              <w:rPr>
                <w:rFonts w:hint="eastAsia"/>
              </w:rPr>
            </w:pPr>
            <w:r>
              <w:rPr>
                <w:b/>
                <w:color w:val="FFFFFF"/>
                <w:sz w:val="21"/>
              </w:rPr>
              <w:t>典型时间尺度</w:t>
            </w:r>
          </w:p>
        </w:tc>
        <w:tc>
          <w:tcPr>
            <w:tcW w:w="1417" w:type="dxa"/>
            <w:shd w:val="clear" w:color="auto" w:fill="1F4E79"/>
          </w:tcPr>
          <w:p w14:paraId="5C586920" w14:textId="77777777" w:rsidR="00D21BEE" w:rsidRDefault="00000000">
            <w:pPr>
              <w:jc w:val="center"/>
              <w:rPr>
                <w:rFonts w:hint="eastAsia"/>
              </w:rPr>
            </w:pPr>
            <w:r>
              <w:rPr>
                <w:b/>
                <w:color w:val="FFFFFF"/>
                <w:sz w:val="21"/>
              </w:rPr>
              <w:t>算力需求</w:t>
            </w:r>
          </w:p>
        </w:tc>
        <w:tc>
          <w:tcPr>
            <w:tcW w:w="1701" w:type="dxa"/>
            <w:shd w:val="clear" w:color="auto" w:fill="1F4E79"/>
          </w:tcPr>
          <w:p w14:paraId="46C5DC39" w14:textId="77777777" w:rsidR="00D21BEE" w:rsidRDefault="00000000">
            <w:pPr>
              <w:jc w:val="center"/>
              <w:rPr>
                <w:rFonts w:hint="eastAsia"/>
              </w:rPr>
            </w:pPr>
            <w:r>
              <w:rPr>
                <w:b/>
                <w:color w:val="FFFFFF"/>
                <w:sz w:val="21"/>
              </w:rPr>
              <w:t>通信协议</w:t>
            </w:r>
          </w:p>
        </w:tc>
        <w:tc>
          <w:tcPr>
            <w:tcW w:w="3118" w:type="dxa"/>
            <w:shd w:val="clear" w:color="auto" w:fill="1F4E79"/>
          </w:tcPr>
          <w:p w14:paraId="2F9E4A41" w14:textId="77777777" w:rsidR="00D21BEE" w:rsidRDefault="00000000">
            <w:pPr>
              <w:jc w:val="center"/>
              <w:rPr>
                <w:rFonts w:hint="eastAsia"/>
              </w:rPr>
            </w:pPr>
            <w:r>
              <w:rPr>
                <w:b/>
                <w:color w:val="FFFFFF"/>
                <w:sz w:val="21"/>
              </w:rPr>
              <w:t>核心功能</w:t>
            </w:r>
          </w:p>
        </w:tc>
      </w:tr>
      <w:tr w:rsidR="00D21BEE" w14:paraId="2DA8FF18" w14:textId="77777777">
        <w:trPr>
          <w:jc w:val="center"/>
        </w:trPr>
        <w:tc>
          <w:tcPr>
            <w:tcW w:w="1417" w:type="dxa"/>
            <w:shd w:val="clear" w:color="auto" w:fill="D6E4F0"/>
          </w:tcPr>
          <w:p w14:paraId="3FF267FB" w14:textId="77777777" w:rsidR="00D21BEE" w:rsidRDefault="00000000">
            <w:pPr>
              <w:jc w:val="center"/>
              <w:rPr>
                <w:rFonts w:hint="eastAsia"/>
              </w:rPr>
            </w:pPr>
            <w:r>
              <w:rPr>
                <w:sz w:val="20"/>
              </w:rPr>
              <w:t>云侧</w:t>
            </w:r>
          </w:p>
        </w:tc>
        <w:tc>
          <w:tcPr>
            <w:tcW w:w="1417" w:type="dxa"/>
            <w:shd w:val="clear" w:color="auto" w:fill="D6E4F0"/>
          </w:tcPr>
          <w:p w14:paraId="518BDD4D" w14:textId="77777777" w:rsidR="00D21BEE" w:rsidRDefault="00000000">
            <w:pPr>
              <w:jc w:val="center"/>
              <w:rPr>
                <w:rFonts w:hint="eastAsia"/>
              </w:rPr>
            </w:pPr>
            <w:r>
              <w:rPr>
                <w:sz w:val="20"/>
              </w:rPr>
              <w:t>小时～天</w:t>
            </w:r>
          </w:p>
        </w:tc>
        <w:tc>
          <w:tcPr>
            <w:tcW w:w="1417" w:type="dxa"/>
            <w:shd w:val="clear" w:color="auto" w:fill="D6E4F0"/>
          </w:tcPr>
          <w:p w14:paraId="7DB5B9FF" w14:textId="77777777" w:rsidR="00D21BEE" w:rsidRDefault="00000000">
            <w:pPr>
              <w:jc w:val="center"/>
              <w:rPr>
                <w:rFonts w:hint="eastAsia"/>
              </w:rPr>
            </w:pPr>
            <w:r>
              <w:rPr>
                <w:sz w:val="20"/>
              </w:rPr>
              <w:t>百TFLOPS</w:t>
            </w:r>
          </w:p>
        </w:tc>
        <w:tc>
          <w:tcPr>
            <w:tcW w:w="1701" w:type="dxa"/>
            <w:shd w:val="clear" w:color="auto" w:fill="D6E4F0"/>
          </w:tcPr>
          <w:p w14:paraId="3FAD6279" w14:textId="77777777" w:rsidR="00D21BEE" w:rsidRDefault="00000000">
            <w:pPr>
              <w:jc w:val="center"/>
              <w:rPr>
                <w:rFonts w:hint="eastAsia"/>
              </w:rPr>
            </w:pPr>
            <w:r>
              <w:rPr>
                <w:sz w:val="20"/>
              </w:rPr>
              <w:t>RESTful/gRPC</w:t>
            </w:r>
          </w:p>
        </w:tc>
        <w:tc>
          <w:tcPr>
            <w:tcW w:w="3118" w:type="dxa"/>
            <w:shd w:val="clear" w:color="auto" w:fill="D6E4F0"/>
          </w:tcPr>
          <w:p w14:paraId="79A79917" w14:textId="77777777" w:rsidR="00D21BEE" w:rsidRDefault="00000000">
            <w:pPr>
              <w:jc w:val="center"/>
              <w:rPr>
                <w:rFonts w:hint="eastAsia"/>
                <w:lang w:eastAsia="zh-CN"/>
              </w:rPr>
            </w:pPr>
            <w:r>
              <w:rPr>
                <w:sz w:val="20"/>
                <w:lang w:eastAsia="zh-CN"/>
              </w:rPr>
              <w:t>全局优化、数字孪生、场景管理</w:t>
            </w:r>
          </w:p>
        </w:tc>
      </w:tr>
      <w:tr w:rsidR="00D21BEE" w14:paraId="1567A993" w14:textId="77777777">
        <w:trPr>
          <w:jc w:val="center"/>
        </w:trPr>
        <w:tc>
          <w:tcPr>
            <w:tcW w:w="1417" w:type="dxa"/>
          </w:tcPr>
          <w:p w14:paraId="474EF962" w14:textId="77777777" w:rsidR="00D21BEE" w:rsidRDefault="00000000">
            <w:pPr>
              <w:jc w:val="center"/>
              <w:rPr>
                <w:rFonts w:hint="eastAsia"/>
              </w:rPr>
            </w:pPr>
            <w:r>
              <w:rPr>
                <w:sz w:val="20"/>
              </w:rPr>
              <w:t>边侧</w:t>
            </w:r>
          </w:p>
        </w:tc>
        <w:tc>
          <w:tcPr>
            <w:tcW w:w="1417" w:type="dxa"/>
          </w:tcPr>
          <w:p w14:paraId="3BC21140" w14:textId="77777777" w:rsidR="00D21BEE" w:rsidRDefault="00000000">
            <w:pPr>
              <w:jc w:val="center"/>
              <w:rPr>
                <w:rFonts w:hint="eastAsia"/>
              </w:rPr>
            </w:pPr>
            <w:r>
              <w:rPr>
                <w:sz w:val="20"/>
              </w:rPr>
              <w:t>秒～分钟</w:t>
            </w:r>
          </w:p>
        </w:tc>
        <w:tc>
          <w:tcPr>
            <w:tcW w:w="1417" w:type="dxa"/>
          </w:tcPr>
          <w:p w14:paraId="1F1C8644" w14:textId="77777777" w:rsidR="00D21BEE" w:rsidRDefault="00000000">
            <w:pPr>
              <w:jc w:val="center"/>
              <w:rPr>
                <w:rFonts w:hint="eastAsia"/>
              </w:rPr>
            </w:pPr>
            <w:r>
              <w:rPr>
                <w:sz w:val="20"/>
              </w:rPr>
              <w:t>十TFLOPS</w:t>
            </w:r>
          </w:p>
        </w:tc>
        <w:tc>
          <w:tcPr>
            <w:tcW w:w="1701" w:type="dxa"/>
          </w:tcPr>
          <w:p w14:paraId="24579328" w14:textId="77777777" w:rsidR="00D21BEE" w:rsidRDefault="00000000">
            <w:pPr>
              <w:jc w:val="center"/>
              <w:rPr>
                <w:rFonts w:hint="eastAsia"/>
              </w:rPr>
            </w:pPr>
            <w:r>
              <w:rPr>
                <w:sz w:val="20"/>
              </w:rPr>
              <w:t>OPC UA/MQTT</w:t>
            </w:r>
          </w:p>
        </w:tc>
        <w:tc>
          <w:tcPr>
            <w:tcW w:w="3118" w:type="dxa"/>
          </w:tcPr>
          <w:p w14:paraId="4EB51EB3" w14:textId="77777777" w:rsidR="00D21BEE" w:rsidRDefault="00000000">
            <w:pPr>
              <w:jc w:val="center"/>
              <w:rPr>
                <w:rFonts w:hint="eastAsia"/>
                <w:lang w:eastAsia="zh-CN"/>
              </w:rPr>
            </w:pPr>
            <w:r>
              <w:rPr>
                <w:sz w:val="20"/>
                <w:lang w:eastAsia="zh-CN"/>
              </w:rPr>
              <w:t>区域协调、数据融合、快速响应</w:t>
            </w:r>
          </w:p>
        </w:tc>
      </w:tr>
      <w:tr w:rsidR="00D21BEE" w14:paraId="4D2A2EBA" w14:textId="77777777">
        <w:trPr>
          <w:jc w:val="center"/>
        </w:trPr>
        <w:tc>
          <w:tcPr>
            <w:tcW w:w="1417" w:type="dxa"/>
            <w:shd w:val="clear" w:color="auto" w:fill="D6E4F0"/>
          </w:tcPr>
          <w:p w14:paraId="44E11922" w14:textId="77777777" w:rsidR="00D21BEE" w:rsidRDefault="00000000">
            <w:pPr>
              <w:jc w:val="center"/>
              <w:rPr>
                <w:rFonts w:hint="eastAsia"/>
              </w:rPr>
            </w:pPr>
            <w:r>
              <w:rPr>
                <w:sz w:val="20"/>
              </w:rPr>
              <w:t>端侧</w:t>
            </w:r>
          </w:p>
        </w:tc>
        <w:tc>
          <w:tcPr>
            <w:tcW w:w="1417" w:type="dxa"/>
            <w:shd w:val="clear" w:color="auto" w:fill="D6E4F0"/>
          </w:tcPr>
          <w:p w14:paraId="0A8E180E" w14:textId="77777777" w:rsidR="00D21BEE" w:rsidRDefault="00000000">
            <w:pPr>
              <w:jc w:val="center"/>
              <w:rPr>
                <w:rFonts w:hint="eastAsia"/>
              </w:rPr>
            </w:pPr>
            <w:r>
              <w:rPr>
                <w:sz w:val="20"/>
              </w:rPr>
              <w:t>毫秒级</w:t>
            </w:r>
          </w:p>
        </w:tc>
        <w:tc>
          <w:tcPr>
            <w:tcW w:w="1417" w:type="dxa"/>
            <w:shd w:val="clear" w:color="auto" w:fill="D6E4F0"/>
          </w:tcPr>
          <w:p w14:paraId="083D7761" w14:textId="77777777" w:rsidR="00D21BEE" w:rsidRDefault="00000000">
            <w:pPr>
              <w:jc w:val="center"/>
              <w:rPr>
                <w:rFonts w:hint="eastAsia"/>
              </w:rPr>
            </w:pPr>
            <w:r>
              <w:rPr>
                <w:sz w:val="20"/>
              </w:rPr>
              <w:t>MFLOPS</w:t>
            </w:r>
          </w:p>
        </w:tc>
        <w:tc>
          <w:tcPr>
            <w:tcW w:w="1701" w:type="dxa"/>
            <w:shd w:val="clear" w:color="auto" w:fill="D6E4F0"/>
          </w:tcPr>
          <w:p w14:paraId="391970BF" w14:textId="77777777" w:rsidR="00D21BEE" w:rsidRDefault="00000000">
            <w:pPr>
              <w:jc w:val="center"/>
              <w:rPr>
                <w:rFonts w:hint="eastAsia"/>
              </w:rPr>
            </w:pPr>
            <w:r>
              <w:rPr>
                <w:sz w:val="20"/>
              </w:rPr>
              <w:t>Modbus/EtherCAT</w:t>
            </w:r>
          </w:p>
        </w:tc>
        <w:tc>
          <w:tcPr>
            <w:tcW w:w="3118" w:type="dxa"/>
            <w:shd w:val="clear" w:color="auto" w:fill="D6E4F0"/>
          </w:tcPr>
          <w:p w14:paraId="2007252F" w14:textId="77777777" w:rsidR="00D21BEE" w:rsidRDefault="00000000">
            <w:pPr>
              <w:jc w:val="center"/>
              <w:rPr>
                <w:rFonts w:hint="eastAsia"/>
                <w:lang w:eastAsia="zh-CN"/>
              </w:rPr>
            </w:pPr>
            <w:r>
              <w:rPr>
                <w:sz w:val="20"/>
                <w:lang w:eastAsia="zh-CN"/>
              </w:rPr>
              <w:t>执行控制、设备保护、紧急停机</w:t>
            </w:r>
          </w:p>
        </w:tc>
      </w:tr>
    </w:tbl>
    <w:p w14:paraId="664F6751" w14:textId="77777777" w:rsidR="00D21BEE" w:rsidRDefault="00000000">
      <w:pPr>
        <w:jc w:val="center"/>
        <w:rPr>
          <w:rFonts w:hint="eastAsia"/>
          <w:lang w:eastAsia="zh-CN"/>
        </w:rPr>
      </w:pPr>
      <w:r>
        <w:rPr>
          <w:b/>
          <w:sz w:val="20"/>
          <w:lang w:eastAsia="zh-CN"/>
        </w:rPr>
        <w:t>表4-1  云-边-端三层架构核心参数对比</w:t>
      </w:r>
    </w:p>
    <w:p w14:paraId="0F3B6EC9" w14:textId="77777777" w:rsidR="00D21BEE" w:rsidRDefault="00000000">
      <w:pPr>
        <w:spacing w:before="200" w:after="160"/>
        <w:rPr>
          <w:rFonts w:hint="eastAsia"/>
          <w:lang w:eastAsia="zh-CN"/>
        </w:rPr>
      </w:pPr>
      <w:r>
        <w:rPr>
          <w:b/>
          <w:sz w:val="26"/>
          <w:lang w:eastAsia="zh-CN"/>
        </w:rPr>
        <w:t>4.1.1 通信协议选型与可靠性设计</w:t>
      </w:r>
    </w:p>
    <w:p w14:paraId="7615DF1F" w14:textId="77777777" w:rsidR="00D21BEE" w:rsidRDefault="00000000">
      <w:pPr>
        <w:ind w:firstLine="482"/>
        <w:rPr>
          <w:rFonts w:hint="eastAsia"/>
          <w:lang w:eastAsia="zh-CN"/>
        </w:rPr>
      </w:pPr>
      <w:r>
        <w:rPr>
          <w:lang w:eastAsia="zh-CN"/>
        </w:rPr>
        <w:t>云-边通信建议采用OPC UA over MQTT（Sparkplug B规范），兼顾语义丰富性和传输可靠性[7]。OPC UA提供标准化的信息模型和安全框架（身份认证、传输加密、审计日志），MQTT提供轻量级的发布-订阅传输机制，两者结合可在复杂网络环境下实现可靠的数据交换。典型配置包括：MQTT Broker采用双机热备部署，消息持久化存储采用时序数据库（如InfluxDB或TimescaleDB），关键控制指令采用QoS 2级别确保“恰好一次”语义[8]。消息格式建议采用Protobuf序列化，相较于JSON可减少约60%的传输带宽占用，对于带宽受限的野外站点尤为重要。</w:t>
      </w:r>
    </w:p>
    <w:p w14:paraId="401D9AC1" w14:textId="77777777" w:rsidR="00D21BEE" w:rsidRDefault="00000000">
      <w:pPr>
        <w:ind w:firstLine="482"/>
        <w:rPr>
          <w:rFonts w:hint="eastAsia"/>
          <w:lang w:eastAsia="zh-CN"/>
        </w:rPr>
      </w:pPr>
      <w:r>
        <w:rPr>
          <w:lang w:eastAsia="zh-CN"/>
        </w:rPr>
        <w:t>边-端通信对于现有水利工程通常保留Modbus TCP/RTU协议，考虑到大量存量PLC设备的兼容性需求；新建工程建议采用IEC 61131-3兼容的工业以太网协议，如EtherCAT或PROFINET，以支持更高的通信带宽和更低的延迟。通信可靠性的量化要求包括：控制指令传输的端到端延迟不超过50ms（边-端）和不超过1s（云-边）；数据传输可用率不低于99.9%（边-端）和99.5%（云-边）[9]。这一指标体系参考了电力系统自动化的IEC 61850标准，并根据水利系统的实际时间常数进行了适当放宽。为确保通信安全，所有跨层通信均需采用TLS 1.3加密传输，控制指令附加数字签名。</w:t>
      </w:r>
    </w:p>
    <w:p w14:paraId="4AC6A692" w14:textId="77777777" w:rsidR="00D21BEE" w:rsidRDefault="00000000">
      <w:pPr>
        <w:spacing w:before="200" w:after="160"/>
        <w:rPr>
          <w:rFonts w:hint="eastAsia"/>
          <w:lang w:eastAsia="zh-CN"/>
        </w:rPr>
      </w:pPr>
      <w:r>
        <w:rPr>
          <w:b/>
          <w:sz w:val="26"/>
          <w:lang w:eastAsia="zh-CN"/>
        </w:rPr>
        <w:t>4.1.2 降级保护与自主决策层级</w:t>
      </w:r>
    </w:p>
    <w:p w14:paraId="41F0FB51" w14:textId="77777777" w:rsidR="00D21BEE" w:rsidRDefault="00000000">
      <w:pPr>
        <w:ind w:firstLine="482"/>
        <w:rPr>
          <w:rFonts w:hint="eastAsia"/>
          <w:lang w:eastAsia="zh-CN"/>
        </w:rPr>
      </w:pPr>
      <w:r>
        <w:rPr>
          <w:lang w:eastAsia="zh-CN"/>
        </w:rPr>
        <w:t>降级保护是自主运行系统可靠性设计的核心，直接决定了系统在异常工况下的行为可预测性。三层架构的降级策略设计如下：云侧失联时，边侧自主运行，使用本地缓存的最新优化方案和预报数据，按“最后有效方案+保守修正”策略继续执行，同时逐步收</w:t>
      </w:r>
      <w:r>
        <w:rPr>
          <w:lang w:eastAsia="zh-CN"/>
        </w:rPr>
        <w:lastRenderedPageBreak/>
        <w:t>紧约束裕度。设计维持时间不少于4小时[10]。在此期间，边侧将降低优化目标的进取性，增加安全裕度，并主动减少分水流量以防止渠道溢出。</w:t>
      </w:r>
    </w:p>
    <w:p w14:paraId="54E628D1" w14:textId="77777777" w:rsidR="00D21BEE" w:rsidRDefault="00000000">
      <w:pPr>
        <w:ind w:firstLine="482"/>
        <w:rPr>
          <w:rFonts w:hint="eastAsia"/>
          <w:lang w:eastAsia="zh-CN"/>
        </w:rPr>
      </w:pPr>
      <w:r>
        <w:rPr>
          <w:lang w:eastAsia="zh-CN"/>
        </w:rPr>
        <w:t>边侧失联时，端侧切换至“独立保护”模式，执行预烧录在PLC中的安全回退策略（如恒开度/恒转速运行、紧急退水闸预开等）。设计维持时间不少于30分钟。端侧自身故障时，物理保护设施接管（溢流堰、机械限位开关、UPS备电等），属于最后一道被动安全屏障。这一三级降级机制借鉴了航空领域的“失效-安全（Fail-Safe）”设计哲学[11]。每一级降级的触发条件、维持策略和恢复流程都需要在设计阶段明确定义，并通过SIL测试验证。</w:t>
      </w:r>
    </w:p>
    <w:p w14:paraId="1CB8C454" w14:textId="77777777" w:rsidR="00D21BEE" w:rsidRDefault="00000000">
      <w:pPr>
        <w:ind w:firstLine="482"/>
        <w:rPr>
          <w:rFonts w:hint="eastAsia"/>
          <w:lang w:eastAsia="zh-CN"/>
        </w:rPr>
      </w:pPr>
      <w:r>
        <w:rPr>
          <w:lang w:eastAsia="zh-CN"/>
        </w:rPr>
        <w:t>降级恢复遵循“逐级确认、渐进恢复”原则：通信恢复后，上级不直接接管控制权，而是先同步当前状态、评估偏差大小，确认安全后才恢复正常控制模式。这一设计借鉴了航空领域自动驾驶仪的“重新接合（re-engagement）”协议[12]。具体而言，恢复过程分为三个阶段：状态同步阶段（上下级交换当前状态信息、消除信息不对称）、偏差评估阶段（计算实际状态与期望状态的偏差，判断是否在安全包络内）、渐进接管阶段（先以较保守的约束运行，确认稳定后逐步放宽至正常模式）。恢复阶段的时间窗口建议不少于降级持续时间的20%，以确保系统平稳过渡。</w:t>
      </w:r>
    </w:p>
    <w:p w14:paraId="77507B4A" w14:textId="77777777" w:rsidR="00D21BEE" w:rsidRDefault="00000000">
      <w:pPr>
        <w:spacing w:before="200" w:after="160"/>
        <w:rPr>
          <w:rFonts w:hint="eastAsia"/>
          <w:lang w:eastAsia="zh-CN"/>
        </w:rPr>
      </w:pPr>
      <w:r>
        <w:rPr>
          <w:b/>
          <w:sz w:val="26"/>
          <w:lang w:eastAsia="zh-CN"/>
        </w:rPr>
        <w:t>4.1.3 与电力系统调度自动化的架构对标</w:t>
      </w:r>
    </w:p>
    <w:p w14:paraId="6596CF99" w14:textId="77777777" w:rsidR="00D21BEE" w:rsidRDefault="00000000">
      <w:pPr>
        <w:ind w:firstLine="482"/>
        <w:rPr>
          <w:rFonts w:hint="eastAsia"/>
          <w:lang w:eastAsia="zh-CN"/>
        </w:rPr>
      </w:pPr>
      <w:r>
        <w:rPr>
          <w:lang w:eastAsia="zh-CN"/>
        </w:rPr>
        <w:t>电力系统的调度自动化经历了超过50年的发展，其架构演化历程对水网自主运行具有重要借鉴价值[13]。电力系统同样采用分层分区的调度架构：国家调度中心→省级调度→地县调度→变电站/发电厂，与水网的“流域调度→管理处→管理所→闸站”结构高度类似。电力系统的EMS（能量管理系统）包含状态估计、经济调度、安全约束等核心功能，与IEC 61970标准定义的CIM（公共信息模型）紧密集成[14]。</w:t>
      </w:r>
    </w:p>
    <w:p w14:paraId="65A71B63" w14:textId="77777777" w:rsidR="00D21BEE" w:rsidRDefault="00000000">
      <w:pPr>
        <w:ind w:firstLine="482"/>
        <w:rPr>
          <w:rFonts w:hint="eastAsia"/>
          <w:lang w:eastAsia="zh-CN"/>
        </w:rPr>
      </w:pPr>
      <w:r>
        <w:rPr>
          <w:lang w:eastAsia="zh-CN"/>
        </w:rPr>
        <w:t>水网与电网的核心差异在于时间常数。电力系统的波动传播速度接近光速，状态变化几乎瞬时传遍全网；而水力波的传播速度仅为数米/秒，南水北调中线全线波动传播时间约为7～10小时。这意味着水网的“状态估计”问题远比电网复杂，因为在任意时刻，不同位置的水网状态对应着不同时刻的输入扰动[15]。另一个关键差异是非线性程度。电力系统在正常运行点附近可以良好地线性化，而明渠水流的Saint-Venant方程具有本质的非线性，特别是在过渡过程和极端工况下，线性化假设可能严重失效[16]。第三个差异在于可逆性：电力系统的控制动作（如发电机出力调整）效果几乎瞬时可逆，而水利系统的控制动作（如闸门调节）效果具有显著的滞后性和不可逆性。</w:t>
      </w:r>
      <w:r>
        <w:t>表4-2对比了水网与电网架构的关键差异。</w:t>
      </w:r>
    </w:p>
    <w:p w14:paraId="4BDEB48B" w14:textId="77777777" w:rsidR="00F65D96" w:rsidRDefault="00F65D96">
      <w:pPr>
        <w:ind w:firstLine="482"/>
        <w:rPr>
          <w:rFonts w:hint="eastAsia"/>
          <w:lang w:eastAsia="zh-CN"/>
        </w:rPr>
      </w:pPr>
    </w:p>
    <w:p w14:paraId="3D3FD20E" w14:textId="77777777" w:rsidR="00F65D96" w:rsidRDefault="00F65D96">
      <w:pPr>
        <w:ind w:firstLine="482"/>
        <w:rPr>
          <w:rFonts w:hint="eastAsia"/>
          <w:lang w:eastAsia="zh-CN"/>
        </w:rPr>
      </w:pPr>
    </w:p>
    <w:tbl>
      <w:tblPr>
        <w:tblW w:w="0" w:type="auto"/>
        <w:jc w:val="center"/>
        <w:tblLook w:val="04A0" w:firstRow="1" w:lastRow="0" w:firstColumn="1" w:lastColumn="0" w:noHBand="0" w:noVBand="1"/>
      </w:tblPr>
      <w:tblGrid>
        <w:gridCol w:w="1417"/>
        <w:gridCol w:w="1984"/>
        <w:gridCol w:w="1984"/>
        <w:gridCol w:w="2268"/>
      </w:tblGrid>
      <w:tr w:rsidR="00D21BEE" w14:paraId="2A0419D3" w14:textId="77777777">
        <w:trPr>
          <w:jc w:val="center"/>
        </w:trPr>
        <w:tc>
          <w:tcPr>
            <w:tcW w:w="1417" w:type="dxa"/>
            <w:shd w:val="clear" w:color="auto" w:fill="1F4E79"/>
          </w:tcPr>
          <w:p w14:paraId="56D29A00" w14:textId="77777777" w:rsidR="00D21BEE" w:rsidRDefault="00000000">
            <w:pPr>
              <w:jc w:val="center"/>
              <w:rPr>
                <w:rFonts w:hint="eastAsia"/>
              </w:rPr>
            </w:pPr>
            <w:r>
              <w:rPr>
                <w:b/>
                <w:color w:val="FFFFFF"/>
                <w:sz w:val="21"/>
              </w:rPr>
              <w:lastRenderedPageBreak/>
              <w:t>对比维度</w:t>
            </w:r>
          </w:p>
        </w:tc>
        <w:tc>
          <w:tcPr>
            <w:tcW w:w="1984" w:type="dxa"/>
            <w:shd w:val="clear" w:color="auto" w:fill="1F4E79"/>
          </w:tcPr>
          <w:p w14:paraId="686AE78F" w14:textId="77777777" w:rsidR="00D21BEE" w:rsidRDefault="00000000">
            <w:pPr>
              <w:jc w:val="center"/>
              <w:rPr>
                <w:rFonts w:hint="eastAsia"/>
              </w:rPr>
            </w:pPr>
            <w:r>
              <w:rPr>
                <w:b/>
                <w:color w:val="FFFFFF"/>
                <w:sz w:val="21"/>
              </w:rPr>
              <w:t>电力系统</w:t>
            </w:r>
          </w:p>
        </w:tc>
        <w:tc>
          <w:tcPr>
            <w:tcW w:w="1984" w:type="dxa"/>
            <w:shd w:val="clear" w:color="auto" w:fill="1F4E79"/>
          </w:tcPr>
          <w:p w14:paraId="684258ED" w14:textId="77777777" w:rsidR="00D21BEE" w:rsidRDefault="00000000">
            <w:pPr>
              <w:jc w:val="center"/>
              <w:rPr>
                <w:rFonts w:hint="eastAsia"/>
              </w:rPr>
            </w:pPr>
            <w:r>
              <w:rPr>
                <w:b/>
                <w:color w:val="FFFFFF"/>
                <w:sz w:val="21"/>
              </w:rPr>
              <w:t>水力系统</w:t>
            </w:r>
          </w:p>
        </w:tc>
        <w:tc>
          <w:tcPr>
            <w:tcW w:w="2268" w:type="dxa"/>
            <w:shd w:val="clear" w:color="auto" w:fill="1F4E79"/>
          </w:tcPr>
          <w:p w14:paraId="545A5F3A" w14:textId="77777777" w:rsidR="00D21BEE" w:rsidRDefault="00000000">
            <w:pPr>
              <w:jc w:val="center"/>
              <w:rPr>
                <w:rFonts w:hint="eastAsia"/>
              </w:rPr>
            </w:pPr>
            <w:r>
              <w:rPr>
                <w:b/>
                <w:color w:val="FFFFFF"/>
                <w:sz w:val="21"/>
              </w:rPr>
              <w:t>架构影响</w:t>
            </w:r>
          </w:p>
        </w:tc>
      </w:tr>
      <w:tr w:rsidR="00D21BEE" w14:paraId="52357FD6" w14:textId="77777777">
        <w:trPr>
          <w:jc w:val="center"/>
        </w:trPr>
        <w:tc>
          <w:tcPr>
            <w:tcW w:w="1417" w:type="dxa"/>
            <w:shd w:val="clear" w:color="auto" w:fill="D6E4F0"/>
          </w:tcPr>
          <w:p w14:paraId="7A5F80C0" w14:textId="77777777" w:rsidR="00D21BEE" w:rsidRDefault="00000000">
            <w:pPr>
              <w:jc w:val="center"/>
              <w:rPr>
                <w:rFonts w:hint="eastAsia"/>
              </w:rPr>
            </w:pPr>
            <w:r>
              <w:rPr>
                <w:sz w:val="20"/>
              </w:rPr>
              <w:t>波动传播速度</w:t>
            </w:r>
          </w:p>
        </w:tc>
        <w:tc>
          <w:tcPr>
            <w:tcW w:w="1984" w:type="dxa"/>
            <w:shd w:val="clear" w:color="auto" w:fill="D6E4F0"/>
          </w:tcPr>
          <w:p w14:paraId="3CDB426E" w14:textId="77777777" w:rsidR="00D21BEE" w:rsidRDefault="00000000">
            <w:pPr>
              <w:jc w:val="center"/>
              <w:rPr>
                <w:rFonts w:hint="eastAsia"/>
              </w:rPr>
            </w:pPr>
            <w:r>
              <w:rPr>
                <w:sz w:val="20"/>
              </w:rPr>
              <w:t>接近光速</w:t>
            </w:r>
          </w:p>
        </w:tc>
        <w:tc>
          <w:tcPr>
            <w:tcW w:w="1984" w:type="dxa"/>
            <w:shd w:val="clear" w:color="auto" w:fill="D6E4F0"/>
          </w:tcPr>
          <w:p w14:paraId="42905964" w14:textId="77777777" w:rsidR="00D21BEE" w:rsidRDefault="00000000">
            <w:pPr>
              <w:jc w:val="center"/>
              <w:rPr>
                <w:rFonts w:hint="eastAsia"/>
              </w:rPr>
            </w:pPr>
            <w:r>
              <w:rPr>
                <w:sz w:val="20"/>
              </w:rPr>
              <w:t>数米/秒</w:t>
            </w:r>
          </w:p>
        </w:tc>
        <w:tc>
          <w:tcPr>
            <w:tcW w:w="2268" w:type="dxa"/>
            <w:shd w:val="clear" w:color="auto" w:fill="D6E4F0"/>
          </w:tcPr>
          <w:p w14:paraId="36C22C97" w14:textId="77777777" w:rsidR="00D21BEE" w:rsidRDefault="00000000">
            <w:pPr>
              <w:jc w:val="center"/>
              <w:rPr>
                <w:rFonts w:hint="eastAsia"/>
                <w:lang w:eastAsia="zh-CN"/>
              </w:rPr>
            </w:pPr>
            <w:r>
              <w:rPr>
                <w:sz w:val="20"/>
                <w:lang w:eastAsia="zh-CN"/>
              </w:rPr>
              <w:t>水系统需更多超前控制</w:t>
            </w:r>
          </w:p>
        </w:tc>
      </w:tr>
      <w:tr w:rsidR="00D21BEE" w14:paraId="1BC33233" w14:textId="77777777">
        <w:trPr>
          <w:jc w:val="center"/>
        </w:trPr>
        <w:tc>
          <w:tcPr>
            <w:tcW w:w="1417" w:type="dxa"/>
          </w:tcPr>
          <w:p w14:paraId="69760C8E" w14:textId="77777777" w:rsidR="00D21BEE" w:rsidRDefault="00000000">
            <w:pPr>
              <w:jc w:val="center"/>
              <w:rPr>
                <w:rFonts w:hint="eastAsia"/>
              </w:rPr>
            </w:pPr>
            <w:r>
              <w:rPr>
                <w:sz w:val="20"/>
              </w:rPr>
              <w:t>全网传播时间</w:t>
            </w:r>
          </w:p>
        </w:tc>
        <w:tc>
          <w:tcPr>
            <w:tcW w:w="1984" w:type="dxa"/>
          </w:tcPr>
          <w:p w14:paraId="70CC9F4A" w14:textId="77777777" w:rsidR="00D21BEE" w:rsidRDefault="00000000">
            <w:pPr>
              <w:jc w:val="center"/>
              <w:rPr>
                <w:rFonts w:hint="eastAsia"/>
              </w:rPr>
            </w:pPr>
            <w:r>
              <w:rPr>
                <w:sz w:val="20"/>
              </w:rPr>
              <w:t>毫秒级</w:t>
            </w:r>
          </w:p>
        </w:tc>
        <w:tc>
          <w:tcPr>
            <w:tcW w:w="1984" w:type="dxa"/>
          </w:tcPr>
          <w:p w14:paraId="7507D5D0" w14:textId="77777777" w:rsidR="00D21BEE" w:rsidRDefault="00000000">
            <w:pPr>
              <w:jc w:val="center"/>
              <w:rPr>
                <w:rFonts w:hint="eastAsia"/>
              </w:rPr>
            </w:pPr>
            <w:r>
              <w:rPr>
                <w:sz w:val="20"/>
              </w:rPr>
              <w:t>7～10小时</w:t>
            </w:r>
          </w:p>
        </w:tc>
        <w:tc>
          <w:tcPr>
            <w:tcW w:w="2268" w:type="dxa"/>
          </w:tcPr>
          <w:p w14:paraId="48A2772F" w14:textId="77777777" w:rsidR="00D21BEE" w:rsidRDefault="00000000">
            <w:pPr>
              <w:jc w:val="center"/>
              <w:rPr>
                <w:rFonts w:hint="eastAsia"/>
              </w:rPr>
            </w:pPr>
            <w:r>
              <w:rPr>
                <w:sz w:val="20"/>
              </w:rPr>
              <w:t>水系统需分区解耦</w:t>
            </w:r>
          </w:p>
        </w:tc>
      </w:tr>
      <w:tr w:rsidR="00D21BEE" w14:paraId="78F41DCE" w14:textId="77777777">
        <w:trPr>
          <w:jc w:val="center"/>
        </w:trPr>
        <w:tc>
          <w:tcPr>
            <w:tcW w:w="1417" w:type="dxa"/>
            <w:shd w:val="clear" w:color="auto" w:fill="D6E4F0"/>
          </w:tcPr>
          <w:p w14:paraId="2A698620" w14:textId="77777777" w:rsidR="00D21BEE" w:rsidRDefault="00000000">
            <w:pPr>
              <w:jc w:val="center"/>
              <w:rPr>
                <w:rFonts w:hint="eastAsia"/>
              </w:rPr>
            </w:pPr>
            <w:r>
              <w:rPr>
                <w:sz w:val="20"/>
              </w:rPr>
              <w:t>线性化适用性</w:t>
            </w:r>
          </w:p>
        </w:tc>
        <w:tc>
          <w:tcPr>
            <w:tcW w:w="1984" w:type="dxa"/>
            <w:shd w:val="clear" w:color="auto" w:fill="D6E4F0"/>
          </w:tcPr>
          <w:p w14:paraId="2D4B4AEC" w14:textId="77777777" w:rsidR="00D21BEE" w:rsidRDefault="00000000">
            <w:pPr>
              <w:jc w:val="center"/>
              <w:rPr>
                <w:rFonts w:hint="eastAsia"/>
              </w:rPr>
            </w:pPr>
            <w:r>
              <w:rPr>
                <w:sz w:val="20"/>
              </w:rPr>
              <w:t>良好</w:t>
            </w:r>
          </w:p>
        </w:tc>
        <w:tc>
          <w:tcPr>
            <w:tcW w:w="1984" w:type="dxa"/>
            <w:shd w:val="clear" w:color="auto" w:fill="D6E4F0"/>
          </w:tcPr>
          <w:p w14:paraId="3C861CA5" w14:textId="77777777" w:rsidR="00D21BEE" w:rsidRDefault="00000000">
            <w:pPr>
              <w:jc w:val="center"/>
              <w:rPr>
                <w:rFonts w:hint="eastAsia"/>
              </w:rPr>
            </w:pPr>
            <w:r>
              <w:rPr>
                <w:sz w:val="20"/>
              </w:rPr>
              <w:t>受限</w:t>
            </w:r>
          </w:p>
        </w:tc>
        <w:tc>
          <w:tcPr>
            <w:tcW w:w="2268" w:type="dxa"/>
            <w:shd w:val="clear" w:color="auto" w:fill="D6E4F0"/>
          </w:tcPr>
          <w:p w14:paraId="0005C8C7" w14:textId="77777777" w:rsidR="00D21BEE" w:rsidRDefault="00000000">
            <w:pPr>
              <w:jc w:val="center"/>
              <w:rPr>
                <w:rFonts w:hint="eastAsia"/>
                <w:lang w:eastAsia="zh-CN"/>
              </w:rPr>
            </w:pPr>
            <w:r>
              <w:rPr>
                <w:sz w:val="20"/>
                <w:lang w:eastAsia="zh-CN"/>
              </w:rPr>
              <w:t>水系统需非线性MPC</w:t>
            </w:r>
          </w:p>
        </w:tc>
      </w:tr>
      <w:tr w:rsidR="00D21BEE" w14:paraId="6EFD4AD2" w14:textId="77777777">
        <w:trPr>
          <w:jc w:val="center"/>
        </w:trPr>
        <w:tc>
          <w:tcPr>
            <w:tcW w:w="1417" w:type="dxa"/>
          </w:tcPr>
          <w:p w14:paraId="48286BC9" w14:textId="77777777" w:rsidR="00D21BEE" w:rsidRDefault="00000000">
            <w:pPr>
              <w:jc w:val="center"/>
              <w:rPr>
                <w:rFonts w:hint="eastAsia"/>
              </w:rPr>
            </w:pPr>
            <w:r>
              <w:rPr>
                <w:sz w:val="20"/>
              </w:rPr>
              <w:t>控制可逆性</w:t>
            </w:r>
          </w:p>
        </w:tc>
        <w:tc>
          <w:tcPr>
            <w:tcW w:w="1984" w:type="dxa"/>
          </w:tcPr>
          <w:p w14:paraId="51BBE0B3" w14:textId="77777777" w:rsidR="00D21BEE" w:rsidRDefault="00000000">
            <w:pPr>
              <w:jc w:val="center"/>
              <w:rPr>
                <w:rFonts w:hint="eastAsia"/>
              </w:rPr>
            </w:pPr>
            <w:r>
              <w:rPr>
                <w:sz w:val="20"/>
              </w:rPr>
              <w:t>近似瞬时可逆</w:t>
            </w:r>
          </w:p>
        </w:tc>
        <w:tc>
          <w:tcPr>
            <w:tcW w:w="1984" w:type="dxa"/>
          </w:tcPr>
          <w:p w14:paraId="2FA81556" w14:textId="77777777" w:rsidR="00D21BEE" w:rsidRDefault="00000000">
            <w:pPr>
              <w:jc w:val="center"/>
              <w:rPr>
                <w:rFonts w:hint="eastAsia"/>
              </w:rPr>
            </w:pPr>
            <w:r>
              <w:rPr>
                <w:sz w:val="20"/>
              </w:rPr>
              <w:t>滞后且不可逆</w:t>
            </w:r>
          </w:p>
        </w:tc>
        <w:tc>
          <w:tcPr>
            <w:tcW w:w="2268" w:type="dxa"/>
          </w:tcPr>
          <w:p w14:paraId="5E4743B4" w14:textId="77777777" w:rsidR="00D21BEE" w:rsidRDefault="00000000">
            <w:pPr>
              <w:jc w:val="center"/>
              <w:rPr>
                <w:rFonts w:hint="eastAsia"/>
              </w:rPr>
            </w:pPr>
            <w:r>
              <w:rPr>
                <w:sz w:val="20"/>
              </w:rPr>
              <w:t>水系统需保守策略</w:t>
            </w:r>
          </w:p>
        </w:tc>
      </w:tr>
      <w:tr w:rsidR="00D21BEE" w14:paraId="40E96235" w14:textId="77777777">
        <w:trPr>
          <w:jc w:val="center"/>
        </w:trPr>
        <w:tc>
          <w:tcPr>
            <w:tcW w:w="1417" w:type="dxa"/>
            <w:shd w:val="clear" w:color="auto" w:fill="D6E4F0"/>
          </w:tcPr>
          <w:p w14:paraId="062C52DA" w14:textId="77777777" w:rsidR="00D21BEE" w:rsidRDefault="00000000">
            <w:pPr>
              <w:jc w:val="center"/>
              <w:rPr>
                <w:rFonts w:hint="eastAsia"/>
              </w:rPr>
            </w:pPr>
            <w:r>
              <w:rPr>
                <w:sz w:val="20"/>
              </w:rPr>
              <w:t>状态估计难度</w:t>
            </w:r>
          </w:p>
        </w:tc>
        <w:tc>
          <w:tcPr>
            <w:tcW w:w="1984" w:type="dxa"/>
            <w:shd w:val="clear" w:color="auto" w:fill="D6E4F0"/>
          </w:tcPr>
          <w:p w14:paraId="6D7332B6" w14:textId="77777777" w:rsidR="00D21BEE" w:rsidRDefault="00000000">
            <w:pPr>
              <w:jc w:val="center"/>
              <w:rPr>
                <w:rFonts w:hint="eastAsia"/>
              </w:rPr>
            </w:pPr>
            <w:r>
              <w:rPr>
                <w:sz w:val="20"/>
              </w:rPr>
              <w:t>中等</w:t>
            </w:r>
          </w:p>
        </w:tc>
        <w:tc>
          <w:tcPr>
            <w:tcW w:w="1984" w:type="dxa"/>
            <w:shd w:val="clear" w:color="auto" w:fill="D6E4F0"/>
          </w:tcPr>
          <w:p w14:paraId="776D4ED3" w14:textId="77777777" w:rsidR="00D21BEE" w:rsidRDefault="00000000">
            <w:pPr>
              <w:jc w:val="center"/>
              <w:rPr>
                <w:rFonts w:hint="eastAsia"/>
              </w:rPr>
            </w:pPr>
            <w:r>
              <w:rPr>
                <w:sz w:val="20"/>
              </w:rPr>
              <w:t>高</w:t>
            </w:r>
          </w:p>
        </w:tc>
        <w:tc>
          <w:tcPr>
            <w:tcW w:w="2268" w:type="dxa"/>
            <w:shd w:val="clear" w:color="auto" w:fill="D6E4F0"/>
          </w:tcPr>
          <w:p w14:paraId="3775E545" w14:textId="77777777" w:rsidR="00D21BEE" w:rsidRDefault="00000000">
            <w:pPr>
              <w:jc w:val="center"/>
              <w:rPr>
                <w:rFonts w:hint="eastAsia"/>
                <w:lang w:eastAsia="zh-CN"/>
              </w:rPr>
            </w:pPr>
            <w:r>
              <w:rPr>
                <w:sz w:val="20"/>
                <w:lang w:eastAsia="zh-CN"/>
              </w:rPr>
              <w:t>水系统需物理-数据融合</w:t>
            </w:r>
          </w:p>
        </w:tc>
      </w:tr>
      <w:tr w:rsidR="00D21BEE" w14:paraId="6E9B0469" w14:textId="77777777">
        <w:trPr>
          <w:jc w:val="center"/>
        </w:trPr>
        <w:tc>
          <w:tcPr>
            <w:tcW w:w="1417" w:type="dxa"/>
          </w:tcPr>
          <w:p w14:paraId="5469526F" w14:textId="77777777" w:rsidR="00D21BEE" w:rsidRDefault="00000000">
            <w:pPr>
              <w:jc w:val="center"/>
              <w:rPr>
                <w:rFonts w:hint="eastAsia"/>
              </w:rPr>
            </w:pPr>
            <w:r>
              <w:rPr>
                <w:sz w:val="20"/>
              </w:rPr>
              <w:t>标准化程度</w:t>
            </w:r>
          </w:p>
        </w:tc>
        <w:tc>
          <w:tcPr>
            <w:tcW w:w="1984" w:type="dxa"/>
          </w:tcPr>
          <w:p w14:paraId="678C5B97" w14:textId="77777777" w:rsidR="00D21BEE" w:rsidRDefault="00000000">
            <w:pPr>
              <w:jc w:val="center"/>
              <w:rPr>
                <w:rFonts w:hint="eastAsia"/>
              </w:rPr>
            </w:pPr>
            <w:r>
              <w:rPr>
                <w:sz w:val="20"/>
              </w:rPr>
              <w:t>高（IEC 61970）</w:t>
            </w:r>
          </w:p>
        </w:tc>
        <w:tc>
          <w:tcPr>
            <w:tcW w:w="1984" w:type="dxa"/>
          </w:tcPr>
          <w:p w14:paraId="0EA2A5F2" w14:textId="77777777" w:rsidR="00D21BEE" w:rsidRDefault="00000000">
            <w:pPr>
              <w:jc w:val="center"/>
              <w:rPr>
                <w:rFonts w:hint="eastAsia"/>
              </w:rPr>
            </w:pPr>
            <w:r>
              <w:rPr>
                <w:sz w:val="20"/>
              </w:rPr>
              <w:t>低</w:t>
            </w:r>
          </w:p>
        </w:tc>
        <w:tc>
          <w:tcPr>
            <w:tcW w:w="2268" w:type="dxa"/>
          </w:tcPr>
          <w:p w14:paraId="10C4F295" w14:textId="77777777" w:rsidR="00D21BEE" w:rsidRDefault="00000000">
            <w:pPr>
              <w:jc w:val="center"/>
              <w:rPr>
                <w:rFonts w:hint="eastAsia"/>
              </w:rPr>
            </w:pPr>
            <w:r>
              <w:rPr>
                <w:sz w:val="20"/>
              </w:rPr>
              <w:t>水系统需建立标准</w:t>
            </w:r>
          </w:p>
        </w:tc>
      </w:tr>
    </w:tbl>
    <w:p w14:paraId="4C051885" w14:textId="77777777" w:rsidR="00D21BEE" w:rsidRDefault="00000000">
      <w:pPr>
        <w:jc w:val="center"/>
        <w:rPr>
          <w:rFonts w:hint="eastAsia"/>
          <w:lang w:eastAsia="zh-CN"/>
        </w:rPr>
      </w:pPr>
      <w:r>
        <w:rPr>
          <w:b/>
          <w:sz w:val="20"/>
          <w:lang w:eastAsia="zh-CN"/>
        </w:rPr>
        <w:t>表4-2  水网与电网架构关键差异对比</w:t>
      </w:r>
    </w:p>
    <w:p w14:paraId="7A8A8134" w14:textId="77777777" w:rsidR="00D21BEE" w:rsidRDefault="00000000">
      <w:pPr>
        <w:spacing w:before="280" w:after="200"/>
        <w:rPr>
          <w:rFonts w:hint="eastAsia"/>
          <w:lang w:eastAsia="zh-CN"/>
        </w:rPr>
      </w:pPr>
      <w:r>
        <w:rPr>
          <w:b/>
          <w:sz w:val="28"/>
          <w:lang w:eastAsia="zh-CN"/>
        </w:rPr>
        <w:t>4.2 数字孪生架构</w:t>
      </w:r>
    </w:p>
    <w:p w14:paraId="2E8B8E65" w14:textId="77777777" w:rsidR="00D21BEE" w:rsidRDefault="00000000">
      <w:pPr>
        <w:ind w:firstLine="482"/>
        <w:rPr>
          <w:rFonts w:hint="eastAsia"/>
          <w:lang w:eastAsia="zh-CN"/>
        </w:rPr>
      </w:pPr>
      <w:r>
        <w:rPr>
          <w:lang w:eastAsia="zh-CN"/>
        </w:rPr>
        <w:t>数字孪生（Digital Twin）是云-边-端架构的“统一环境”，将物理世界的水网系统与虚拟世界的模型系统进行双向映射和同步演化[17]。数字孪生的概念起源于航空航天领域，NASA在Apollo计划中就采用了“双胞胎”的理念——在地面保留一个与太空中航天器完全相同的副本，用于实时仿真和故障诊断[18]。Grieves和Vickers于2003年正式提出数字孪生的概念模型，将其定义为物理实体、虚拟模型和双向数据连接的三元组。在水利领域，数字孪生的应用正在从“可视化展示”向“闭环控制”迈进，这是一个质的飞跃。</w:t>
      </w:r>
    </w:p>
    <w:p w14:paraId="3AE27EC0" w14:textId="77777777" w:rsidR="00D21BEE" w:rsidRDefault="00000000">
      <w:pPr>
        <w:spacing w:before="200" w:after="160"/>
        <w:rPr>
          <w:rFonts w:hint="eastAsia"/>
          <w:lang w:eastAsia="zh-CN"/>
        </w:rPr>
      </w:pPr>
      <w:r>
        <w:rPr>
          <w:b/>
          <w:sz w:val="26"/>
          <w:lang w:eastAsia="zh-CN"/>
        </w:rPr>
        <w:t>4.2.1 水网数字孪生的核心组件</w:t>
      </w:r>
    </w:p>
    <w:p w14:paraId="1603492C" w14:textId="77777777" w:rsidR="00416C03" w:rsidRDefault="00000000">
      <w:pPr>
        <w:ind w:firstLine="482"/>
        <w:rPr>
          <w:rFonts w:hint="eastAsia"/>
          <w:lang w:eastAsia="zh-CN"/>
        </w:rPr>
      </w:pPr>
      <w:r>
        <w:rPr>
          <w:lang w:eastAsia="zh-CN"/>
        </w:rPr>
        <w:t>水网数字孪生的核心组件包括四个层次。</w:t>
      </w:r>
    </w:p>
    <w:p w14:paraId="1E255F39" w14:textId="2F276966" w:rsidR="00D21BEE" w:rsidRDefault="00000000">
      <w:pPr>
        <w:ind w:firstLine="482"/>
        <w:rPr>
          <w:rFonts w:hint="eastAsia"/>
          <w:lang w:eastAsia="zh-CN"/>
        </w:rPr>
      </w:pPr>
      <w:r>
        <w:rPr>
          <w:lang w:eastAsia="zh-CN"/>
        </w:rPr>
        <w:t>几何孪生（Geometric Twin）是水网物理结构的精确三维表达，包括渠道断面、闸站布局、管线拓扑等静态信息，通常基于GIS和BIM技术构建。几何孪生不仅服务于可视化展示，更重要的是为水力学模型提供精确的几何边界条件。对于南水北调中线工程，几何孪生需要涵盖全线1432公里的渠道断面数据、64座节制闸的结构参数、97座分水口门和54座退水闸的几何特征。</w:t>
      </w:r>
    </w:p>
    <w:p w14:paraId="1AC2CE86" w14:textId="77777777" w:rsidR="00D21BEE" w:rsidRDefault="00000000">
      <w:pPr>
        <w:ind w:firstLine="482"/>
        <w:rPr>
          <w:rFonts w:hint="eastAsia"/>
          <w:lang w:eastAsia="zh-CN"/>
        </w:rPr>
      </w:pPr>
      <w:r>
        <w:t>物理孪生（Physical Twin）是基于Saint-Venant方程等机理模型的动态仿真能力，这是数字孪生区别于普通“可视化平台”的核心标志[19]。物理孪生的核心组件是非恒定流水力学模型，其数学基础是一维Saint-Venant方程组，采用Preissmann四点隐格式离散求解。</w:t>
      </w:r>
      <w:r>
        <w:rPr>
          <w:lang w:eastAsia="zh-CN"/>
        </w:rPr>
        <w:t>物理孪生还需要包含水工建筑物模型（闸门流量-开度关系、倒虹吸水力损失模型、渡槽输水能力模型等），这些建筑物模型的精度直接影响全网模拟的准确性。</w:t>
      </w:r>
    </w:p>
    <w:p w14:paraId="292ED5AA" w14:textId="77777777" w:rsidR="00651183" w:rsidRDefault="00000000">
      <w:pPr>
        <w:ind w:firstLine="482"/>
        <w:rPr>
          <w:rFonts w:hint="eastAsia"/>
          <w:lang w:eastAsia="zh-CN"/>
        </w:rPr>
      </w:pPr>
      <w:r>
        <w:rPr>
          <w:lang w:eastAsia="zh-CN"/>
        </w:rPr>
        <w:lastRenderedPageBreak/>
        <w:t>数据孪生（Data Twin）是传感器实时数据流与模型状态的持续同步机制，通过数据同化技术实现物理-数据融合。数据孪生的典型实现方式包括集合卡尔曼滤波（EnKF）、粒子滤波和变分同化方法。在水网应用中，数据孪生面临的特殊挑战是传感器稀疏分布——全线仅在节制闸和分水口门处设有水位和流量监测，中间长渠段缺乏直接观测[20]。</w:t>
      </w:r>
    </w:p>
    <w:p w14:paraId="3E79A2BA" w14:textId="5F9D1B58" w:rsidR="00D21BEE" w:rsidRDefault="00000000">
      <w:pPr>
        <w:ind w:firstLine="482"/>
        <w:rPr>
          <w:rFonts w:hint="eastAsia"/>
          <w:lang w:eastAsia="zh-CN"/>
        </w:rPr>
      </w:pPr>
      <w:r>
        <w:rPr>
          <w:lang w:eastAsia="zh-CN"/>
        </w:rPr>
        <w:t>决策孪生（Decision Twin）是基于前三个层次的优化决策能力，包括MPC控制器、多目标优化等组件，是实现自主运行的关键。</w:t>
      </w:r>
    </w:p>
    <w:p w14:paraId="5B648E50" w14:textId="77777777" w:rsidR="00D21BEE" w:rsidRDefault="00000000">
      <w:pPr>
        <w:ind w:firstLine="482"/>
        <w:rPr>
          <w:rFonts w:hint="eastAsia"/>
          <w:lang w:eastAsia="zh-CN"/>
        </w:rPr>
      </w:pPr>
      <w:r>
        <w:rPr>
          <w:lang w:eastAsia="zh-CN"/>
        </w:rPr>
        <w:t>当前水利行业的大多数“数字孪生”项目实际上停留在几何孪生层次，即三维可视化展示。这与真正的数字孪生之间存在本质差距。真正的数字孪生要求虚拟模型能够“实时跟随”物理系统的状态变化，并能够“超前预测”未来状态的演化趋势[21]。换言之，数字孪生的核心能力是“预测”而非“展示”。没有预测能力的“数字孪生”本质上只是一个高级可视化平台。</w:t>
      </w:r>
    </w:p>
    <w:p w14:paraId="3BB47D9C" w14:textId="77777777" w:rsidR="00D21BEE" w:rsidRDefault="00000000">
      <w:pPr>
        <w:spacing w:before="200" w:after="160"/>
        <w:rPr>
          <w:rFonts w:hint="eastAsia"/>
          <w:lang w:eastAsia="zh-CN"/>
        </w:rPr>
      </w:pPr>
      <w:r>
        <w:rPr>
          <w:b/>
          <w:sz w:val="26"/>
          <w:lang w:eastAsia="zh-CN"/>
        </w:rPr>
        <w:t>4.2.2 物理-数据融合孪生的数学表达</w:t>
      </w:r>
    </w:p>
    <w:p w14:paraId="1643AEC1" w14:textId="77777777" w:rsidR="00D21BEE" w:rsidRDefault="00000000">
      <w:pPr>
        <w:ind w:firstLine="482"/>
        <w:rPr>
          <w:rFonts w:hint="eastAsia"/>
          <w:lang w:eastAsia="zh-CN"/>
        </w:rPr>
      </w:pPr>
      <w:r>
        <w:rPr>
          <w:lang w:eastAsia="zh-CN"/>
        </w:rPr>
        <w:t>水网数字孪生的核心数学问题是物理模型与观测数据的融合。设物理模型的状态转移方程为x(k+1)=M[x(k),u(k)]+w(k)，观测方程为z(k)=H[x(k)]+v(k)，则融合孪生的目标是求解后验状态估计：</w:t>
      </w:r>
    </w:p>
    <w:p w14:paraId="3D93D6DD" w14:textId="7A0E5206" w:rsidR="00D21BEE" w:rsidRDefault="00000000">
      <w:pPr>
        <w:ind w:firstLine="482"/>
        <w:rPr>
          <w:rFonts w:hint="eastAsia"/>
        </w:rPr>
      </w:pPr>
      <w:r>
        <w:t>x</w:t>
      </w:r>
      <w:r>
        <w:rPr>
          <w:rFonts w:ascii="Times New Roman" w:hAnsi="Times New Roman" w:cs="Times New Roman"/>
        </w:rPr>
        <w:t>̂</w:t>
      </w:r>
      <w:r>
        <w:t>(k)=argmin{</w:t>
      </w:r>
      <w:r w:rsidR="000E377F" w:rsidRPr="000E377F">
        <w:t>(x</w:t>
      </w:r>
      <w:r w:rsidR="000E377F" w:rsidRPr="000E377F">
        <w:rPr>
          <w:rFonts w:ascii="Cambria Math" w:hAnsi="Cambria Math" w:cs="Cambria Math"/>
        </w:rPr>
        <w:t>−</w:t>
      </w:r>
      <w:r w:rsidR="000E377F" w:rsidRPr="000E377F">
        <w:t>M[x</w:t>
      </w:r>
      <w:r w:rsidR="000E377F" w:rsidRPr="000E377F">
        <w:rPr>
          <w:rFonts w:ascii="Times New Roman" w:hAnsi="Times New Roman" w:cs="Times New Roman"/>
        </w:rPr>
        <w:t>̂</w:t>
      </w:r>
      <w:r w:rsidR="000E377F" w:rsidRPr="000E377F">
        <w:t>(k</w:t>
      </w:r>
      <w:r w:rsidR="000E377F" w:rsidRPr="000E377F">
        <w:rPr>
          <w:rFonts w:ascii="Cambria Math" w:hAnsi="Cambria Math" w:cs="Cambria Math"/>
        </w:rPr>
        <w:t>−</w:t>
      </w:r>
      <w:r w:rsidR="000E377F" w:rsidRPr="000E377F">
        <w:t>1)])</w:t>
      </w:r>
      <w:r w:rsidR="000E377F" w:rsidRPr="000E377F">
        <w:rPr>
          <w:rFonts w:ascii="Times New Roman" w:hAnsi="Times New Roman" w:cs="Times New Roman"/>
        </w:rPr>
        <w:t>ᵀ</w:t>
      </w:r>
      <w:r w:rsidR="000E377F" w:rsidRPr="000E377F">
        <w:t xml:space="preserve"> Q</w:t>
      </w:r>
      <w:r w:rsidR="000E377F" w:rsidRPr="000E377F">
        <w:rPr>
          <w:rFonts w:ascii="Cambria Math" w:hAnsi="Cambria Math" w:cs="Cambria Math"/>
        </w:rPr>
        <w:t>⁻</w:t>
      </w:r>
      <w:r w:rsidR="000E377F" w:rsidRPr="000E377F">
        <w:rPr>
          <w:rFonts w:cs="宋体" w:hint="eastAsia"/>
        </w:rPr>
        <w:t>¹</w:t>
      </w:r>
      <w:r w:rsidR="000E377F" w:rsidRPr="000E377F">
        <w:t>(x</w:t>
      </w:r>
      <w:r w:rsidR="000E377F" w:rsidRPr="000E377F">
        <w:rPr>
          <w:rFonts w:ascii="Cambria Math" w:hAnsi="Cambria Math" w:cs="Cambria Math"/>
        </w:rPr>
        <w:t>−</w:t>
      </w:r>
      <w:r w:rsidR="000E377F" w:rsidRPr="000E377F">
        <w:t>M[x</w:t>
      </w:r>
      <w:r w:rsidR="000E377F" w:rsidRPr="000E377F">
        <w:rPr>
          <w:rFonts w:ascii="Times New Roman" w:hAnsi="Times New Roman" w:cs="Times New Roman"/>
        </w:rPr>
        <w:t>̂</w:t>
      </w:r>
      <w:r w:rsidR="000E377F" w:rsidRPr="000E377F">
        <w:t>(k</w:t>
      </w:r>
      <w:r w:rsidR="000E377F" w:rsidRPr="000E377F">
        <w:rPr>
          <w:rFonts w:ascii="Cambria Math" w:hAnsi="Cambria Math" w:cs="Cambria Math"/>
        </w:rPr>
        <w:t>−</w:t>
      </w:r>
      <w:r w:rsidR="000E377F" w:rsidRPr="000E377F">
        <w:t>1)])+(z(k)</w:t>
      </w:r>
      <w:r w:rsidR="000E377F" w:rsidRPr="000E377F">
        <w:rPr>
          <w:rFonts w:ascii="Cambria Math" w:hAnsi="Cambria Math" w:cs="Cambria Math"/>
        </w:rPr>
        <w:t>−</w:t>
      </w:r>
      <w:r w:rsidR="000E377F" w:rsidRPr="000E377F">
        <w:t>H[x])</w:t>
      </w:r>
      <w:r w:rsidR="000E377F" w:rsidRPr="000E377F">
        <w:rPr>
          <w:rFonts w:ascii="Times New Roman" w:hAnsi="Times New Roman" w:cs="Times New Roman"/>
        </w:rPr>
        <w:t>ᵀ</w:t>
      </w:r>
      <w:r w:rsidR="000E377F" w:rsidRPr="000E377F">
        <w:t>R</w:t>
      </w:r>
      <w:r w:rsidR="000E377F" w:rsidRPr="000E377F">
        <w:rPr>
          <w:rFonts w:ascii="Cambria Math" w:hAnsi="Cambria Math" w:cs="Cambria Math"/>
        </w:rPr>
        <w:t>⁻</w:t>
      </w:r>
      <w:r w:rsidR="000E377F" w:rsidRPr="000E377F">
        <w:rPr>
          <w:rFonts w:cs="宋体" w:hint="eastAsia"/>
        </w:rPr>
        <w:t>¹</w:t>
      </w:r>
      <w:r w:rsidR="000E377F" w:rsidRPr="000E377F">
        <w:t>(z(k)</w:t>
      </w:r>
      <w:r w:rsidR="000E377F" w:rsidRPr="000E377F">
        <w:rPr>
          <w:rFonts w:ascii="Cambria Math" w:hAnsi="Cambria Math" w:cs="Cambria Math"/>
        </w:rPr>
        <w:t>−</w:t>
      </w:r>
      <w:r w:rsidR="000E377F" w:rsidRPr="000E377F">
        <w:t>H[x])+</w:t>
      </w:r>
      <w:r w:rsidR="000E377F" w:rsidRPr="000E377F">
        <w:rPr>
          <w:rFonts w:cs="宋体" w:hint="eastAsia"/>
        </w:rPr>
        <w:t>αΦ</w:t>
      </w:r>
      <w:r w:rsidR="000E377F" w:rsidRPr="000E377F">
        <w:t>(x)</w:t>
      </w:r>
      <w:r>
        <w:t>}   （式4-1）</w:t>
      </w:r>
    </w:p>
    <w:p w14:paraId="6BA6B154" w14:textId="77777777" w:rsidR="00D21BEE" w:rsidRDefault="00000000">
      <w:pPr>
        <w:ind w:firstLine="482"/>
        <w:rPr>
          <w:rFonts w:hint="eastAsia"/>
          <w:lang w:eastAsia="zh-CN"/>
        </w:rPr>
      </w:pPr>
      <w:r>
        <w:rPr>
          <w:lang w:eastAsia="zh-CN"/>
        </w:rPr>
        <w:t>式中：Q⁻¹和R⁻¹分别为模型误差和观测误差的精度矩阵；</w:t>
      </w:r>
      <w:r>
        <w:t>Φ</w:t>
      </w:r>
      <w:r>
        <w:rPr>
          <w:lang w:eastAsia="zh-CN"/>
        </w:rPr>
        <w:t>(x)为物理约束正则项（如水量守恒、能量守恒）；</w:t>
      </w:r>
      <w:r>
        <w:t>α</w:t>
      </w:r>
      <w:r>
        <w:rPr>
          <w:lang w:eastAsia="zh-CN"/>
        </w:rPr>
        <w:t>为正则化系数。前两项对应经典的数据同化问题，第三项是数字孪生相比传统同化的核心创新——显式引入物理定律作为正则化约束[22]。这种物理约束正则化方法与近年来兴起的物理信息神经网络（PINN）在理念上一脉相承[23]。在实际实现中，Q和R矩阵的设定是影响同化效果的关键参数，通常需要通过历史数据的交叉验证来确定最优值。</w:t>
      </w:r>
    </w:p>
    <w:p w14:paraId="74EDC392" w14:textId="77777777" w:rsidR="00D21BEE" w:rsidRDefault="00000000">
      <w:pPr>
        <w:ind w:firstLine="482"/>
        <w:rPr>
          <w:rFonts w:hint="eastAsia"/>
          <w:lang w:eastAsia="zh-CN"/>
        </w:rPr>
      </w:pPr>
      <w:r>
        <w:rPr>
          <w:lang w:eastAsia="zh-CN"/>
        </w:rPr>
        <w:t>孪生保真度（Twinning Fidelity, TF）是评价数字孪生质量的关键指标，定义为：</w:t>
      </w:r>
    </w:p>
    <w:p w14:paraId="6074B325" w14:textId="642C5E6A" w:rsidR="00D21BEE" w:rsidRDefault="00D14495">
      <w:pPr>
        <w:ind w:firstLine="482"/>
        <w:rPr>
          <w:rFonts w:hint="eastAsia"/>
          <w:lang w:eastAsia="zh-CN"/>
        </w:rPr>
      </w:pPr>
      <w:r w:rsidRPr="00D14495">
        <w:rPr>
          <w:lang w:eastAsia="zh-CN"/>
        </w:rPr>
        <w:t>TF=1</w:t>
      </w:r>
      <w:r w:rsidRPr="00D14495">
        <w:rPr>
          <w:rFonts w:ascii="Cambria Math" w:hAnsi="Cambria Math" w:cs="Cambria Math"/>
          <w:lang w:eastAsia="zh-CN"/>
        </w:rPr>
        <w:t>−</w:t>
      </w:r>
      <w:r w:rsidRPr="00D14495">
        <w:rPr>
          <w:rFonts w:cs="宋体" w:hint="eastAsia"/>
          <w:lang w:eastAsia="zh-CN"/>
        </w:rPr>
        <w:t>‖</w:t>
      </w:r>
      <w:r w:rsidRPr="00D14495">
        <w:rPr>
          <w:lang w:eastAsia="zh-CN"/>
        </w:rPr>
        <w:t>z</w:t>
      </w:r>
      <w:r w:rsidRPr="00D14495">
        <w:rPr>
          <w:rFonts w:ascii="Cambria Math" w:hAnsi="Cambria Math" w:cs="Cambria Math"/>
          <w:lang w:eastAsia="zh-CN"/>
        </w:rPr>
        <w:t>−</w:t>
      </w:r>
      <w:r w:rsidRPr="00D14495">
        <w:rPr>
          <w:lang w:eastAsia="zh-CN"/>
        </w:rPr>
        <w:t>H[x</w:t>
      </w:r>
      <w:r w:rsidRPr="00D14495">
        <w:rPr>
          <w:rFonts w:ascii="Times New Roman" w:hAnsi="Times New Roman" w:cs="Times New Roman"/>
          <w:lang w:eastAsia="zh-CN"/>
        </w:rPr>
        <w:t>̂</w:t>
      </w:r>
      <w:r w:rsidRPr="00D14495">
        <w:rPr>
          <w:lang w:eastAsia="zh-CN"/>
        </w:rPr>
        <w:t>]</w:t>
      </w:r>
      <w:r w:rsidRPr="00D14495">
        <w:rPr>
          <w:rFonts w:cs="宋体" w:hint="eastAsia"/>
          <w:lang w:eastAsia="zh-CN"/>
        </w:rPr>
        <w:t>‖</w:t>
      </w:r>
      <w:r w:rsidRPr="00D14495">
        <w:rPr>
          <w:rFonts w:ascii="Cambria Math" w:hAnsi="Cambria Math" w:cs="Cambria Math"/>
          <w:lang w:eastAsia="zh-CN"/>
        </w:rPr>
        <w:t>₂</w:t>
      </w:r>
      <w:r w:rsidRPr="00D14495">
        <w:rPr>
          <w:lang w:eastAsia="zh-CN"/>
        </w:rPr>
        <w:t>/</w:t>
      </w:r>
      <w:r w:rsidRPr="00D14495">
        <w:rPr>
          <w:rFonts w:cs="宋体" w:hint="eastAsia"/>
          <w:lang w:eastAsia="zh-CN"/>
        </w:rPr>
        <w:t>‖</w:t>
      </w:r>
      <w:r w:rsidRPr="00D14495">
        <w:rPr>
          <w:lang w:eastAsia="zh-CN"/>
        </w:rPr>
        <w:t>z</w:t>
      </w:r>
      <w:r w:rsidRPr="00D14495">
        <w:rPr>
          <w:rFonts w:cs="宋体" w:hint="eastAsia"/>
          <w:lang w:eastAsia="zh-CN"/>
        </w:rPr>
        <w:t>‖</w:t>
      </w:r>
      <w:r w:rsidRPr="00D14495">
        <w:rPr>
          <w:rFonts w:ascii="Cambria Math" w:hAnsi="Cambria Math" w:cs="Cambria Math"/>
          <w:lang w:eastAsia="zh-CN"/>
        </w:rPr>
        <w:t>₂</w:t>
      </w:r>
      <w:r w:rsidR="00000000">
        <w:rPr>
          <w:lang w:eastAsia="zh-CN"/>
        </w:rPr>
        <w:t xml:space="preserve">    （式4-2）</w:t>
      </w:r>
    </w:p>
    <w:p w14:paraId="78097D10" w14:textId="77777777" w:rsidR="00D21BEE" w:rsidRDefault="00000000">
      <w:pPr>
        <w:ind w:firstLine="482"/>
        <w:rPr>
          <w:rFonts w:hint="eastAsia"/>
          <w:lang w:eastAsia="zh-CN"/>
        </w:rPr>
      </w:pPr>
      <w:r>
        <w:rPr>
          <w:lang w:eastAsia="zh-CN"/>
        </w:rPr>
        <w:t>当TF≥0.95时，数字孪生可用于在线控制决策；当0.85≤TF&lt;0.95时，仅可用于离线分析；当TF&lt;0.85时，需要重新校核模型参数。这一分级评价框架借鉴了气象预报领域的模型评估实践[24]。需要强调的是，TF不是一个静态指标，而是需要在运行过程中持续监测的动态指标。当TF下降时，系统应自动触发模型校核流程。TF的计算需要区分不同状态变量（水位、流量、水温等）和不同空间位置，以全面评估孪生质量。</w:t>
      </w:r>
    </w:p>
    <w:p w14:paraId="1F0FBADD" w14:textId="77777777" w:rsidR="00D21BEE" w:rsidRDefault="00000000">
      <w:pPr>
        <w:spacing w:before="200" w:after="160"/>
        <w:rPr>
          <w:rFonts w:hint="eastAsia"/>
          <w:lang w:eastAsia="zh-CN"/>
        </w:rPr>
      </w:pPr>
      <w:r>
        <w:rPr>
          <w:b/>
          <w:sz w:val="26"/>
          <w:lang w:eastAsia="zh-CN"/>
        </w:rPr>
        <w:t>4.2.3 多模型耦合与异构集成</w:t>
      </w:r>
    </w:p>
    <w:p w14:paraId="39806110" w14:textId="77777777" w:rsidR="00D21BEE" w:rsidRDefault="00000000">
      <w:pPr>
        <w:ind w:firstLine="482"/>
        <w:rPr>
          <w:rFonts w:hint="eastAsia"/>
          <w:lang w:eastAsia="zh-CN"/>
        </w:rPr>
      </w:pPr>
      <w:r>
        <w:rPr>
          <w:lang w:eastAsia="zh-CN"/>
        </w:rPr>
        <w:lastRenderedPageBreak/>
        <w:t>水网数字孪生通常需要耦合多种异构模型：明渠水动力模型（Saint-Venant方程）、压力管线模型、水质输移方程、冰期热力学模型、水工结构模型等。模型耦合的核心挑战在于时空尺度的匹配和数值稳定性的保证。OpenMI（Open Modelling Interface）提供了一套标准化的模型耦合接口规范，支持单向和双向耦合[25]。OpenMI的核心思想是通过标准化的输入输出接口将不同模型“黑箱化”，各模型开发者只需实现规定的接口，即可参与耦合计算。</w:t>
      </w:r>
    </w:p>
    <w:p w14:paraId="0D18862C" w14:textId="386E6307" w:rsidR="00D21BEE" w:rsidRDefault="00000000">
      <w:pPr>
        <w:ind w:firstLine="482"/>
        <w:rPr>
          <w:rFonts w:hint="eastAsia"/>
          <w:lang w:eastAsia="zh-CN"/>
        </w:rPr>
      </w:pPr>
      <w:r>
        <w:rPr>
          <w:lang w:eastAsia="zh-CN"/>
        </w:rPr>
        <w:t>在南水北调中线工程的数字孪生建设中，模型耦合面临的特殊挑战包括：明渠段与暗渠段的水力连接（全线1432公里中包含多处穿越河渠的倒虹吸和渡槽）、冰期运行时的水力-热力耦合、以及多点分水引起的复杂边界条件。全线设有64座节制闸、97座分水口门和54座退水闸，每个建筑物都构成模型耦合的节点[26]。</w:t>
      </w:r>
      <w:r w:rsidR="0045258E">
        <w:rPr>
          <w:rFonts w:hint="eastAsia"/>
          <w:lang w:eastAsia="zh-CN"/>
        </w:rPr>
        <w:t>水网</w:t>
      </w:r>
      <w:r>
        <w:rPr>
          <w:lang w:eastAsia="zh-CN"/>
        </w:rPr>
        <w:t>大模型采用分布式多智能体协作平台来处理这一挑战，每个智能体负责一个子模型的计算与边界交换。为保证耦合稳定性，相邻子模型之间采用迭代耦合方式，每个时间步进行2～3次边界值迭代直至收敛。</w:t>
      </w:r>
    </w:p>
    <w:p w14:paraId="00DFF3EB" w14:textId="77777777" w:rsidR="00D21BEE" w:rsidRDefault="00000000">
      <w:pPr>
        <w:spacing w:before="200" w:after="160"/>
        <w:rPr>
          <w:rFonts w:hint="eastAsia"/>
          <w:lang w:eastAsia="zh-CN"/>
        </w:rPr>
      </w:pPr>
      <w:r>
        <w:rPr>
          <w:b/>
          <w:sz w:val="26"/>
          <w:lang w:eastAsia="zh-CN"/>
        </w:rPr>
        <w:t>4.2.4 数字孪生的三个成熟度等级</w:t>
      </w:r>
    </w:p>
    <w:p w14:paraId="2A9D3F1C" w14:textId="77777777" w:rsidR="00D21BEE" w:rsidRDefault="00000000">
      <w:pPr>
        <w:ind w:firstLine="482"/>
        <w:rPr>
          <w:rFonts w:hint="eastAsia"/>
          <w:lang w:eastAsia="zh-CN"/>
        </w:rPr>
      </w:pPr>
      <w:r>
        <w:rPr>
          <w:lang w:eastAsia="zh-CN"/>
        </w:rPr>
        <w:t>根据功能完备性和应用深度，水网数字孪生可以划分为三个成熟度等级。表4-3展示了各等级的特征与对应的自主运行能力。</w:t>
      </w:r>
    </w:p>
    <w:tbl>
      <w:tblPr>
        <w:tblW w:w="0" w:type="auto"/>
        <w:jc w:val="center"/>
        <w:tblLook w:val="04A0" w:firstRow="1" w:lastRow="0" w:firstColumn="1" w:lastColumn="0" w:noHBand="0" w:noVBand="1"/>
      </w:tblPr>
      <w:tblGrid>
        <w:gridCol w:w="2013"/>
        <w:gridCol w:w="2126"/>
        <w:gridCol w:w="1417"/>
        <w:gridCol w:w="1134"/>
        <w:gridCol w:w="2380"/>
      </w:tblGrid>
      <w:tr w:rsidR="00D21BEE" w14:paraId="33DA5D05" w14:textId="77777777" w:rsidTr="0045258E">
        <w:trPr>
          <w:jc w:val="center"/>
        </w:trPr>
        <w:tc>
          <w:tcPr>
            <w:tcW w:w="2013" w:type="dxa"/>
            <w:shd w:val="clear" w:color="auto" w:fill="1F4E79"/>
          </w:tcPr>
          <w:p w14:paraId="6D8AEC9D" w14:textId="77777777" w:rsidR="00D21BEE" w:rsidRDefault="00000000">
            <w:pPr>
              <w:jc w:val="center"/>
              <w:rPr>
                <w:rFonts w:hint="eastAsia"/>
              </w:rPr>
            </w:pPr>
            <w:r>
              <w:rPr>
                <w:b/>
                <w:color w:val="FFFFFF"/>
                <w:sz w:val="21"/>
              </w:rPr>
              <w:t>成熟度等级</w:t>
            </w:r>
          </w:p>
        </w:tc>
        <w:tc>
          <w:tcPr>
            <w:tcW w:w="2126" w:type="dxa"/>
            <w:shd w:val="clear" w:color="auto" w:fill="1F4E79"/>
          </w:tcPr>
          <w:p w14:paraId="05A42768" w14:textId="77777777" w:rsidR="00D21BEE" w:rsidRDefault="00000000">
            <w:pPr>
              <w:jc w:val="center"/>
              <w:rPr>
                <w:rFonts w:hint="eastAsia"/>
              </w:rPr>
            </w:pPr>
            <w:r>
              <w:rPr>
                <w:b/>
                <w:color w:val="FFFFFF"/>
                <w:sz w:val="21"/>
              </w:rPr>
              <w:t>核心能力</w:t>
            </w:r>
          </w:p>
        </w:tc>
        <w:tc>
          <w:tcPr>
            <w:tcW w:w="1417" w:type="dxa"/>
            <w:shd w:val="clear" w:color="auto" w:fill="1F4E79"/>
          </w:tcPr>
          <w:p w14:paraId="05886CEB" w14:textId="77777777" w:rsidR="00D21BEE" w:rsidRDefault="00000000">
            <w:pPr>
              <w:jc w:val="center"/>
              <w:rPr>
                <w:rFonts w:hint="eastAsia"/>
              </w:rPr>
            </w:pPr>
            <w:r>
              <w:rPr>
                <w:b/>
                <w:color w:val="FFFFFF"/>
                <w:sz w:val="21"/>
              </w:rPr>
              <w:t>孪生保真度</w:t>
            </w:r>
          </w:p>
        </w:tc>
        <w:tc>
          <w:tcPr>
            <w:tcW w:w="1134" w:type="dxa"/>
            <w:shd w:val="clear" w:color="auto" w:fill="1F4E79"/>
          </w:tcPr>
          <w:p w14:paraId="5DC72652" w14:textId="77777777" w:rsidR="00D21BEE" w:rsidRDefault="00000000">
            <w:pPr>
              <w:jc w:val="center"/>
              <w:rPr>
                <w:rFonts w:hint="eastAsia"/>
              </w:rPr>
            </w:pPr>
            <w:r>
              <w:rPr>
                <w:b/>
                <w:color w:val="FFFFFF"/>
                <w:sz w:val="21"/>
              </w:rPr>
              <w:t>对应自主等级</w:t>
            </w:r>
          </w:p>
        </w:tc>
        <w:tc>
          <w:tcPr>
            <w:tcW w:w="2380" w:type="dxa"/>
            <w:shd w:val="clear" w:color="auto" w:fill="1F4E79"/>
          </w:tcPr>
          <w:p w14:paraId="3C160569" w14:textId="77777777" w:rsidR="00D21BEE" w:rsidRDefault="00000000">
            <w:pPr>
              <w:jc w:val="center"/>
              <w:rPr>
                <w:rFonts w:hint="eastAsia"/>
              </w:rPr>
            </w:pPr>
            <w:r>
              <w:rPr>
                <w:b/>
                <w:color w:val="FFFFFF"/>
                <w:sz w:val="21"/>
              </w:rPr>
              <w:t>典型应用</w:t>
            </w:r>
          </w:p>
        </w:tc>
      </w:tr>
      <w:tr w:rsidR="00D21BEE" w14:paraId="0EFDC20F" w14:textId="77777777" w:rsidTr="0045258E">
        <w:trPr>
          <w:jc w:val="center"/>
        </w:trPr>
        <w:tc>
          <w:tcPr>
            <w:tcW w:w="2013" w:type="dxa"/>
            <w:shd w:val="clear" w:color="auto" w:fill="D6E4F0"/>
          </w:tcPr>
          <w:p w14:paraId="5B2F546B" w14:textId="77777777" w:rsidR="00D21BEE" w:rsidRDefault="00000000">
            <w:pPr>
              <w:jc w:val="center"/>
              <w:rPr>
                <w:rFonts w:hint="eastAsia"/>
              </w:rPr>
            </w:pPr>
            <w:r>
              <w:rPr>
                <w:sz w:val="20"/>
              </w:rPr>
              <w:t>DT-1：可视化孪生</w:t>
            </w:r>
          </w:p>
        </w:tc>
        <w:tc>
          <w:tcPr>
            <w:tcW w:w="2126" w:type="dxa"/>
            <w:shd w:val="clear" w:color="auto" w:fill="D6E4F0"/>
          </w:tcPr>
          <w:p w14:paraId="41C67146" w14:textId="77777777" w:rsidR="00D21BEE" w:rsidRDefault="00000000">
            <w:pPr>
              <w:jc w:val="center"/>
              <w:rPr>
                <w:rFonts w:hint="eastAsia"/>
              </w:rPr>
            </w:pPr>
            <w:r>
              <w:rPr>
                <w:sz w:val="20"/>
              </w:rPr>
              <w:t>三维展示+实时数据</w:t>
            </w:r>
          </w:p>
        </w:tc>
        <w:tc>
          <w:tcPr>
            <w:tcW w:w="1417" w:type="dxa"/>
            <w:shd w:val="clear" w:color="auto" w:fill="D6E4F0"/>
          </w:tcPr>
          <w:p w14:paraId="74F4738D" w14:textId="77777777" w:rsidR="00D21BEE" w:rsidRDefault="00000000">
            <w:pPr>
              <w:jc w:val="center"/>
              <w:rPr>
                <w:rFonts w:hint="eastAsia"/>
              </w:rPr>
            </w:pPr>
            <w:r>
              <w:rPr>
                <w:sz w:val="20"/>
              </w:rPr>
              <w:t>不要求</w:t>
            </w:r>
          </w:p>
        </w:tc>
        <w:tc>
          <w:tcPr>
            <w:tcW w:w="1134" w:type="dxa"/>
            <w:shd w:val="clear" w:color="auto" w:fill="D6E4F0"/>
          </w:tcPr>
          <w:p w14:paraId="6101E25B" w14:textId="77777777" w:rsidR="00D21BEE" w:rsidRDefault="00000000">
            <w:pPr>
              <w:jc w:val="center"/>
              <w:rPr>
                <w:rFonts w:hint="eastAsia"/>
              </w:rPr>
            </w:pPr>
            <w:r>
              <w:rPr>
                <w:sz w:val="20"/>
              </w:rPr>
              <w:t>L0～L1</w:t>
            </w:r>
          </w:p>
        </w:tc>
        <w:tc>
          <w:tcPr>
            <w:tcW w:w="2380" w:type="dxa"/>
            <w:shd w:val="clear" w:color="auto" w:fill="D6E4F0"/>
          </w:tcPr>
          <w:p w14:paraId="205599E6" w14:textId="77777777" w:rsidR="00D21BEE" w:rsidRDefault="00000000">
            <w:pPr>
              <w:jc w:val="center"/>
              <w:rPr>
                <w:rFonts w:hint="eastAsia"/>
              </w:rPr>
            </w:pPr>
            <w:r>
              <w:rPr>
                <w:sz w:val="20"/>
              </w:rPr>
              <w:t>监控展示、巡检管理</w:t>
            </w:r>
          </w:p>
        </w:tc>
      </w:tr>
      <w:tr w:rsidR="00D21BEE" w14:paraId="6FB1598F" w14:textId="77777777" w:rsidTr="0045258E">
        <w:trPr>
          <w:jc w:val="center"/>
        </w:trPr>
        <w:tc>
          <w:tcPr>
            <w:tcW w:w="2013" w:type="dxa"/>
          </w:tcPr>
          <w:p w14:paraId="380A6116" w14:textId="77777777" w:rsidR="00D21BEE" w:rsidRDefault="00000000">
            <w:pPr>
              <w:jc w:val="center"/>
              <w:rPr>
                <w:rFonts w:hint="eastAsia"/>
              </w:rPr>
            </w:pPr>
            <w:r>
              <w:rPr>
                <w:sz w:val="20"/>
              </w:rPr>
              <w:t>DT-2：仿真孪生</w:t>
            </w:r>
          </w:p>
        </w:tc>
        <w:tc>
          <w:tcPr>
            <w:tcW w:w="2126" w:type="dxa"/>
          </w:tcPr>
          <w:p w14:paraId="013B6635" w14:textId="77777777" w:rsidR="00D21BEE" w:rsidRDefault="00000000">
            <w:pPr>
              <w:jc w:val="center"/>
              <w:rPr>
                <w:rFonts w:hint="eastAsia"/>
              </w:rPr>
            </w:pPr>
            <w:r>
              <w:rPr>
                <w:sz w:val="20"/>
              </w:rPr>
              <w:t>机理仿真+数据同化</w:t>
            </w:r>
          </w:p>
        </w:tc>
        <w:tc>
          <w:tcPr>
            <w:tcW w:w="1417" w:type="dxa"/>
          </w:tcPr>
          <w:p w14:paraId="5ECCB13B" w14:textId="77777777" w:rsidR="00D21BEE" w:rsidRDefault="00000000">
            <w:pPr>
              <w:jc w:val="center"/>
              <w:rPr>
                <w:rFonts w:hint="eastAsia"/>
              </w:rPr>
            </w:pPr>
            <w:r>
              <w:rPr>
                <w:sz w:val="20"/>
              </w:rPr>
              <w:t>TF≥0.85</w:t>
            </w:r>
          </w:p>
        </w:tc>
        <w:tc>
          <w:tcPr>
            <w:tcW w:w="1134" w:type="dxa"/>
          </w:tcPr>
          <w:p w14:paraId="6DB80431" w14:textId="77777777" w:rsidR="00D21BEE" w:rsidRDefault="00000000">
            <w:pPr>
              <w:jc w:val="center"/>
              <w:rPr>
                <w:rFonts w:hint="eastAsia"/>
              </w:rPr>
            </w:pPr>
            <w:r>
              <w:rPr>
                <w:sz w:val="20"/>
              </w:rPr>
              <w:t>L2～L3</w:t>
            </w:r>
          </w:p>
        </w:tc>
        <w:tc>
          <w:tcPr>
            <w:tcW w:w="2380" w:type="dxa"/>
          </w:tcPr>
          <w:p w14:paraId="4785B659" w14:textId="77777777" w:rsidR="00D21BEE" w:rsidRDefault="00000000">
            <w:pPr>
              <w:jc w:val="center"/>
              <w:rPr>
                <w:rFonts w:hint="eastAsia"/>
              </w:rPr>
            </w:pPr>
            <w:r>
              <w:rPr>
                <w:sz w:val="20"/>
              </w:rPr>
              <w:t>状态估计、预测分析</w:t>
            </w:r>
          </w:p>
        </w:tc>
      </w:tr>
      <w:tr w:rsidR="00D21BEE" w14:paraId="30882D45" w14:textId="77777777" w:rsidTr="0045258E">
        <w:trPr>
          <w:jc w:val="center"/>
        </w:trPr>
        <w:tc>
          <w:tcPr>
            <w:tcW w:w="2013" w:type="dxa"/>
            <w:shd w:val="clear" w:color="auto" w:fill="D6E4F0"/>
          </w:tcPr>
          <w:p w14:paraId="01C5AC01" w14:textId="77777777" w:rsidR="00D21BEE" w:rsidRDefault="00000000">
            <w:pPr>
              <w:jc w:val="center"/>
              <w:rPr>
                <w:rFonts w:hint="eastAsia"/>
              </w:rPr>
            </w:pPr>
            <w:r>
              <w:rPr>
                <w:sz w:val="20"/>
              </w:rPr>
              <w:t>DT-3：决策孪生</w:t>
            </w:r>
          </w:p>
        </w:tc>
        <w:tc>
          <w:tcPr>
            <w:tcW w:w="2126" w:type="dxa"/>
            <w:shd w:val="clear" w:color="auto" w:fill="D6E4F0"/>
          </w:tcPr>
          <w:p w14:paraId="176448F4" w14:textId="77777777" w:rsidR="00D21BEE" w:rsidRDefault="00000000">
            <w:pPr>
              <w:jc w:val="center"/>
              <w:rPr>
                <w:rFonts w:hint="eastAsia"/>
              </w:rPr>
            </w:pPr>
            <w:r>
              <w:rPr>
                <w:sz w:val="20"/>
              </w:rPr>
              <w:t>MPC+场景验证+闭环</w:t>
            </w:r>
          </w:p>
        </w:tc>
        <w:tc>
          <w:tcPr>
            <w:tcW w:w="1417" w:type="dxa"/>
            <w:shd w:val="clear" w:color="auto" w:fill="D6E4F0"/>
          </w:tcPr>
          <w:p w14:paraId="7D4F8105" w14:textId="77777777" w:rsidR="00D21BEE" w:rsidRDefault="00000000">
            <w:pPr>
              <w:jc w:val="center"/>
              <w:rPr>
                <w:rFonts w:hint="eastAsia"/>
              </w:rPr>
            </w:pPr>
            <w:r>
              <w:rPr>
                <w:sz w:val="20"/>
              </w:rPr>
              <w:t>TF≥0.95</w:t>
            </w:r>
          </w:p>
        </w:tc>
        <w:tc>
          <w:tcPr>
            <w:tcW w:w="1134" w:type="dxa"/>
            <w:shd w:val="clear" w:color="auto" w:fill="D6E4F0"/>
          </w:tcPr>
          <w:p w14:paraId="6E159F7D" w14:textId="77777777" w:rsidR="00D21BEE" w:rsidRDefault="00000000">
            <w:pPr>
              <w:jc w:val="center"/>
              <w:rPr>
                <w:rFonts w:hint="eastAsia"/>
              </w:rPr>
            </w:pPr>
            <w:r>
              <w:rPr>
                <w:sz w:val="20"/>
              </w:rPr>
              <w:t>L3～L4</w:t>
            </w:r>
          </w:p>
        </w:tc>
        <w:tc>
          <w:tcPr>
            <w:tcW w:w="2380" w:type="dxa"/>
            <w:shd w:val="clear" w:color="auto" w:fill="D6E4F0"/>
          </w:tcPr>
          <w:p w14:paraId="4E947638" w14:textId="77777777" w:rsidR="00D21BEE" w:rsidRDefault="00000000">
            <w:pPr>
              <w:jc w:val="center"/>
              <w:rPr>
                <w:rFonts w:hint="eastAsia"/>
              </w:rPr>
            </w:pPr>
            <w:r>
              <w:rPr>
                <w:sz w:val="20"/>
              </w:rPr>
              <w:t>自主运行、在线优化</w:t>
            </w:r>
          </w:p>
        </w:tc>
      </w:tr>
    </w:tbl>
    <w:p w14:paraId="733D6B42" w14:textId="77777777" w:rsidR="00D21BEE" w:rsidRDefault="00000000">
      <w:pPr>
        <w:jc w:val="center"/>
        <w:rPr>
          <w:rFonts w:hint="eastAsia"/>
          <w:lang w:eastAsia="zh-CN"/>
        </w:rPr>
      </w:pPr>
      <w:r>
        <w:rPr>
          <w:b/>
          <w:sz w:val="20"/>
          <w:lang w:eastAsia="zh-CN"/>
        </w:rPr>
        <w:t>表4-3  水网数字孪生成熟度等级</w:t>
      </w:r>
    </w:p>
    <w:p w14:paraId="1648AFDA" w14:textId="2C444329" w:rsidR="00D21BEE" w:rsidRDefault="00000000">
      <w:pPr>
        <w:ind w:firstLine="482"/>
        <w:rPr>
          <w:rFonts w:hint="eastAsia"/>
          <w:lang w:eastAsia="zh-CN"/>
        </w:rPr>
      </w:pPr>
      <w:r>
        <w:rPr>
          <w:lang w:eastAsia="zh-CN"/>
        </w:rPr>
        <w:t>当前中国水利行业的绝大多数数字孪生项目处于DT-1等级，少数先进项目（如南水北调中线智能调度系统）已达到DT-2等级[27]。</w:t>
      </w:r>
      <w:r w:rsidR="00647513">
        <w:rPr>
          <w:rFonts w:hint="eastAsia"/>
          <w:lang w:eastAsia="zh-CN"/>
        </w:rPr>
        <w:t>水网</w:t>
      </w:r>
      <w:r>
        <w:rPr>
          <w:lang w:eastAsia="zh-CN"/>
        </w:rPr>
        <w:t>大模型的目标是将水网数字孪生推进到DT-3等级，实现真正的闭环自主运行。从DT-2到DT-3的跃迁需要攻克三个核心挑战：模型预测的实时性（全网状态更新周期不超过5分钟）、控制策略的可验证性（基于场景库的SIL/HIL测试）、以及人机交接的安全性（明确的ODD边界和降级策略）。这三个挑战分别对应数字孪生的计算效率、可信度和安全保障能力。</w:t>
      </w:r>
    </w:p>
    <w:p w14:paraId="7D8EEED2" w14:textId="77777777" w:rsidR="00D21BEE" w:rsidRDefault="00000000">
      <w:pPr>
        <w:spacing w:before="280" w:after="200"/>
        <w:rPr>
          <w:rFonts w:hint="eastAsia"/>
        </w:rPr>
      </w:pPr>
      <w:r>
        <w:rPr>
          <w:b/>
          <w:sz w:val="28"/>
        </w:rPr>
        <w:t>4.3 多智能体系统架构</w:t>
      </w:r>
    </w:p>
    <w:p w14:paraId="6F6CEA11" w14:textId="77777777" w:rsidR="00D21BEE" w:rsidRDefault="00000000">
      <w:pPr>
        <w:ind w:firstLine="482"/>
        <w:rPr>
          <w:rFonts w:hint="eastAsia"/>
          <w:lang w:eastAsia="zh-CN"/>
        </w:rPr>
      </w:pPr>
      <w:r>
        <w:lastRenderedPageBreak/>
        <w:t>水网系统的多目标、多主体、地理分散特征，天然适合采用多智能体系统（Multi-Agent System, MAS）架构[28]。与集中式架构相比，MAS架构的核心优势包括：可扩展性（新增节点无需重构全系统）、鲁棒性（单个智能体故障不影响全局）、灵活性（不同智能体可采用不同的决策策略）。</w:t>
      </w:r>
      <w:r>
        <w:rPr>
          <w:lang w:eastAsia="zh-CN"/>
        </w:rPr>
        <w:t>在水网自主运行场景中，每个智能体对应一个控制单元（如一个节制闸或一个泵站群），通过局部信息交换和协商协议实现全局协调[29]。</w:t>
      </w:r>
    </w:p>
    <w:p w14:paraId="405C9113" w14:textId="77777777" w:rsidR="00D21BEE" w:rsidRDefault="00000000">
      <w:pPr>
        <w:spacing w:before="200" w:after="160"/>
        <w:rPr>
          <w:rFonts w:hint="eastAsia"/>
          <w:lang w:eastAsia="zh-CN"/>
        </w:rPr>
      </w:pPr>
      <w:r>
        <w:rPr>
          <w:b/>
          <w:sz w:val="26"/>
          <w:lang w:eastAsia="zh-CN"/>
        </w:rPr>
        <w:t>4.3.1 智能体类型与职责分工</w:t>
      </w:r>
    </w:p>
    <w:p w14:paraId="43CF7877" w14:textId="77777777" w:rsidR="00244A18" w:rsidRDefault="00244A18">
      <w:pPr>
        <w:ind w:firstLine="482"/>
        <w:rPr>
          <w:lang w:eastAsia="zh-CN"/>
        </w:rPr>
      </w:pPr>
      <w:r>
        <w:rPr>
          <w:rFonts w:hint="eastAsia"/>
          <w:lang w:eastAsia="zh-CN"/>
        </w:rPr>
        <w:t>水网</w:t>
      </w:r>
      <w:r w:rsidR="00000000">
        <w:rPr>
          <w:lang w:eastAsia="zh-CN"/>
        </w:rPr>
        <w:t>大模型的MAS架构定义了四类智能体。</w:t>
      </w:r>
    </w:p>
    <w:p w14:paraId="1619B3DC" w14:textId="77777777" w:rsidR="00244A18" w:rsidRDefault="00000000">
      <w:pPr>
        <w:ind w:firstLine="482"/>
        <w:rPr>
          <w:lang w:eastAsia="zh-CN"/>
        </w:rPr>
      </w:pPr>
      <w:r w:rsidRPr="00590F5A">
        <w:rPr>
          <w:b/>
          <w:bCs/>
          <w:lang w:eastAsia="zh-CN"/>
        </w:rPr>
        <w:t>感知智能体</w:t>
      </w:r>
      <w:r>
        <w:rPr>
          <w:lang w:eastAsia="zh-CN"/>
        </w:rPr>
        <w:t>（Sensing Agent）负责数据采集、质量控制、异常检测和状态估计。每个感知智能体管理一组传感器，并将原始数据转化为可信的状态信息。感知智能体的核心能力是数据质量评估——当传感器出现漂移、卡顿或异常跳变时，能够自动识别并进行数据修复或标记。</w:t>
      </w:r>
    </w:p>
    <w:p w14:paraId="3A366C54" w14:textId="588C36A8" w:rsidR="00D21BEE" w:rsidRDefault="00000000">
      <w:pPr>
        <w:ind w:firstLine="482"/>
        <w:rPr>
          <w:rFonts w:hint="eastAsia"/>
          <w:lang w:eastAsia="zh-CN"/>
        </w:rPr>
      </w:pPr>
      <w:r w:rsidRPr="00590F5A">
        <w:rPr>
          <w:b/>
          <w:bCs/>
          <w:lang w:eastAsia="zh-CN"/>
        </w:rPr>
        <w:t>控制智能体</w:t>
      </w:r>
      <w:r>
        <w:rPr>
          <w:lang w:eastAsia="zh-CN"/>
        </w:rPr>
        <w:t>（Control Agent）负责局部控制决策和执行，包括闸门开度调节、泵站启停控制等。每个控制智能体运行一个局部MPC控制器，在满足安全约束的前提下追踪上级下发的目标值。</w:t>
      </w:r>
    </w:p>
    <w:p w14:paraId="732B208A" w14:textId="77777777" w:rsidR="00244A18" w:rsidRDefault="00000000">
      <w:pPr>
        <w:ind w:firstLine="482"/>
        <w:rPr>
          <w:lang w:eastAsia="zh-CN"/>
        </w:rPr>
      </w:pPr>
      <w:r w:rsidRPr="00590F5A">
        <w:rPr>
          <w:b/>
          <w:bCs/>
          <w:lang w:eastAsia="zh-CN"/>
        </w:rPr>
        <w:t>协调智能体</w:t>
      </w:r>
      <w:r>
        <w:rPr>
          <w:lang w:eastAsia="zh-CN"/>
        </w:rPr>
        <w:t>（Coordination Agent）负责多个控制智能体之间的协调与冲突消解，对应云-边-端架构中的边侧功能。协调智能体的核心算法是分布式协商协议，通过迭代信息交换使各控制智能体的局部决策趋向全局一致。</w:t>
      </w:r>
    </w:p>
    <w:p w14:paraId="6996F4E5" w14:textId="77777777" w:rsidR="002219DC" w:rsidRDefault="00000000">
      <w:pPr>
        <w:ind w:firstLine="482"/>
        <w:rPr>
          <w:lang w:eastAsia="zh-CN"/>
        </w:rPr>
      </w:pPr>
      <w:r w:rsidRPr="00590F5A">
        <w:rPr>
          <w:b/>
          <w:bCs/>
          <w:lang w:eastAsia="zh-CN"/>
        </w:rPr>
        <w:t>监督智能体</w:t>
      </w:r>
      <w:r>
        <w:rPr>
          <w:lang w:eastAsia="zh-CN"/>
        </w:rPr>
        <w:t>（Supervisory Agent）负责全局目标设定、约束一致性检查和人机交互管理，对应云侧功能[30]。监督智能体还负责</w:t>
      </w:r>
      <w:r w:rsidRPr="00C74239">
        <w:rPr>
          <w:b/>
          <w:bCs/>
          <w:lang w:eastAsia="zh-CN"/>
        </w:rPr>
        <w:t>场景识别</w:t>
      </w:r>
      <w:r>
        <w:rPr>
          <w:lang w:eastAsia="zh-CN"/>
        </w:rPr>
        <w:t>——根据当前工况自动判断系统处于哪种运行场景，并据此选择相应的控制策略和约束集。</w:t>
      </w:r>
    </w:p>
    <w:p w14:paraId="54E6B7F8" w14:textId="7F39DB17" w:rsidR="00D21BEE" w:rsidRDefault="00000000">
      <w:pPr>
        <w:ind w:firstLine="482"/>
        <w:rPr>
          <w:rFonts w:hint="eastAsia"/>
          <w:lang w:eastAsia="zh-CN"/>
        </w:rPr>
      </w:pPr>
      <w:r>
        <w:rPr>
          <w:lang w:eastAsia="zh-CN"/>
        </w:rPr>
        <w:t>四类智能体之间的信息流为：感知→控制→协调→监督（自下而上的状态报告），监督→协调→控制→感知（自上而下的指令传达）。</w:t>
      </w:r>
    </w:p>
    <w:p w14:paraId="322C7CB0" w14:textId="77777777" w:rsidR="00D21BEE" w:rsidRDefault="00000000">
      <w:pPr>
        <w:spacing w:before="200" w:after="160"/>
        <w:rPr>
          <w:rFonts w:hint="eastAsia"/>
          <w:lang w:eastAsia="zh-CN"/>
        </w:rPr>
      </w:pPr>
      <w:r>
        <w:rPr>
          <w:b/>
          <w:sz w:val="26"/>
          <w:lang w:eastAsia="zh-CN"/>
        </w:rPr>
        <w:t>4.3.2 共识算法与协商收敛</w:t>
      </w:r>
    </w:p>
    <w:p w14:paraId="6FB82C60" w14:textId="77777777" w:rsidR="00D21BEE" w:rsidRDefault="00000000">
      <w:pPr>
        <w:ind w:firstLine="482"/>
        <w:rPr>
          <w:rFonts w:hint="eastAsia"/>
          <w:lang w:eastAsia="zh-CN"/>
        </w:rPr>
      </w:pPr>
      <w:r>
        <w:rPr>
          <w:lang w:eastAsia="zh-CN"/>
        </w:rPr>
        <w:t>多智能体协调的数学基础是共识算法。对于水网中的n个控制智能体，每个智能体i维护一个局部决策变量x_i，共识协议要求所有智能体的决策最终收敛到一致解：</w:t>
      </w:r>
    </w:p>
    <w:p w14:paraId="078B40CF" w14:textId="2E9F91FB" w:rsidR="00D21BEE" w:rsidRDefault="00467A22">
      <w:pPr>
        <w:ind w:firstLine="482"/>
        <w:rPr>
          <w:rFonts w:hint="eastAsia"/>
        </w:rPr>
      </w:pPr>
      <w:r w:rsidRPr="00467A22">
        <w:t>x</w:t>
      </w:r>
      <w:r w:rsidRPr="00467A22">
        <w:rPr>
          <w:rFonts w:ascii="Times New Roman" w:hAnsi="Times New Roman" w:cs="Times New Roman"/>
        </w:rPr>
        <w:t>ᵢ</w:t>
      </w:r>
      <w:r w:rsidRPr="00467A22">
        <w:t>(k+1) = x</w:t>
      </w:r>
      <w:r w:rsidRPr="00467A22">
        <w:rPr>
          <w:rFonts w:ascii="Times New Roman" w:hAnsi="Times New Roman" w:cs="Times New Roman"/>
        </w:rPr>
        <w:t>ᵢ</w:t>
      </w:r>
      <w:r w:rsidRPr="00467A22">
        <w:t>(k) + ε Σ(j∈N</w:t>
      </w:r>
      <w:r w:rsidRPr="00467A22">
        <w:rPr>
          <w:rFonts w:ascii="Times New Roman" w:hAnsi="Times New Roman" w:cs="Times New Roman"/>
        </w:rPr>
        <w:t>ᵢ</w:t>
      </w:r>
      <w:r w:rsidRPr="00467A22">
        <w:t>) a</w:t>
      </w:r>
      <w:r w:rsidRPr="00467A22">
        <w:rPr>
          <w:rFonts w:ascii="Times New Roman" w:hAnsi="Times New Roman" w:cs="Times New Roman"/>
        </w:rPr>
        <w:t>ᵢⱼ</w:t>
      </w:r>
      <w:r w:rsidRPr="00467A22">
        <w:t xml:space="preserve"> [x</w:t>
      </w:r>
      <w:r w:rsidRPr="00467A22">
        <w:rPr>
          <w:rFonts w:ascii="Times New Roman" w:hAnsi="Times New Roman" w:cs="Times New Roman"/>
        </w:rPr>
        <w:t>ⱼ</w:t>
      </w:r>
      <w:r w:rsidRPr="00467A22">
        <w:t xml:space="preserve">(k) </w:t>
      </w:r>
      <w:r w:rsidRPr="00467A22">
        <w:rPr>
          <w:rFonts w:ascii="Cambria Math" w:hAnsi="Cambria Math" w:cs="Cambria Math"/>
        </w:rPr>
        <w:t>−</w:t>
      </w:r>
      <w:r w:rsidRPr="00467A22">
        <w:t xml:space="preserve"> x</w:t>
      </w:r>
      <w:r w:rsidRPr="00467A22">
        <w:rPr>
          <w:rFonts w:ascii="Times New Roman" w:hAnsi="Times New Roman" w:cs="Times New Roman"/>
        </w:rPr>
        <w:t>ᵢ</w:t>
      </w:r>
      <w:r w:rsidRPr="00467A22">
        <w:t>(k)]</w:t>
      </w:r>
      <w:r w:rsidR="00000000">
        <w:t xml:space="preserve">    （式4-3）</w:t>
      </w:r>
    </w:p>
    <w:p w14:paraId="04420844" w14:textId="77777777" w:rsidR="00D21BEE" w:rsidRDefault="00000000">
      <w:pPr>
        <w:ind w:firstLine="482"/>
        <w:rPr>
          <w:rFonts w:hint="eastAsia"/>
          <w:lang w:eastAsia="zh-CN"/>
        </w:rPr>
      </w:pPr>
      <w:r>
        <w:rPr>
          <w:lang w:eastAsia="zh-CN"/>
        </w:rPr>
        <w:t>式中：</w:t>
      </w:r>
      <w:r>
        <w:t>ε</w:t>
      </w:r>
      <w:r>
        <w:rPr>
          <w:lang w:eastAsia="zh-CN"/>
        </w:rPr>
        <w:t>为步长参数；N_i为智能体i的邻居集合；a_{ij}为邻接权重。当通信拓扑图连通且a_{ij}满足双随机条件时，所有智能体的决策值渐近收敛到全局平均值[31]。在水网应用中，共识算法需要扩展以处理异质约束。每个智能体不仅需要达成共识，还需要满足各自的局部约束（如闸门开度上下限、泵站启停规则）。这通过引入投影算子P_i实现：每次共识更新后，将结果投影到局部可行域内。理论分析表明，在凸约束条件下，带投影的共识算法在O(1/k)速率下收敛到约束一致解[32]。</w:t>
      </w:r>
    </w:p>
    <w:p w14:paraId="7443BB9E" w14:textId="77777777" w:rsidR="00D21BEE" w:rsidRDefault="00000000">
      <w:pPr>
        <w:ind w:firstLine="482"/>
        <w:rPr>
          <w:rFonts w:hint="eastAsia"/>
          <w:lang w:eastAsia="zh-CN"/>
        </w:rPr>
      </w:pPr>
      <w:r>
        <w:rPr>
          <w:lang w:eastAsia="zh-CN"/>
        </w:rPr>
        <w:lastRenderedPageBreak/>
        <w:t>共识算法的收敛速度受通信拓扑的连通性影响。对于水网的线性拓扑（如南水北调中线的串联渠道），标准共识算法的收敛速度较慢，因为信息需要沿线逐级传播。为加速收敛，天河大模型采用了多尺度共识策略：在物理邻居之间进行快速共识（对应局部水力耦合），同时通过“长程连接”（对应边-云-边的通信路径）实现跨区域信息快速传播。这种多尺度通信策略可将收敛速度提升一个数量级。</w:t>
      </w:r>
    </w:p>
    <w:p w14:paraId="65818EF6" w14:textId="77777777" w:rsidR="00D21BEE" w:rsidRDefault="00000000">
      <w:pPr>
        <w:spacing w:before="200" w:after="160"/>
        <w:rPr>
          <w:rFonts w:hint="eastAsia"/>
          <w:lang w:eastAsia="zh-CN"/>
        </w:rPr>
      </w:pPr>
      <w:r>
        <w:rPr>
          <w:b/>
          <w:sz w:val="26"/>
          <w:lang w:eastAsia="zh-CN"/>
        </w:rPr>
        <w:t>4.3.3 分布式模型预测控制（DMPC）</w:t>
      </w:r>
    </w:p>
    <w:p w14:paraId="3656693B" w14:textId="77777777" w:rsidR="00D21BEE" w:rsidRDefault="00000000">
      <w:pPr>
        <w:ind w:firstLine="482"/>
        <w:rPr>
          <w:rFonts w:hint="eastAsia"/>
          <w:lang w:eastAsia="zh-CN"/>
        </w:rPr>
      </w:pPr>
      <w:r>
        <w:rPr>
          <w:lang w:eastAsia="zh-CN"/>
        </w:rPr>
        <w:t>分布式MPC是MAS架构下实现协调控制的核心算法。与集中式MPC相比，DMPC将全局优化问题分解为多个局部子问题，每个智能体求解自己的子问题，通过信息交换实现全局协调[33]。Negenborn等人在灌溉渠道MPC控制方面的开创性工作证明了DMPC在大规模水系统中的可行性[29]。DMPC的核心优势在于：将计算复杂度从O(n³)降低到O(m³)×p（其中n为全局状态维数，m为局部状态维数，p为智能体数量），使得大规模水网的实时优化成为可能。</w:t>
      </w:r>
    </w:p>
    <w:p w14:paraId="2C0FCB8F" w14:textId="18041B17" w:rsidR="00D21BEE" w:rsidRDefault="00A03A19">
      <w:pPr>
        <w:ind w:firstLine="482"/>
        <w:rPr>
          <w:rFonts w:hint="eastAsia"/>
          <w:lang w:eastAsia="zh-CN"/>
        </w:rPr>
      </w:pPr>
      <w:r>
        <w:rPr>
          <w:rFonts w:hint="eastAsia"/>
          <w:lang w:eastAsia="zh-CN"/>
        </w:rPr>
        <w:t>水网</w:t>
      </w:r>
      <w:r w:rsidR="00000000">
        <w:rPr>
          <w:lang w:eastAsia="zh-CN"/>
        </w:rPr>
        <w:t>大模型采用的DMPC方案基于“目标协商-约束耦合”框架。具体而言，云侧的监督智能体先求解一个简化的全局优化问题，得到各区域的目标值和边界约束；然后将这些目标和约束下发给边侧的协调智能体；协调智能体在局部精细模型上求解各自的局部优化问题，同时通过边界交换与相邻智能体进行协商[34]。这种“上级引导、下级细化”的分层协商机制，兼顾了全局最优性和计算可行性。经过3～5轮迭代协商，局部解通常可以收敛到全局最优解的95%以内。</w:t>
      </w:r>
    </w:p>
    <w:p w14:paraId="7500FF98" w14:textId="77777777" w:rsidR="00D21BEE" w:rsidRDefault="00000000">
      <w:pPr>
        <w:ind w:firstLine="482"/>
        <w:rPr>
          <w:rFonts w:hint="eastAsia"/>
          <w:lang w:eastAsia="zh-CN"/>
        </w:rPr>
      </w:pPr>
      <w:r>
        <w:rPr>
          <w:lang w:eastAsia="zh-CN"/>
        </w:rPr>
        <w:t>表4-4对比了集中式MPC与分布式MPC的关键特性。</w:t>
      </w:r>
    </w:p>
    <w:tbl>
      <w:tblPr>
        <w:tblW w:w="0" w:type="auto"/>
        <w:jc w:val="center"/>
        <w:tblLook w:val="04A0" w:firstRow="1" w:lastRow="0" w:firstColumn="1" w:lastColumn="0" w:noHBand="0" w:noVBand="1"/>
      </w:tblPr>
      <w:tblGrid>
        <w:gridCol w:w="1417"/>
        <w:gridCol w:w="1701"/>
        <w:gridCol w:w="1701"/>
        <w:gridCol w:w="2268"/>
      </w:tblGrid>
      <w:tr w:rsidR="00D21BEE" w14:paraId="37D71F67" w14:textId="77777777">
        <w:trPr>
          <w:jc w:val="center"/>
        </w:trPr>
        <w:tc>
          <w:tcPr>
            <w:tcW w:w="1417" w:type="dxa"/>
            <w:shd w:val="clear" w:color="auto" w:fill="1F4E79"/>
          </w:tcPr>
          <w:p w14:paraId="425A5178" w14:textId="77777777" w:rsidR="00D21BEE" w:rsidRDefault="00000000">
            <w:pPr>
              <w:jc w:val="center"/>
              <w:rPr>
                <w:rFonts w:hint="eastAsia"/>
              </w:rPr>
            </w:pPr>
            <w:r>
              <w:rPr>
                <w:b/>
                <w:color w:val="FFFFFF"/>
                <w:sz w:val="21"/>
              </w:rPr>
              <w:t>特性</w:t>
            </w:r>
          </w:p>
        </w:tc>
        <w:tc>
          <w:tcPr>
            <w:tcW w:w="1701" w:type="dxa"/>
            <w:shd w:val="clear" w:color="auto" w:fill="1F4E79"/>
          </w:tcPr>
          <w:p w14:paraId="1DF44E20" w14:textId="77777777" w:rsidR="00D21BEE" w:rsidRDefault="00000000">
            <w:pPr>
              <w:jc w:val="center"/>
              <w:rPr>
                <w:rFonts w:hint="eastAsia"/>
              </w:rPr>
            </w:pPr>
            <w:r>
              <w:rPr>
                <w:b/>
                <w:color w:val="FFFFFF"/>
                <w:sz w:val="21"/>
              </w:rPr>
              <w:t>集中式MPC</w:t>
            </w:r>
          </w:p>
        </w:tc>
        <w:tc>
          <w:tcPr>
            <w:tcW w:w="1701" w:type="dxa"/>
            <w:shd w:val="clear" w:color="auto" w:fill="1F4E79"/>
          </w:tcPr>
          <w:p w14:paraId="4065D9D2" w14:textId="77777777" w:rsidR="00D21BEE" w:rsidRDefault="00000000">
            <w:pPr>
              <w:jc w:val="center"/>
              <w:rPr>
                <w:rFonts w:hint="eastAsia"/>
              </w:rPr>
            </w:pPr>
            <w:r>
              <w:rPr>
                <w:b/>
                <w:color w:val="FFFFFF"/>
                <w:sz w:val="21"/>
              </w:rPr>
              <w:t>分布式MPC</w:t>
            </w:r>
          </w:p>
        </w:tc>
        <w:tc>
          <w:tcPr>
            <w:tcW w:w="2268" w:type="dxa"/>
            <w:shd w:val="clear" w:color="auto" w:fill="1F4E79"/>
          </w:tcPr>
          <w:p w14:paraId="1E622FF9" w14:textId="77777777" w:rsidR="00D21BEE" w:rsidRDefault="00000000">
            <w:pPr>
              <w:jc w:val="center"/>
              <w:rPr>
                <w:rFonts w:hint="eastAsia"/>
              </w:rPr>
            </w:pPr>
            <w:r>
              <w:rPr>
                <w:b/>
                <w:color w:val="FFFFFF"/>
                <w:sz w:val="21"/>
              </w:rPr>
              <w:t>水网适用性评价</w:t>
            </w:r>
          </w:p>
        </w:tc>
      </w:tr>
      <w:tr w:rsidR="00D21BEE" w14:paraId="3EEC1C91" w14:textId="77777777">
        <w:trPr>
          <w:jc w:val="center"/>
        </w:trPr>
        <w:tc>
          <w:tcPr>
            <w:tcW w:w="1417" w:type="dxa"/>
            <w:shd w:val="clear" w:color="auto" w:fill="D6E4F0"/>
          </w:tcPr>
          <w:p w14:paraId="52DC71E2" w14:textId="77777777" w:rsidR="00D21BEE" w:rsidRDefault="00000000">
            <w:pPr>
              <w:jc w:val="center"/>
              <w:rPr>
                <w:rFonts w:hint="eastAsia"/>
              </w:rPr>
            </w:pPr>
            <w:r>
              <w:rPr>
                <w:sz w:val="20"/>
              </w:rPr>
              <w:t>计算复杂度</w:t>
            </w:r>
          </w:p>
        </w:tc>
        <w:tc>
          <w:tcPr>
            <w:tcW w:w="1701" w:type="dxa"/>
            <w:shd w:val="clear" w:color="auto" w:fill="D6E4F0"/>
          </w:tcPr>
          <w:p w14:paraId="6E09BF2B" w14:textId="77777777" w:rsidR="00D21BEE" w:rsidRDefault="00000000">
            <w:pPr>
              <w:jc w:val="center"/>
              <w:rPr>
                <w:rFonts w:hint="eastAsia"/>
              </w:rPr>
            </w:pPr>
            <w:r>
              <w:rPr>
                <w:sz w:val="20"/>
              </w:rPr>
              <w:t>O(n³)</w:t>
            </w:r>
          </w:p>
        </w:tc>
        <w:tc>
          <w:tcPr>
            <w:tcW w:w="1701" w:type="dxa"/>
            <w:shd w:val="clear" w:color="auto" w:fill="D6E4F0"/>
          </w:tcPr>
          <w:p w14:paraId="06F7CD2F" w14:textId="77777777" w:rsidR="00D21BEE" w:rsidRDefault="00000000">
            <w:pPr>
              <w:jc w:val="center"/>
              <w:rPr>
                <w:rFonts w:hint="eastAsia"/>
              </w:rPr>
            </w:pPr>
            <w:r>
              <w:rPr>
                <w:sz w:val="20"/>
              </w:rPr>
              <w:t>O(m³)×p</w:t>
            </w:r>
          </w:p>
        </w:tc>
        <w:tc>
          <w:tcPr>
            <w:tcW w:w="2268" w:type="dxa"/>
            <w:shd w:val="clear" w:color="auto" w:fill="D6E4F0"/>
          </w:tcPr>
          <w:p w14:paraId="6B874197" w14:textId="77777777" w:rsidR="00D21BEE" w:rsidRDefault="00000000">
            <w:pPr>
              <w:jc w:val="center"/>
              <w:rPr>
                <w:rFonts w:hint="eastAsia"/>
              </w:rPr>
            </w:pPr>
            <w:r>
              <w:rPr>
                <w:sz w:val="20"/>
              </w:rPr>
              <w:t>分布式更优</w:t>
            </w:r>
          </w:p>
        </w:tc>
      </w:tr>
      <w:tr w:rsidR="00D21BEE" w14:paraId="31BA1203" w14:textId="77777777">
        <w:trPr>
          <w:jc w:val="center"/>
        </w:trPr>
        <w:tc>
          <w:tcPr>
            <w:tcW w:w="1417" w:type="dxa"/>
          </w:tcPr>
          <w:p w14:paraId="0310B0EF" w14:textId="77777777" w:rsidR="00D21BEE" w:rsidRDefault="00000000">
            <w:pPr>
              <w:jc w:val="center"/>
              <w:rPr>
                <w:rFonts w:hint="eastAsia"/>
              </w:rPr>
            </w:pPr>
            <w:r>
              <w:rPr>
                <w:sz w:val="20"/>
              </w:rPr>
              <w:t>通信需求</w:t>
            </w:r>
          </w:p>
        </w:tc>
        <w:tc>
          <w:tcPr>
            <w:tcW w:w="1701" w:type="dxa"/>
          </w:tcPr>
          <w:p w14:paraId="32607487" w14:textId="77777777" w:rsidR="00D21BEE" w:rsidRDefault="00000000">
            <w:pPr>
              <w:jc w:val="center"/>
              <w:rPr>
                <w:rFonts w:hint="eastAsia"/>
              </w:rPr>
            </w:pPr>
            <w:r>
              <w:rPr>
                <w:sz w:val="20"/>
              </w:rPr>
              <w:t>全局信息</w:t>
            </w:r>
          </w:p>
        </w:tc>
        <w:tc>
          <w:tcPr>
            <w:tcW w:w="1701" w:type="dxa"/>
          </w:tcPr>
          <w:p w14:paraId="39631F42" w14:textId="77777777" w:rsidR="00D21BEE" w:rsidRDefault="00000000">
            <w:pPr>
              <w:jc w:val="center"/>
              <w:rPr>
                <w:rFonts w:hint="eastAsia"/>
              </w:rPr>
            </w:pPr>
            <w:r>
              <w:rPr>
                <w:sz w:val="20"/>
              </w:rPr>
              <w:t>邻居信息</w:t>
            </w:r>
          </w:p>
        </w:tc>
        <w:tc>
          <w:tcPr>
            <w:tcW w:w="2268" w:type="dxa"/>
          </w:tcPr>
          <w:p w14:paraId="2AB30B02" w14:textId="77777777" w:rsidR="00D21BEE" w:rsidRDefault="00000000">
            <w:pPr>
              <w:jc w:val="center"/>
              <w:rPr>
                <w:rFonts w:hint="eastAsia"/>
              </w:rPr>
            </w:pPr>
            <w:r>
              <w:rPr>
                <w:sz w:val="20"/>
              </w:rPr>
              <w:t>分布式更优</w:t>
            </w:r>
          </w:p>
        </w:tc>
      </w:tr>
      <w:tr w:rsidR="00D21BEE" w14:paraId="239301AA" w14:textId="77777777">
        <w:trPr>
          <w:jc w:val="center"/>
        </w:trPr>
        <w:tc>
          <w:tcPr>
            <w:tcW w:w="1417" w:type="dxa"/>
            <w:shd w:val="clear" w:color="auto" w:fill="D6E4F0"/>
          </w:tcPr>
          <w:p w14:paraId="4A51BF1A" w14:textId="77777777" w:rsidR="00D21BEE" w:rsidRDefault="00000000">
            <w:pPr>
              <w:jc w:val="center"/>
              <w:rPr>
                <w:rFonts w:hint="eastAsia"/>
              </w:rPr>
            </w:pPr>
            <w:r>
              <w:rPr>
                <w:sz w:val="20"/>
              </w:rPr>
              <w:t>全局最优性</w:t>
            </w:r>
          </w:p>
        </w:tc>
        <w:tc>
          <w:tcPr>
            <w:tcW w:w="1701" w:type="dxa"/>
            <w:shd w:val="clear" w:color="auto" w:fill="D6E4F0"/>
          </w:tcPr>
          <w:p w14:paraId="3D1D2342" w14:textId="77777777" w:rsidR="00D21BEE" w:rsidRDefault="00000000">
            <w:pPr>
              <w:jc w:val="center"/>
              <w:rPr>
                <w:rFonts w:hint="eastAsia"/>
              </w:rPr>
            </w:pPr>
            <w:r>
              <w:rPr>
                <w:sz w:val="20"/>
              </w:rPr>
              <w:t>保证</w:t>
            </w:r>
          </w:p>
        </w:tc>
        <w:tc>
          <w:tcPr>
            <w:tcW w:w="1701" w:type="dxa"/>
            <w:shd w:val="clear" w:color="auto" w:fill="D6E4F0"/>
          </w:tcPr>
          <w:p w14:paraId="21DE7A83" w14:textId="77777777" w:rsidR="00D21BEE" w:rsidRDefault="00000000">
            <w:pPr>
              <w:jc w:val="center"/>
              <w:rPr>
                <w:rFonts w:hint="eastAsia"/>
              </w:rPr>
            </w:pPr>
            <w:r>
              <w:rPr>
                <w:sz w:val="20"/>
              </w:rPr>
              <w:t>近似（&gt;95%）</w:t>
            </w:r>
          </w:p>
        </w:tc>
        <w:tc>
          <w:tcPr>
            <w:tcW w:w="2268" w:type="dxa"/>
            <w:shd w:val="clear" w:color="auto" w:fill="D6E4F0"/>
          </w:tcPr>
          <w:p w14:paraId="6F0EBDC4" w14:textId="77777777" w:rsidR="00D21BEE" w:rsidRDefault="00000000">
            <w:pPr>
              <w:jc w:val="center"/>
              <w:rPr>
                <w:rFonts w:hint="eastAsia"/>
              </w:rPr>
            </w:pPr>
            <w:r>
              <w:rPr>
                <w:sz w:val="20"/>
              </w:rPr>
              <w:t>可接受</w:t>
            </w:r>
          </w:p>
        </w:tc>
      </w:tr>
      <w:tr w:rsidR="00D21BEE" w14:paraId="78046F39" w14:textId="77777777">
        <w:trPr>
          <w:jc w:val="center"/>
        </w:trPr>
        <w:tc>
          <w:tcPr>
            <w:tcW w:w="1417" w:type="dxa"/>
          </w:tcPr>
          <w:p w14:paraId="59B39B2B" w14:textId="77777777" w:rsidR="00D21BEE" w:rsidRDefault="00000000">
            <w:pPr>
              <w:jc w:val="center"/>
              <w:rPr>
                <w:rFonts w:hint="eastAsia"/>
              </w:rPr>
            </w:pPr>
            <w:r>
              <w:rPr>
                <w:sz w:val="20"/>
              </w:rPr>
              <w:t>单点故障影响</w:t>
            </w:r>
          </w:p>
        </w:tc>
        <w:tc>
          <w:tcPr>
            <w:tcW w:w="1701" w:type="dxa"/>
          </w:tcPr>
          <w:p w14:paraId="5A54943D" w14:textId="77777777" w:rsidR="00D21BEE" w:rsidRDefault="00000000">
            <w:pPr>
              <w:jc w:val="center"/>
              <w:rPr>
                <w:rFonts w:hint="eastAsia"/>
              </w:rPr>
            </w:pPr>
            <w:r>
              <w:rPr>
                <w:sz w:val="20"/>
              </w:rPr>
              <w:t>全局失效</w:t>
            </w:r>
          </w:p>
        </w:tc>
        <w:tc>
          <w:tcPr>
            <w:tcW w:w="1701" w:type="dxa"/>
          </w:tcPr>
          <w:p w14:paraId="79C7DD45" w14:textId="77777777" w:rsidR="00D21BEE" w:rsidRDefault="00000000">
            <w:pPr>
              <w:jc w:val="center"/>
              <w:rPr>
                <w:rFonts w:hint="eastAsia"/>
              </w:rPr>
            </w:pPr>
            <w:r>
              <w:rPr>
                <w:sz w:val="20"/>
              </w:rPr>
              <w:t>局部影响</w:t>
            </w:r>
          </w:p>
        </w:tc>
        <w:tc>
          <w:tcPr>
            <w:tcW w:w="2268" w:type="dxa"/>
          </w:tcPr>
          <w:p w14:paraId="03809C9A" w14:textId="77777777" w:rsidR="00D21BEE" w:rsidRDefault="00000000">
            <w:pPr>
              <w:jc w:val="center"/>
              <w:rPr>
                <w:rFonts w:hint="eastAsia"/>
              </w:rPr>
            </w:pPr>
            <w:r>
              <w:rPr>
                <w:sz w:val="20"/>
              </w:rPr>
              <w:t>分布式更优</w:t>
            </w:r>
          </w:p>
        </w:tc>
      </w:tr>
      <w:tr w:rsidR="00D21BEE" w14:paraId="4DE5DD60" w14:textId="77777777">
        <w:trPr>
          <w:jc w:val="center"/>
        </w:trPr>
        <w:tc>
          <w:tcPr>
            <w:tcW w:w="1417" w:type="dxa"/>
            <w:shd w:val="clear" w:color="auto" w:fill="D6E4F0"/>
          </w:tcPr>
          <w:p w14:paraId="5D2BCF26" w14:textId="77777777" w:rsidR="00D21BEE" w:rsidRDefault="00000000">
            <w:pPr>
              <w:jc w:val="center"/>
              <w:rPr>
                <w:rFonts w:hint="eastAsia"/>
              </w:rPr>
            </w:pPr>
            <w:r>
              <w:rPr>
                <w:sz w:val="20"/>
              </w:rPr>
              <w:t>可扩展性</w:t>
            </w:r>
          </w:p>
        </w:tc>
        <w:tc>
          <w:tcPr>
            <w:tcW w:w="1701" w:type="dxa"/>
            <w:shd w:val="clear" w:color="auto" w:fill="D6E4F0"/>
          </w:tcPr>
          <w:p w14:paraId="74B6BEF1" w14:textId="77777777" w:rsidR="00D21BEE" w:rsidRDefault="00000000">
            <w:pPr>
              <w:jc w:val="center"/>
              <w:rPr>
                <w:rFonts w:hint="eastAsia"/>
              </w:rPr>
            </w:pPr>
            <w:r>
              <w:rPr>
                <w:sz w:val="20"/>
              </w:rPr>
              <w:t>差</w:t>
            </w:r>
          </w:p>
        </w:tc>
        <w:tc>
          <w:tcPr>
            <w:tcW w:w="1701" w:type="dxa"/>
            <w:shd w:val="clear" w:color="auto" w:fill="D6E4F0"/>
          </w:tcPr>
          <w:p w14:paraId="21C81119" w14:textId="77777777" w:rsidR="00D21BEE" w:rsidRDefault="00000000">
            <w:pPr>
              <w:jc w:val="center"/>
              <w:rPr>
                <w:rFonts w:hint="eastAsia"/>
              </w:rPr>
            </w:pPr>
            <w:r>
              <w:rPr>
                <w:sz w:val="20"/>
              </w:rPr>
              <w:t>优</w:t>
            </w:r>
          </w:p>
        </w:tc>
        <w:tc>
          <w:tcPr>
            <w:tcW w:w="2268" w:type="dxa"/>
            <w:shd w:val="clear" w:color="auto" w:fill="D6E4F0"/>
          </w:tcPr>
          <w:p w14:paraId="1344B524" w14:textId="77777777" w:rsidR="00D21BEE" w:rsidRDefault="00000000">
            <w:pPr>
              <w:jc w:val="center"/>
              <w:rPr>
                <w:rFonts w:hint="eastAsia"/>
              </w:rPr>
            </w:pPr>
            <w:r>
              <w:rPr>
                <w:sz w:val="20"/>
              </w:rPr>
              <w:t>分布式更优</w:t>
            </w:r>
          </w:p>
        </w:tc>
      </w:tr>
      <w:tr w:rsidR="00D21BEE" w14:paraId="1FCDF9B2" w14:textId="77777777">
        <w:trPr>
          <w:jc w:val="center"/>
        </w:trPr>
        <w:tc>
          <w:tcPr>
            <w:tcW w:w="1417" w:type="dxa"/>
          </w:tcPr>
          <w:p w14:paraId="066A87AA" w14:textId="77777777" w:rsidR="00D21BEE" w:rsidRDefault="00000000">
            <w:pPr>
              <w:jc w:val="center"/>
              <w:rPr>
                <w:rFonts w:hint="eastAsia"/>
              </w:rPr>
            </w:pPr>
            <w:r>
              <w:rPr>
                <w:sz w:val="20"/>
              </w:rPr>
              <w:t>实现复杂度</w:t>
            </w:r>
          </w:p>
        </w:tc>
        <w:tc>
          <w:tcPr>
            <w:tcW w:w="1701" w:type="dxa"/>
          </w:tcPr>
          <w:p w14:paraId="3FE34BCA" w14:textId="77777777" w:rsidR="00D21BEE" w:rsidRDefault="00000000">
            <w:pPr>
              <w:jc w:val="center"/>
              <w:rPr>
                <w:rFonts w:hint="eastAsia"/>
              </w:rPr>
            </w:pPr>
            <w:r>
              <w:rPr>
                <w:sz w:val="20"/>
              </w:rPr>
              <w:t>低</w:t>
            </w:r>
          </w:p>
        </w:tc>
        <w:tc>
          <w:tcPr>
            <w:tcW w:w="1701" w:type="dxa"/>
          </w:tcPr>
          <w:p w14:paraId="0DDF65B8" w14:textId="77777777" w:rsidR="00D21BEE" w:rsidRDefault="00000000">
            <w:pPr>
              <w:jc w:val="center"/>
              <w:rPr>
                <w:rFonts w:hint="eastAsia"/>
              </w:rPr>
            </w:pPr>
            <w:r>
              <w:rPr>
                <w:sz w:val="20"/>
              </w:rPr>
              <w:t>较高</w:t>
            </w:r>
          </w:p>
        </w:tc>
        <w:tc>
          <w:tcPr>
            <w:tcW w:w="2268" w:type="dxa"/>
          </w:tcPr>
          <w:p w14:paraId="4E4DF572" w14:textId="77777777" w:rsidR="00D21BEE" w:rsidRDefault="00000000">
            <w:pPr>
              <w:jc w:val="center"/>
              <w:rPr>
                <w:rFonts w:hint="eastAsia"/>
              </w:rPr>
            </w:pPr>
            <w:r>
              <w:rPr>
                <w:sz w:val="20"/>
              </w:rPr>
              <w:t>集中式更优</w:t>
            </w:r>
          </w:p>
        </w:tc>
      </w:tr>
    </w:tbl>
    <w:p w14:paraId="3BF0EEFE" w14:textId="77777777" w:rsidR="00D21BEE" w:rsidRDefault="00000000">
      <w:pPr>
        <w:jc w:val="center"/>
        <w:rPr>
          <w:rFonts w:hint="eastAsia"/>
          <w:lang w:eastAsia="zh-CN"/>
        </w:rPr>
      </w:pPr>
      <w:r>
        <w:rPr>
          <w:b/>
          <w:sz w:val="20"/>
          <w:lang w:eastAsia="zh-CN"/>
        </w:rPr>
        <w:t>表4-4  集中式MPC与分布式MPC关键特性对比</w:t>
      </w:r>
    </w:p>
    <w:p w14:paraId="250D4B22" w14:textId="77777777" w:rsidR="00D21BEE" w:rsidRDefault="00000000">
      <w:pPr>
        <w:spacing w:before="200" w:after="160"/>
        <w:rPr>
          <w:rFonts w:hint="eastAsia"/>
          <w:lang w:eastAsia="zh-CN"/>
        </w:rPr>
      </w:pPr>
      <w:r>
        <w:rPr>
          <w:b/>
          <w:sz w:val="26"/>
          <w:lang w:eastAsia="zh-CN"/>
        </w:rPr>
        <w:t>4.3.4 多智能体的通信拓扑与故障容错</w:t>
      </w:r>
    </w:p>
    <w:p w14:paraId="0A082E6C" w14:textId="77777777" w:rsidR="00D21BEE" w:rsidRDefault="00000000">
      <w:pPr>
        <w:ind w:firstLine="482"/>
        <w:rPr>
          <w:rFonts w:hint="eastAsia"/>
          <w:lang w:eastAsia="zh-CN"/>
        </w:rPr>
      </w:pPr>
      <w:r>
        <w:rPr>
          <w:lang w:eastAsia="zh-CN"/>
        </w:rPr>
        <w:t>多智能体系统的可靠性很大程度上取决于通信拓扑的设计。在水网场景中，智能体之间的通信拓扑应与水力耦合关系一致——水力上强耦合的相邻智能体必须保持直接通</w:t>
      </w:r>
      <w:r>
        <w:rPr>
          <w:lang w:eastAsia="zh-CN"/>
        </w:rPr>
        <w:lastRenderedPageBreak/>
        <w:t>信，弱耦合的智能体可以通过间接通信[35]。拓扑设计需要平衡通信开销和控制性能：过于稀疏的拓扑导致协商收敛慢，过于密集的拓扑导致通信开销大。对于南水北调中线的线性拓扑结构，建议采用</w:t>
      </w:r>
      <w:r w:rsidRPr="005D149B">
        <w:rPr>
          <w:b/>
          <w:bCs/>
          <w:lang w:eastAsia="zh-CN"/>
        </w:rPr>
        <w:t>“邻域+跳跃”</w:t>
      </w:r>
      <w:r>
        <w:rPr>
          <w:lang w:eastAsia="zh-CN"/>
        </w:rPr>
        <w:t>拓扑：每个智能体与相邻2～3个智能体直接通信（覆盖水力耦合范围），同时与每隔5～8个的远程智能体建立跳跃连接（加速全局信息传播）。</w:t>
      </w:r>
    </w:p>
    <w:p w14:paraId="47BD8C31" w14:textId="77777777" w:rsidR="005B351B" w:rsidRDefault="00000000">
      <w:pPr>
        <w:ind w:firstLine="482"/>
        <w:rPr>
          <w:lang w:eastAsia="zh-CN"/>
        </w:rPr>
      </w:pPr>
      <w:r>
        <w:rPr>
          <w:lang w:eastAsia="zh-CN"/>
        </w:rPr>
        <w:t>故障容错设计遵循三个原则。</w:t>
      </w:r>
    </w:p>
    <w:p w14:paraId="2B0C85F0" w14:textId="77777777" w:rsidR="005B351B" w:rsidRDefault="00000000">
      <w:pPr>
        <w:ind w:firstLine="482"/>
        <w:rPr>
          <w:lang w:eastAsia="zh-CN"/>
        </w:rPr>
      </w:pPr>
      <w:r>
        <w:rPr>
          <w:lang w:eastAsia="zh-CN"/>
        </w:rPr>
        <w:t>第一，</w:t>
      </w:r>
      <w:r w:rsidRPr="005B351B">
        <w:rPr>
          <w:b/>
          <w:bCs/>
          <w:lang w:eastAsia="zh-CN"/>
        </w:rPr>
        <w:t>“联盟重组”</w:t>
      </w:r>
      <w:r>
        <w:rPr>
          <w:lang w:eastAsia="zh-CN"/>
        </w:rPr>
        <w:t>——当某个智能体故障时，其邻居智能体自动扩展管辖范围，接管故障智能体的控制任务。</w:t>
      </w:r>
    </w:p>
    <w:p w14:paraId="7FA485EB" w14:textId="77777777" w:rsidR="005B351B" w:rsidRDefault="00000000">
      <w:pPr>
        <w:ind w:firstLine="482"/>
        <w:rPr>
          <w:lang w:eastAsia="zh-CN"/>
        </w:rPr>
      </w:pPr>
      <w:r>
        <w:rPr>
          <w:lang w:eastAsia="zh-CN"/>
        </w:rPr>
        <w:t>第二，</w:t>
      </w:r>
      <w:r w:rsidRPr="005B351B">
        <w:rPr>
          <w:b/>
          <w:bCs/>
          <w:lang w:eastAsia="zh-CN"/>
        </w:rPr>
        <w:t>“约束继承”</w:t>
      </w:r>
      <w:r>
        <w:rPr>
          <w:lang w:eastAsia="zh-CN"/>
        </w:rPr>
        <w:t>——接管智能体必须继承故障智能体的安全约束，不能因为接管而放松约束。</w:t>
      </w:r>
    </w:p>
    <w:p w14:paraId="052818B2" w14:textId="77777777" w:rsidR="00120685" w:rsidRDefault="00000000">
      <w:pPr>
        <w:ind w:firstLine="482"/>
        <w:rPr>
          <w:lang w:eastAsia="zh-CN"/>
        </w:rPr>
      </w:pPr>
      <w:r>
        <w:rPr>
          <w:lang w:eastAsia="zh-CN"/>
        </w:rPr>
        <w:t>第三，</w:t>
      </w:r>
      <w:r w:rsidRPr="00EE563B">
        <w:rPr>
          <w:b/>
          <w:bCs/>
          <w:lang w:eastAsia="zh-CN"/>
        </w:rPr>
        <w:t>“渐进恢复”</w:t>
      </w:r>
      <w:r>
        <w:rPr>
          <w:lang w:eastAsia="zh-CN"/>
        </w:rPr>
        <w:t>——故障智能体恢复后，不立即收回控制权，而是先进入“观察模式”同步状态，确认一致后再渐进接管[36]。</w:t>
      </w:r>
    </w:p>
    <w:p w14:paraId="76E99B41" w14:textId="3F038592" w:rsidR="00D21BEE" w:rsidRDefault="00000000">
      <w:pPr>
        <w:ind w:firstLine="482"/>
        <w:rPr>
          <w:rFonts w:hint="eastAsia"/>
          <w:lang w:eastAsia="zh-CN"/>
        </w:rPr>
      </w:pPr>
      <w:r>
        <w:rPr>
          <w:lang w:eastAsia="zh-CN"/>
        </w:rPr>
        <w:t>这三个原则与前述的云-边-端降级恢复策略一脉相承。为验证故障容错能力，天河大模型在SIL测试中专门设计了“故障注入”测试用例，随机使某个或某几个智能体失效，验证剩余智能体的接管能力和全网的安全保障。</w:t>
      </w:r>
    </w:p>
    <w:p w14:paraId="7AF60B64" w14:textId="4782A546" w:rsidR="00D21BEE" w:rsidRDefault="00000000">
      <w:pPr>
        <w:spacing w:before="280" w:after="200"/>
        <w:rPr>
          <w:rFonts w:hint="eastAsia"/>
          <w:lang w:eastAsia="zh-CN"/>
        </w:rPr>
      </w:pPr>
      <w:r>
        <w:rPr>
          <w:b/>
          <w:sz w:val="28"/>
          <w:lang w:eastAsia="zh-CN"/>
        </w:rPr>
        <w:t xml:space="preserve">4.4 </w:t>
      </w:r>
      <w:r w:rsidR="00B43B79">
        <w:rPr>
          <w:rFonts w:hint="eastAsia"/>
          <w:b/>
          <w:sz w:val="28"/>
          <w:lang w:eastAsia="zh-CN"/>
        </w:rPr>
        <w:t>水网</w:t>
      </w:r>
      <w:r>
        <w:rPr>
          <w:b/>
          <w:sz w:val="28"/>
          <w:lang w:eastAsia="zh-CN"/>
        </w:rPr>
        <w:t>大模型的双引擎架构</w:t>
      </w:r>
    </w:p>
    <w:p w14:paraId="4C1FE20E" w14:textId="154DF3BF" w:rsidR="00D21BEE" w:rsidRDefault="00000000">
      <w:pPr>
        <w:ind w:firstLine="482"/>
        <w:rPr>
          <w:rFonts w:hint="eastAsia"/>
          <w:lang w:eastAsia="zh-CN"/>
        </w:rPr>
      </w:pPr>
      <w:r>
        <w:rPr>
          <w:lang w:eastAsia="zh-CN"/>
        </w:rPr>
        <w:t>基于云-边-端协同架构、数字孪生和多智能体三大技术基座，</w:t>
      </w:r>
      <w:r w:rsidR="002B0944">
        <w:rPr>
          <w:rFonts w:hint="eastAsia"/>
          <w:lang w:eastAsia="zh-CN"/>
        </w:rPr>
        <w:t>水网</w:t>
      </w:r>
      <w:r>
        <w:rPr>
          <w:lang w:eastAsia="zh-CN"/>
        </w:rPr>
        <w:t>大模型提出了“物理AI引擎+认知AI引擎”的双引擎架构[37]。这一架构的核心设计理念是“安全关键路径与辅助路径的严格分离”，确保任何AI组件的故障都不会导致控制系统的安全失效。双引擎架构的灵感来源于航空领域的冗余设计思想：现代客机的飞行控制系统通常采用三套独立的计算机系统，其中至少一套采用异构设计（不同的硬件和软件），以避免共模故障[11]。</w:t>
      </w:r>
    </w:p>
    <w:p w14:paraId="7E300E1F" w14:textId="77777777" w:rsidR="00D21BEE" w:rsidRDefault="00000000">
      <w:pPr>
        <w:spacing w:before="200" w:after="160"/>
        <w:rPr>
          <w:rFonts w:hint="eastAsia"/>
        </w:rPr>
      </w:pPr>
      <w:r>
        <w:rPr>
          <w:b/>
          <w:sz w:val="26"/>
        </w:rPr>
        <w:t>4.4.1 物理AI引擎：安全基座</w:t>
      </w:r>
    </w:p>
    <w:p w14:paraId="149AAFB4" w14:textId="77777777" w:rsidR="00D21BEE" w:rsidRPr="00B03C0A" w:rsidRDefault="00000000">
      <w:pPr>
        <w:ind w:firstLine="482"/>
        <w:rPr>
          <w:rFonts w:hint="eastAsia"/>
          <w:b/>
          <w:bCs/>
          <w:lang w:eastAsia="zh-CN"/>
        </w:rPr>
      </w:pPr>
      <w:r>
        <w:rPr>
          <w:lang w:eastAsia="zh-CN"/>
        </w:rPr>
        <w:t>物理AI引擎以水力学机理模型为核心，负责状态重构、预测、约束执行和安全保护等安全关键功能。其核心组件包括：基于Saint-Venant方程的明渠非恒定流模型、基于集合卡尔曼滤波（EnKF）的数据同化组件、基于MPC的在线优化控制器、以及基于约束屏障函数（Control Barrier Function）的安全滤波器[38]。</w:t>
      </w:r>
      <w:r w:rsidRPr="00B03C0A">
        <w:rPr>
          <w:b/>
          <w:bCs/>
          <w:lang w:eastAsia="zh-CN"/>
        </w:rPr>
        <w:t>物理AI引擎的所有组件都必须通过SIL/HIL测试，并满足“四可”原则的要求。</w:t>
      </w:r>
    </w:p>
    <w:p w14:paraId="0D534A5C" w14:textId="77777777" w:rsidR="00D21BEE" w:rsidRDefault="00000000">
      <w:pPr>
        <w:ind w:firstLine="482"/>
        <w:rPr>
          <w:rFonts w:hint="eastAsia"/>
          <w:lang w:eastAsia="zh-CN"/>
        </w:rPr>
      </w:pPr>
      <w:r>
        <w:rPr>
          <w:lang w:eastAsia="zh-CN"/>
        </w:rPr>
        <w:t>物理AI引擎的关键技术指标包括：状态重构精度（水位误差不超过±2cm，流量误差不超过±5%）、预测时域（6小时内预测误差不超过±5cm）、控制响应速度（从发出指令到闸门开始动作不超过2分钟）、安全约束违规率（在ODD内为零）[39]。这些指</w:t>
      </w:r>
      <w:r>
        <w:rPr>
          <w:lang w:eastAsia="zh-CN"/>
        </w:rPr>
        <w:lastRenderedPageBreak/>
        <w:t>标的确定参考了南水北调中线工程的实际运行需求。物理AI引擎的一个关键特性是“可解释性”——其每一步计算都基于物理方程，决策过程可以用水力学概念完整解释，这对于赢得运行人员的信任至关重要。</w:t>
      </w:r>
    </w:p>
    <w:p w14:paraId="4F586737" w14:textId="77777777" w:rsidR="00D21BEE" w:rsidRDefault="00000000">
      <w:pPr>
        <w:spacing w:before="200" w:after="160"/>
        <w:rPr>
          <w:rFonts w:hint="eastAsia"/>
          <w:lang w:eastAsia="zh-CN"/>
        </w:rPr>
      </w:pPr>
      <w:r>
        <w:rPr>
          <w:b/>
          <w:sz w:val="26"/>
          <w:lang w:eastAsia="zh-CN"/>
        </w:rPr>
        <w:t>4.4.2 认知AI引擎：智慧增强</w:t>
      </w:r>
    </w:p>
    <w:p w14:paraId="0D7C80E0" w14:textId="77777777" w:rsidR="00D21BEE" w:rsidRDefault="00000000">
      <w:pPr>
        <w:ind w:firstLine="482"/>
        <w:rPr>
          <w:rFonts w:hint="eastAsia"/>
          <w:lang w:eastAsia="zh-CN"/>
        </w:rPr>
      </w:pPr>
      <w:r>
        <w:rPr>
          <w:lang w:eastAsia="zh-CN"/>
        </w:rPr>
        <w:t>认知AI引擎利用机器学习、深度学习和大语言模型等新一代AI技术，提供智慧增强服务。其核心功能包括：基于深度学习的气象水文预报后处理（提升来水预报精度）、基于强化学习的调度策略探索（发现新的优化策略）、基于计算机视觉的水工结构巡检（自动缺陷识别）、基于LLM的运行知识管理（智能化的运维日志分析和经验传承）[40]。</w:t>
      </w:r>
      <w:r w:rsidRPr="00C97CA0">
        <w:rPr>
          <w:b/>
          <w:bCs/>
          <w:lang w:eastAsia="zh-CN"/>
        </w:rPr>
        <w:t>认知AI引擎的另一个重要功能是异常场景识别——通过对历史运行数据的深度分析，识别出物理模型难以覆盖的异常模式。</w:t>
      </w:r>
    </w:p>
    <w:p w14:paraId="7C68C752" w14:textId="77777777" w:rsidR="00D21BEE" w:rsidRDefault="00000000">
      <w:pPr>
        <w:ind w:firstLine="482"/>
        <w:rPr>
          <w:rFonts w:hint="eastAsia"/>
          <w:lang w:eastAsia="zh-CN"/>
        </w:rPr>
      </w:pPr>
      <w:r>
        <w:rPr>
          <w:lang w:eastAsia="zh-CN"/>
        </w:rPr>
        <w:t>认知AI引擎的关键设计约束是：其输出在进入闭环控制之前，必须经过物理AI引擎的“安全过滤器”检验。具体而言，认知AI引擎生成的调度建议需要通过三重检验：</w:t>
      </w:r>
      <w:r w:rsidRPr="00833C19">
        <w:rPr>
          <w:b/>
          <w:bCs/>
          <w:lang w:eastAsia="zh-CN"/>
        </w:rPr>
        <w:t>物理一致性检验</w:t>
      </w:r>
      <w:r>
        <w:rPr>
          <w:lang w:eastAsia="zh-CN"/>
        </w:rPr>
        <w:t>（建议方案是否违反水力学基本原理）、</w:t>
      </w:r>
      <w:r w:rsidRPr="00833C19">
        <w:rPr>
          <w:b/>
          <w:bCs/>
          <w:lang w:eastAsia="zh-CN"/>
        </w:rPr>
        <w:t>约束合规性检验</w:t>
      </w:r>
      <w:r>
        <w:rPr>
          <w:lang w:eastAsia="zh-CN"/>
        </w:rPr>
        <w:t>（建议方案是否违反任何安全约束）、</w:t>
      </w:r>
      <w:r w:rsidRPr="00833C19">
        <w:rPr>
          <w:b/>
          <w:bCs/>
          <w:lang w:eastAsia="zh-CN"/>
        </w:rPr>
        <w:t>可解释性检验</w:t>
      </w:r>
      <w:r>
        <w:rPr>
          <w:lang w:eastAsia="zh-CN"/>
        </w:rPr>
        <w:t>（建议方案的决策逻辑是否可以用物理概念解释）[41]。</w:t>
      </w:r>
      <w:r w:rsidRPr="000E4738">
        <w:rPr>
          <w:b/>
          <w:bCs/>
          <w:lang w:eastAsia="zh-CN"/>
        </w:rPr>
        <w:t>只有三重检验全部通过，认知AI的输出才能进入控制执行环节。</w:t>
      </w:r>
      <w:r>
        <w:rPr>
          <w:lang w:eastAsia="zh-CN"/>
        </w:rPr>
        <w:t>这种设计确保了AI技术的“可信应用”——AI可以提升系统性能，但不会降低系统安全。</w:t>
      </w:r>
    </w:p>
    <w:p w14:paraId="5AB38C99" w14:textId="77777777" w:rsidR="00D21BEE" w:rsidRDefault="00000000">
      <w:pPr>
        <w:spacing w:before="200" w:after="160"/>
        <w:rPr>
          <w:rFonts w:hint="eastAsia"/>
          <w:lang w:eastAsia="zh-CN"/>
        </w:rPr>
      </w:pPr>
      <w:r>
        <w:rPr>
          <w:b/>
          <w:sz w:val="26"/>
          <w:lang w:eastAsia="zh-CN"/>
        </w:rPr>
        <w:t>4.4.3 双引擎协作模式</w:t>
      </w:r>
    </w:p>
    <w:p w14:paraId="3525B481" w14:textId="77777777" w:rsidR="00D21BEE" w:rsidRDefault="00000000">
      <w:pPr>
        <w:ind w:firstLine="482"/>
        <w:rPr>
          <w:rFonts w:hint="eastAsia"/>
          <w:lang w:eastAsia="zh-CN"/>
        </w:rPr>
      </w:pPr>
      <w:r>
        <w:rPr>
          <w:lang w:eastAsia="zh-CN"/>
        </w:rPr>
        <w:t>物理AI引擎与认知AI引擎的协作模式可以类比为航空领域的“飞行控制律与飞行管理系统”的关系[42]。飞行控制律（对应物理AI引擎）负责确保飞机始终在安全包线内飞行，这是不可协商的硬约束；飞行管理系统（对应认知AI引擎）负责航线规划、燃油优化等高层决策，这些决策可以根据情况调整但不能超越安全包线。</w:t>
      </w:r>
    </w:p>
    <w:p w14:paraId="028A9A6D" w14:textId="77777777" w:rsidR="00D21BEE" w:rsidRDefault="00000000">
      <w:pPr>
        <w:ind w:firstLine="482"/>
        <w:rPr>
          <w:rFonts w:hint="eastAsia"/>
          <w:lang w:eastAsia="zh-CN"/>
        </w:rPr>
      </w:pPr>
      <w:r>
        <w:rPr>
          <w:lang w:eastAsia="zh-CN"/>
        </w:rPr>
        <w:t>在水网自主运行中，双引擎协作的典型流程为：认知AI引擎综合气象预报、用水需求预测、历史经验等信息，生成全网调度建议；物理AI引擎对该建议进行物理一致性检验和约束合规性检验；检验通过后，物理AI引擎将建议转化为具体的控制指令下发给执行层；在执行过程中，物理AI引擎持续监控系统状态，一旦检测到安全约束被触碰，立即启动保护动作。这种架构确保了：即使认知AI引擎产生了错误的建议（例如AI“幻觉”），物理AI引擎的安全过滤器也能将其拦截，不会导致安全事故[43]。</w:t>
      </w:r>
    </w:p>
    <w:p w14:paraId="1A52E7BF" w14:textId="77777777" w:rsidR="00D21BEE" w:rsidRDefault="00000000">
      <w:pPr>
        <w:ind w:firstLine="482"/>
        <w:rPr>
          <w:rFonts w:hint="eastAsia"/>
          <w:lang w:eastAsia="zh-CN"/>
        </w:rPr>
      </w:pPr>
      <w:r>
        <w:rPr>
          <w:lang w:eastAsia="zh-CN"/>
        </w:rPr>
        <w:t>在正常工况下，认知AI引擎对系统性能的贡献体现在三个方面：第一，通过更精准的来水预报，使MPC优化的预测精度提升10%～20%；第二，通过强化学习探索出传统方法难以发现的非直觉优化策略；第三，通过知识积累和经验传承，使系统在应对罕见工况时也能表现良好。在异常工况下，认知AI引擎自动降级为“建议模式”，所有决策权回归物理AI引擎。</w:t>
      </w:r>
    </w:p>
    <w:p w14:paraId="79913AF0" w14:textId="77777777" w:rsidR="00D21BEE" w:rsidRDefault="00000000">
      <w:pPr>
        <w:spacing w:before="280" w:after="200"/>
        <w:rPr>
          <w:rFonts w:hint="eastAsia"/>
          <w:lang w:eastAsia="zh-CN"/>
        </w:rPr>
      </w:pPr>
      <w:r>
        <w:rPr>
          <w:b/>
          <w:sz w:val="28"/>
          <w:lang w:eastAsia="zh-CN"/>
        </w:rPr>
        <w:lastRenderedPageBreak/>
        <w:t>4.5 安全与信息安全架构</w:t>
      </w:r>
    </w:p>
    <w:p w14:paraId="538F1501" w14:textId="77777777" w:rsidR="00D21BEE" w:rsidRDefault="00000000">
      <w:pPr>
        <w:ind w:firstLine="482"/>
        <w:rPr>
          <w:rFonts w:hint="eastAsia"/>
          <w:lang w:eastAsia="zh-CN"/>
        </w:rPr>
      </w:pPr>
      <w:r>
        <w:rPr>
          <w:lang w:eastAsia="zh-CN"/>
        </w:rPr>
        <w:t>水网自主运行系统作为关键基础设施的控制系统，其信息安全（Cybersecurity）设计必须达到与工业控制系统同等的保护等级。IEC 62443系列标准为工业自动化和控制系统的网络安全提供了全面的框架[44]。在水网场景中，信息安全的核心关切包括：控制指令的真实性（防止伪造指令导致闸门异常动作）、观测数据的完整性（防止数据篡改导致状态估计失真）、系统服务的可用性（防止拒绝服务攻击导致控制中断）。近年来，全球水利基础设施面临的网络安全威胁日益严峻，2021年美国佛罗里达州Oldsmar水处理厂遭受网络攻击事件敲响了警钟[45]。</w:t>
      </w:r>
    </w:p>
    <w:p w14:paraId="33259F1B" w14:textId="7CA275CF" w:rsidR="00D21BEE" w:rsidRDefault="00D13E6F">
      <w:pPr>
        <w:ind w:firstLine="482"/>
        <w:rPr>
          <w:rFonts w:hint="eastAsia"/>
          <w:lang w:eastAsia="zh-CN"/>
        </w:rPr>
      </w:pPr>
      <w:r>
        <w:rPr>
          <w:rFonts w:hint="eastAsia"/>
          <w:lang w:eastAsia="zh-CN"/>
        </w:rPr>
        <w:t>水网</w:t>
      </w:r>
      <w:r w:rsidR="00000000">
        <w:rPr>
          <w:lang w:eastAsia="zh-CN"/>
        </w:rPr>
        <w:t>大模型采用“纵深防御（Defense in Depth）”策略，在云-边-端各层部署分级安全措施。具体包括：网络分区与隔离（控制网与信息网物理隔离，采用单向数据网闸实现跨区数据传输）、身份认证与访问控制（基于角色的细粒度权限管理，关键操作需多因子认证）、数据加密与完整性校验（控制指令数字签名，采用国密SM2/SM3/SM4算法）、入侵检测与异常响应（实时监控网络流量异常，基于工业协议深度解析的异常行为检测）、以及安全审计与合规管理（完整的操作日志与定期安全评估）[46]。这一安全架构还需要与GB/T 22239（信息系统安全等级保护）保持一致，水网自主运行系统应达到三级或以上的等级保护要求。</w:t>
      </w:r>
    </w:p>
    <w:p w14:paraId="45559D2F" w14:textId="77777777" w:rsidR="00D21BEE" w:rsidRDefault="00000000">
      <w:pPr>
        <w:spacing w:before="280" w:after="200"/>
        <w:rPr>
          <w:rFonts w:hint="eastAsia"/>
          <w:lang w:eastAsia="zh-CN"/>
        </w:rPr>
      </w:pPr>
      <w:r>
        <w:rPr>
          <w:b/>
          <w:sz w:val="28"/>
          <w:lang w:eastAsia="zh-CN"/>
        </w:rPr>
        <w:t>4.6 架构参考实现：南水北调中线场景</w:t>
      </w:r>
    </w:p>
    <w:p w14:paraId="007BEDC5" w14:textId="77777777" w:rsidR="00D21BEE" w:rsidRDefault="00000000">
      <w:pPr>
        <w:ind w:firstLine="482"/>
        <w:rPr>
          <w:rFonts w:hint="eastAsia"/>
          <w:lang w:eastAsia="zh-CN"/>
        </w:rPr>
      </w:pPr>
      <w:r>
        <w:rPr>
          <w:lang w:eastAsia="zh-CN"/>
        </w:rPr>
        <w:t>南水北调中线工程是上述架构的最佳验证场景。全线1432公里，设有64座节制闸、97座分水口门和54座退水闸，年均调水量约95亿立方米。其控制复杂度体现在三个方面：全线水力传播时间约7～10小时，远超一般控制系统的时间尺度；多点分水引起的复杂耦合效应；以及冰期运行的特殊约束[47]。</w:t>
      </w:r>
    </w:p>
    <w:p w14:paraId="2D5D3BF1" w14:textId="77777777" w:rsidR="00D21BEE" w:rsidRDefault="00000000">
      <w:pPr>
        <w:spacing w:before="200" w:after="160"/>
        <w:rPr>
          <w:rFonts w:hint="eastAsia"/>
          <w:lang w:eastAsia="zh-CN"/>
        </w:rPr>
      </w:pPr>
      <w:r>
        <w:rPr>
          <w:b/>
          <w:sz w:val="26"/>
          <w:lang w:eastAsia="zh-CN"/>
        </w:rPr>
        <w:t>4.6.1 架构映射方案</w:t>
      </w:r>
    </w:p>
    <w:p w14:paraId="6CD147D1" w14:textId="30DB89B2" w:rsidR="00D21BEE" w:rsidRDefault="00000000">
      <w:pPr>
        <w:ind w:firstLine="482"/>
        <w:rPr>
          <w:lang w:eastAsia="zh-CN"/>
        </w:rPr>
      </w:pPr>
      <w:r>
        <w:rPr>
          <w:lang w:eastAsia="zh-CN"/>
        </w:rPr>
        <w:t>在南水北调中线场景中，云-边-端架构的具体映射为：云侧部署在北京的中线</w:t>
      </w:r>
      <w:r w:rsidR="003F3483">
        <w:rPr>
          <w:rFonts w:hint="eastAsia"/>
          <w:lang w:eastAsia="zh-CN"/>
        </w:rPr>
        <w:t>总</w:t>
      </w:r>
      <w:r w:rsidR="00FB127C">
        <w:rPr>
          <w:rFonts w:hint="eastAsia"/>
          <w:lang w:eastAsia="zh-CN"/>
        </w:rPr>
        <w:t>公司</w:t>
      </w:r>
      <w:r w:rsidR="0037381D">
        <w:rPr>
          <w:rFonts w:hint="eastAsia"/>
          <w:lang w:eastAsia="zh-CN"/>
        </w:rPr>
        <w:t>的</w:t>
      </w:r>
      <w:r>
        <w:rPr>
          <w:lang w:eastAsia="zh-CN"/>
        </w:rPr>
        <w:t>调度中心，承载全线数字孪生、多目标滚动优化、场景管理等功能。边侧部署在各管理处（如陶岔渠、沙河渡槽、穿黄河工程等关键节点），每个边缘节点负责管辖范围内约10～15个节制闸的协调控制。端侧由各闸站的现地PLC控制器构成，负责单闸的精确控制和设备保护[48]。</w:t>
      </w:r>
    </w:p>
    <w:p w14:paraId="5FF900B7" w14:textId="77777777" w:rsidR="006F69C1" w:rsidRDefault="006F69C1">
      <w:pPr>
        <w:ind w:firstLine="482"/>
        <w:rPr>
          <w:lang w:eastAsia="zh-CN"/>
        </w:rPr>
      </w:pPr>
    </w:p>
    <w:p w14:paraId="25938773" w14:textId="77777777" w:rsidR="006F69C1" w:rsidRDefault="006F69C1">
      <w:pPr>
        <w:ind w:firstLine="482"/>
        <w:rPr>
          <w:lang w:eastAsia="zh-CN"/>
        </w:rPr>
      </w:pPr>
    </w:p>
    <w:p w14:paraId="0F2EF067" w14:textId="77777777" w:rsidR="006F69C1" w:rsidRDefault="006F69C1">
      <w:pPr>
        <w:ind w:firstLine="482"/>
        <w:rPr>
          <w:lang w:eastAsia="zh-CN"/>
        </w:rPr>
      </w:pPr>
    </w:p>
    <w:p w14:paraId="46B15384" w14:textId="77777777" w:rsidR="006F69C1" w:rsidRDefault="006F69C1">
      <w:pPr>
        <w:ind w:firstLine="482"/>
        <w:rPr>
          <w:rFonts w:hint="eastAsia"/>
          <w:lang w:eastAsia="zh-CN"/>
        </w:rPr>
      </w:pPr>
    </w:p>
    <w:p w14:paraId="33BD1C44" w14:textId="77777777" w:rsidR="00D21BEE" w:rsidRDefault="00000000">
      <w:pPr>
        <w:ind w:firstLine="482"/>
        <w:rPr>
          <w:rFonts w:hint="eastAsia"/>
          <w:lang w:eastAsia="zh-CN"/>
        </w:rPr>
      </w:pPr>
      <w:r>
        <w:rPr>
          <w:lang w:eastAsia="zh-CN"/>
        </w:rPr>
        <w:lastRenderedPageBreak/>
        <w:t>表4-5展示了南水北调中线场景下各架构层的具体部署方案。</w:t>
      </w:r>
    </w:p>
    <w:tbl>
      <w:tblPr>
        <w:tblW w:w="0" w:type="auto"/>
        <w:jc w:val="center"/>
        <w:tblLook w:val="04A0" w:firstRow="1" w:lastRow="0" w:firstColumn="1" w:lastColumn="0" w:noHBand="0" w:noVBand="1"/>
      </w:tblPr>
      <w:tblGrid>
        <w:gridCol w:w="1134"/>
        <w:gridCol w:w="1701"/>
        <w:gridCol w:w="1417"/>
        <w:gridCol w:w="2551"/>
        <w:gridCol w:w="1417"/>
      </w:tblGrid>
      <w:tr w:rsidR="00D21BEE" w14:paraId="6E071750" w14:textId="77777777">
        <w:trPr>
          <w:jc w:val="center"/>
        </w:trPr>
        <w:tc>
          <w:tcPr>
            <w:tcW w:w="1134" w:type="dxa"/>
            <w:shd w:val="clear" w:color="auto" w:fill="1F4E79"/>
          </w:tcPr>
          <w:p w14:paraId="78F23E2F" w14:textId="77777777" w:rsidR="00D21BEE" w:rsidRDefault="00000000">
            <w:pPr>
              <w:jc w:val="center"/>
              <w:rPr>
                <w:rFonts w:hint="eastAsia"/>
              </w:rPr>
            </w:pPr>
            <w:r>
              <w:rPr>
                <w:b/>
                <w:color w:val="FFFFFF"/>
                <w:sz w:val="21"/>
              </w:rPr>
              <w:t>架构层</w:t>
            </w:r>
          </w:p>
        </w:tc>
        <w:tc>
          <w:tcPr>
            <w:tcW w:w="1701" w:type="dxa"/>
            <w:shd w:val="clear" w:color="auto" w:fill="1F4E79"/>
          </w:tcPr>
          <w:p w14:paraId="004876FB" w14:textId="77777777" w:rsidR="00D21BEE" w:rsidRDefault="00000000">
            <w:pPr>
              <w:jc w:val="center"/>
              <w:rPr>
                <w:rFonts w:hint="eastAsia"/>
              </w:rPr>
            </w:pPr>
            <w:r>
              <w:rPr>
                <w:b/>
                <w:color w:val="FFFFFF"/>
                <w:sz w:val="21"/>
              </w:rPr>
              <w:t>部署位置</w:t>
            </w:r>
          </w:p>
        </w:tc>
        <w:tc>
          <w:tcPr>
            <w:tcW w:w="1417" w:type="dxa"/>
            <w:shd w:val="clear" w:color="auto" w:fill="1F4E79"/>
          </w:tcPr>
          <w:p w14:paraId="77092FDB" w14:textId="77777777" w:rsidR="00D21BEE" w:rsidRDefault="00000000">
            <w:pPr>
              <w:jc w:val="center"/>
              <w:rPr>
                <w:rFonts w:hint="eastAsia"/>
              </w:rPr>
            </w:pPr>
            <w:r>
              <w:rPr>
                <w:b/>
                <w:color w:val="FFFFFF"/>
                <w:sz w:val="21"/>
              </w:rPr>
              <w:t>智能体数量</w:t>
            </w:r>
          </w:p>
        </w:tc>
        <w:tc>
          <w:tcPr>
            <w:tcW w:w="2551" w:type="dxa"/>
            <w:shd w:val="clear" w:color="auto" w:fill="1F4E79"/>
          </w:tcPr>
          <w:p w14:paraId="367DD900" w14:textId="77777777" w:rsidR="00D21BEE" w:rsidRDefault="00000000">
            <w:pPr>
              <w:jc w:val="center"/>
              <w:rPr>
                <w:rFonts w:hint="eastAsia"/>
              </w:rPr>
            </w:pPr>
            <w:r>
              <w:rPr>
                <w:b/>
                <w:color w:val="FFFFFF"/>
                <w:sz w:val="21"/>
              </w:rPr>
              <w:t>核心功能</w:t>
            </w:r>
          </w:p>
        </w:tc>
        <w:tc>
          <w:tcPr>
            <w:tcW w:w="1417" w:type="dxa"/>
            <w:shd w:val="clear" w:color="auto" w:fill="1F4E79"/>
          </w:tcPr>
          <w:p w14:paraId="14FAA134" w14:textId="77777777" w:rsidR="00D21BEE" w:rsidRDefault="00000000">
            <w:pPr>
              <w:jc w:val="center"/>
              <w:rPr>
                <w:rFonts w:hint="eastAsia"/>
              </w:rPr>
            </w:pPr>
            <w:r>
              <w:rPr>
                <w:b/>
                <w:color w:val="FFFFFF"/>
                <w:sz w:val="21"/>
              </w:rPr>
              <w:t>降级维持时间</w:t>
            </w:r>
          </w:p>
        </w:tc>
      </w:tr>
      <w:tr w:rsidR="00D21BEE" w14:paraId="4EFD9930" w14:textId="77777777">
        <w:trPr>
          <w:jc w:val="center"/>
        </w:trPr>
        <w:tc>
          <w:tcPr>
            <w:tcW w:w="1134" w:type="dxa"/>
            <w:shd w:val="clear" w:color="auto" w:fill="D6E4F0"/>
          </w:tcPr>
          <w:p w14:paraId="21164695" w14:textId="77777777" w:rsidR="00D21BEE" w:rsidRDefault="00000000">
            <w:pPr>
              <w:jc w:val="center"/>
              <w:rPr>
                <w:rFonts w:hint="eastAsia"/>
              </w:rPr>
            </w:pPr>
            <w:r>
              <w:rPr>
                <w:sz w:val="20"/>
              </w:rPr>
              <w:t>云侧</w:t>
            </w:r>
          </w:p>
        </w:tc>
        <w:tc>
          <w:tcPr>
            <w:tcW w:w="1701" w:type="dxa"/>
            <w:shd w:val="clear" w:color="auto" w:fill="D6E4F0"/>
          </w:tcPr>
          <w:p w14:paraId="6E9E98F8" w14:textId="77777777" w:rsidR="00D21BEE" w:rsidRDefault="00000000">
            <w:pPr>
              <w:jc w:val="center"/>
              <w:rPr>
                <w:rFonts w:hint="eastAsia"/>
              </w:rPr>
            </w:pPr>
            <w:r>
              <w:rPr>
                <w:sz w:val="20"/>
              </w:rPr>
              <w:t>北京调度中心</w:t>
            </w:r>
          </w:p>
        </w:tc>
        <w:tc>
          <w:tcPr>
            <w:tcW w:w="1417" w:type="dxa"/>
            <w:shd w:val="clear" w:color="auto" w:fill="D6E4F0"/>
          </w:tcPr>
          <w:p w14:paraId="555F4FF0" w14:textId="77777777" w:rsidR="00D21BEE" w:rsidRDefault="00000000">
            <w:pPr>
              <w:jc w:val="center"/>
              <w:rPr>
                <w:rFonts w:hint="eastAsia"/>
              </w:rPr>
            </w:pPr>
            <w:r>
              <w:rPr>
                <w:sz w:val="20"/>
              </w:rPr>
              <w:t>1</w:t>
            </w:r>
          </w:p>
        </w:tc>
        <w:tc>
          <w:tcPr>
            <w:tcW w:w="2551" w:type="dxa"/>
            <w:shd w:val="clear" w:color="auto" w:fill="D6E4F0"/>
          </w:tcPr>
          <w:p w14:paraId="448A8F1E" w14:textId="77777777" w:rsidR="00D21BEE" w:rsidRDefault="00000000">
            <w:pPr>
              <w:jc w:val="center"/>
              <w:rPr>
                <w:rFonts w:hint="eastAsia"/>
              </w:rPr>
            </w:pPr>
            <w:r>
              <w:rPr>
                <w:sz w:val="20"/>
              </w:rPr>
              <w:t>全线优化、数字孪生</w:t>
            </w:r>
          </w:p>
        </w:tc>
        <w:tc>
          <w:tcPr>
            <w:tcW w:w="1417" w:type="dxa"/>
            <w:shd w:val="clear" w:color="auto" w:fill="D6E4F0"/>
          </w:tcPr>
          <w:p w14:paraId="12A13F14" w14:textId="77777777" w:rsidR="00D21BEE" w:rsidRDefault="00000000">
            <w:pPr>
              <w:jc w:val="center"/>
              <w:rPr>
                <w:rFonts w:hint="eastAsia"/>
              </w:rPr>
            </w:pPr>
            <w:r>
              <w:rPr>
                <w:sz w:val="20"/>
              </w:rPr>
              <w:t>—</w:t>
            </w:r>
          </w:p>
        </w:tc>
      </w:tr>
      <w:tr w:rsidR="00D21BEE" w14:paraId="40FDDF1C" w14:textId="77777777">
        <w:trPr>
          <w:jc w:val="center"/>
        </w:trPr>
        <w:tc>
          <w:tcPr>
            <w:tcW w:w="1134" w:type="dxa"/>
          </w:tcPr>
          <w:p w14:paraId="71EAA5BE" w14:textId="77777777" w:rsidR="00D21BEE" w:rsidRDefault="00000000">
            <w:pPr>
              <w:jc w:val="center"/>
              <w:rPr>
                <w:rFonts w:hint="eastAsia"/>
              </w:rPr>
            </w:pPr>
            <w:r>
              <w:rPr>
                <w:sz w:val="20"/>
              </w:rPr>
              <w:t>边侧</w:t>
            </w:r>
          </w:p>
        </w:tc>
        <w:tc>
          <w:tcPr>
            <w:tcW w:w="1701" w:type="dxa"/>
          </w:tcPr>
          <w:p w14:paraId="51E56C06" w14:textId="77777777" w:rsidR="00D21BEE" w:rsidRDefault="00000000">
            <w:pPr>
              <w:jc w:val="center"/>
              <w:rPr>
                <w:rFonts w:hint="eastAsia"/>
              </w:rPr>
            </w:pPr>
            <w:r>
              <w:rPr>
                <w:sz w:val="20"/>
              </w:rPr>
              <w:t>各管理处</w:t>
            </w:r>
          </w:p>
        </w:tc>
        <w:tc>
          <w:tcPr>
            <w:tcW w:w="1417" w:type="dxa"/>
          </w:tcPr>
          <w:p w14:paraId="696E01B6" w14:textId="77777777" w:rsidR="00D21BEE" w:rsidRDefault="00000000">
            <w:pPr>
              <w:jc w:val="center"/>
              <w:rPr>
                <w:rFonts w:hint="eastAsia"/>
              </w:rPr>
            </w:pPr>
            <w:r>
              <w:rPr>
                <w:sz w:val="20"/>
              </w:rPr>
              <w:t>6～8</w:t>
            </w:r>
          </w:p>
        </w:tc>
        <w:tc>
          <w:tcPr>
            <w:tcW w:w="2551" w:type="dxa"/>
          </w:tcPr>
          <w:p w14:paraId="3C4493A9" w14:textId="77777777" w:rsidR="00D21BEE" w:rsidRDefault="00000000">
            <w:pPr>
              <w:jc w:val="center"/>
              <w:rPr>
                <w:rFonts w:hint="eastAsia"/>
              </w:rPr>
            </w:pPr>
            <w:r>
              <w:rPr>
                <w:sz w:val="20"/>
              </w:rPr>
              <w:t>区域协调、快速响应</w:t>
            </w:r>
          </w:p>
        </w:tc>
        <w:tc>
          <w:tcPr>
            <w:tcW w:w="1417" w:type="dxa"/>
          </w:tcPr>
          <w:p w14:paraId="2DE18D7E" w14:textId="77777777" w:rsidR="00D21BEE" w:rsidRDefault="00000000">
            <w:pPr>
              <w:jc w:val="center"/>
              <w:rPr>
                <w:rFonts w:hint="eastAsia"/>
              </w:rPr>
            </w:pPr>
            <w:r>
              <w:rPr>
                <w:sz w:val="20"/>
              </w:rPr>
              <w:t>≥4小时</w:t>
            </w:r>
          </w:p>
        </w:tc>
      </w:tr>
      <w:tr w:rsidR="00D21BEE" w14:paraId="10AD0F40" w14:textId="77777777">
        <w:trPr>
          <w:jc w:val="center"/>
        </w:trPr>
        <w:tc>
          <w:tcPr>
            <w:tcW w:w="1134" w:type="dxa"/>
            <w:shd w:val="clear" w:color="auto" w:fill="D6E4F0"/>
          </w:tcPr>
          <w:p w14:paraId="666501D2" w14:textId="77777777" w:rsidR="00D21BEE" w:rsidRDefault="00000000">
            <w:pPr>
              <w:jc w:val="center"/>
              <w:rPr>
                <w:rFonts w:hint="eastAsia"/>
              </w:rPr>
            </w:pPr>
            <w:r>
              <w:rPr>
                <w:sz w:val="20"/>
              </w:rPr>
              <w:t>端侧</w:t>
            </w:r>
          </w:p>
        </w:tc>
        <w:tc>
          <w:tcPr>
            <w:tcW w:w="1701" w:type="dxa"/>
            <w:shd w:val="clear" w:color="auto" w:fill="D6E4F0"/>
          </w:tcPr>
          <w:p w14:paraId="4C03CE86" w14:textId="77777777" w:rsidR="00D21BEE" w:rsidRDefault="00000000">
            <w:pPr>
              <w:jc w:val="center"/>
              <w:rPr>
                <w:rFonts w:hint="eastAsia"/>
              </w:rPr>
            </w:pPr>
            <w:r>
              <w:rPr>
                <w:sz w:val="20"/>
              </w:rPr>
              <w:t>各闸站</w:t>
            </w:r>
          </w:p>
        </w:tc>
        <w:tc>
          <w:tcPr>
            <w:tcW w:w="1417" w:type="dxa"/>
            <w:shd w:val="clear" w:color="auto" w:fill="D6E4F0"/>
          </w:tcPr>
          <w:p w14:paraId="4916C079" w14:textId="77777777" w:rsidR="00D21BEE" w:rsidRDefault="00000000">
            <w:pPr>
              <w:jc w:val="center"/>
              <w:rPr>
                <w:rFonts w:hint="eastAsia"/>
              </w:rPr>
            </w:pPr>
            <w:r>
              <w:rPr>
                <w:sz w:val="20"/>
              </w:rPr>
              <w:t>~215</w:t>
            </w:r>
          </w:p>
        </w:tc>
        <w:tc>
          <w:tcPr>
            <w:tcW w:w="2551" w:type="dxa"/>
            <w:shd w:val="clear" w:color="auto" w:fill="D6E4F0"/>
          </w:tcPr>
          <w:p w14:paraId="08E2BAFA" w14:textId="77777777" w:rsidR="00D21BEE" w:rsidRDefault="00000000">
            <w:pPr>
              <w:jc w:val="center"/>
              <w:rPr>
                <w:rFonts w:hint="eastAsia"/>
              </w:rPr>
            </w:pPr>
            <w:r>
              <w:rPr>
                <w:sz w:val="20"/>
              </w:rPr>
              <w:t>单闸控制、设备保护</w:t>
            </w:r>
          </w:p>
        </w:tc>
        <w:tc>
          <w:tcPr>
            <w:tcW w:w="1417" w:type="dxa"/>
            <w:shd w:val="clear" w:color="auto" w:fill="D6E4F0"/>
          </w:tcPr>
          <w:p w14:paraId="7D2BB433" w14:textId="77777777" w:rsidR="00D21BEE" w:rsidRDefault="00000000">
            <w:pPr>
              <w:jc w:val="center"/>
              <w:rPr>
                <w:rFonts w:hint="eastAsia"/>
              </w:rPr>
            </w:pPr>
            <w:r>
              <w:rPr>
                <w:sz w:val="20"/>
              </w:rPr>
              <w:t>≥30分钟</w:t>
            </w:r>
          </w:p>
        </w:tc>
      </w:tr>
    </w:tbl>
    <w:p w14:paraId="5A2ED481" w14:textId="77777777" w:rsidR="00D21BEE" w:rsidRDefault="00000000">
      <w:pPr>
        <w:jc w:val="center"/>
        <w:rPr>
          <w:rFonts w:hint="eastAsia"/>
          <w:lang w:eastAsia="zh-CN"/>
        </w:rPr>
      </w:pPr>
      <w:r>
        <w:rPr>
          <w:b/>
          <w:sz w:val="20"/>
          <w:lang w:eastAsia="zh-CN"/>
        </w:rPr>
        <w:t>表4-5  南水北调中线场景下的架构部署方案</w:t>
      </w:r>
    </w:p>
    <w:p w14:paraId="519B32ED" w14:textId="77777777" w:rsidR="00D21BEE" w:rsidRDefault="00000000">
      <w:pPr>
        <w:spacing w:before="200" w:after="160"/>
        <w:rPr>
          <w:rFonts w:hint="eastAsia"/>
          <w:lang w:eastAsia="zh-CN"/>
        </w:rPr>
      </w:pPr>
      <w:r>
        <w:rPr>
          <w:b/>
          <w:sz w:val="26"/>
          <w:lang w:eastAsia="zh-CN"/>
        </w:rPr>
        <w:t>4.6.2 冰期运行的架构适配</w:t>
      </w:r>
    </w:p>
    <w:p w14:paraId="49FD94AD" w14:textId="77777777" w:rsidR="00D21BEE" w:rsidRDefault="00000000">
      <w:pPr>
        <w:ind w:firstLine="482"/>
        <w:rPr>
          <w:rFonts w:hint="eastAsia"/>
          <w:lang w:eastAsia="zh-CN"/>
        </w:rPr>
      </w:pPr>
      <w:r>
        <w:rPr>
          <w:lang w:eastAsia="zh-CN"/>
        </w:rPr>
        <w:t>南水北调中线工程每年约12月至次年2月进入冰期运行，这对架构设计提出了特殊要求。冰期运行的核心挑战包括：冰盖形成与消融的预测、冰盖下的水力输水能力评估、冰塞风险预警与应急处置[49]。在架构层面，冰期运行需要在数字孪生中增加水力-热力耦合模块，在多智能体系统中增加冰情监测智能体，在降级策略中增加冰期专用的安全回退方案。</w:t>
      </w:r>
    </w:p>
    <w:p w14:paraId="203D7DE0" w14:textId="77777777" w:rsidR="00D21BEE" w:rsidRDefault="00000000">
      <w:pPr>
        <w:ind w:firstLine="482"/>
        <w:rPr>
          <w:rFonts w:hint="eastAsia"/>
          <w:lang w:eastAsia="zh-CN"/>
        </w:rPr>
      </w:pPr>
      <w:r>
        <w:rPr>
          <w:lang w:eastAsia="zh-CN"/>
        </w:rPr>
        <w:t>具体而言，冰期运行时数字孪生需要集成气象预报数据（特别是气温预报）和冰情观测数据，通过冰动力学模型预测冰盖的形成、发展和消融过程。MPC控制器需要将冰盖厚度约束纳入优化目标，确保调水流速不会导致冰盖破裂或冰塞形成。认知AI引擎在冰期运行中发挥重要作用，通过对历史冰期数据的深度学习，可以提供更精准的冰情预测和更优的冰期调度策略。冰期运行是检验“物理AI+认知AI”双引擎协作能力的最佳场景之一，因为它需要物理模型提供可靠的安全保障，同时需要数据驱动方法弥补物理模型在冰水耦合领域的不确定性。</w:t>
      </w:r>
    </w:p>
    <w:p w14:paraId="7212C9B9" w14:textId="77777777" w:rsidR="00D21BEE" w:rsidRDefault="00000000">
      <w:pPr>
        <w:spacing w:before="280" w:after="200"/>
        <w:rPr>
          <w:rFonts w:hint="eastAsia"/>
          <w:lang w:eastAsia="zh-CN"/>
        </w:rPr>
      </w:pPr>
      <w:r>
        <w:rPr>
          <w:b/>
          <w:sz w:val="28"/>
          <w:lang w:eastAsia="zh-CN"/>
        </w:rPr>
        <w:t>4.7 与国际标准体系的对接</w:t>
      </w:r>
    </w:p>
    <w:p w14:paraId="55D1A5C2" w14:textId="5BB3E1F0" w:rsidR="00D21BEE" w:rsidRDefault="00BA77C8">
      <w:pPr>
        <w:ind w:firstLine="482"/>
        <w:rPr>
          <w:rFonts w:hint="eastAsia"/>
          <w:lang w:eastAsia="zh-CN"/>
        </w:rPr>
      </w:pPr>
      <w:r>
        <w:rPr>
          <w:rFonts w:hint="eastAsia"/>
          <w:lang w:eastAsia="zh-CN"/>
        </w:rPr>
        <w:t>水网</w:t>
      </w:r>
      <w:r w:rsidR="00000000">
        <w:rPr>
          <w:lang w:eastAsia="zh-CN"/>
        </w:rPr>
        <w:t>大模型的架构设计积极对接国际标准体系，确保技术方案的开放性和可互操作性。在数据模型层面，采用ISO 24591（水利信息模型）和OGC WaterML作为基础数据标准，确保水网数据的跨系统共享[50]。在通信接口层面，采用OPC UA和MQTT等国际标准协议，特别是参考IEC 62541（OPC统一架构）的信息模型规范。在安全架构层面，采用IEC 62443系列标准的分区分级防护策略。在模型耦合层面，采用OpenMI 2.0接口规范实现多模型的标准化耦合[25]。在功能安全层面，参考IEC 61508（功能安全基本标准）和ISO 26262（汽车功能安全）的理念，建立水利领域的功能安全评估框架[51]。</w:t>
      </w:r>
    </w:p>
    <w:p w14:paraId="66D0DE83" w14:textId="5A0DE2FD" w:rsidR="00D21BEE" w:rsidRDefault="00000000">
      <w:pPr>
        <w:ind w:firstLine="482"/>
        <w:rPr>
          <w:rFonts w:hint="eastAsia"/>
          <w:lang w:eastAsia="zh-CN"/>
        </w:rPr>
      </w:pPr>
      <w:r>
        <w:rPr>
          <w:lang w:eastAsia="zh-CN"/>
        </w:rPr>
        <w:t>与国际标准的对接不仅是技术选择，更是战略需求。当前水利信息化领域尚未形成像电力系统（IEC 61970/61968）那样成熟的国际标准体系。</w:t>
      </w:r>
      <w:r w:rsidR="00B1709D">
        <w:rPr>
          <w:rFonts w:hint="eastAsia"/>
          <w:lang w:eastAsia="zh-CN"/>
        </w:rPr>
        <w:t>水网</w:t>
      </w:r>
      <w:r>
        <w:rPr>
          <w:lang w:eastAsia="zh-CN"/>
        </w:rPr>
        <w:t>大模型通过积极参与</w:t>
      </w:r>
      <w:r>
        <w:rPr>
          <w:lang w:eastAsia="zh-CN"/>
        </w:rPr>
        <w:lastRenderedPageBreak/>
        <w:t>IAHR、SWAN等国际组织的标准化活动，推动水网自主运行领域的国际标准制定，争取在这一新兴领域获得标准话语权。</w:t>
      </w:r>
    </w:p>
    <w:p w14:paraId="75F53C07" w14:textId="77777777" w:rsidR="00D21BEE" w:rsidRDefault="00000000">
      <w:pPr>
        <w:spacing w:before="280" w:after="200"/>
        <w:rPr>
          <w:rFonts w:hint="eastAsia"/>
          <w:lang w:eastAsia="zh-CN"/>
        </w:rPr>
      </w:pPr>
      <w:r>
        <w:rPr>
          <w:b/>
          <w:sz w:val="28"/>
          <w:lang w:eastAsia="zh-CN"/>
        </w:rPr>
        <w:t>4.8 本章小结</w:t>
      </w:r>
    </w:p>
    <w:p w14:paraId="5C0CBCB9" w14:textId="77777777" w:rsidR="00D21BEE" w:rsidRDefault="00000000">
      <w:pPr>
        <w:ind w:firstLine="482"/>
        <w:rPr>
          <w:rFonts w:hint="eastAsia"/>
          <w:lang w:eastAsia="zh-CN"/>
        </w:rPr>
      </w:pPr>
      <w:r>
        <w:rPr>
          <w:lang w:eastAsia="zh-CN"/>
        </w:rPr>
        <w:t>本章从“云-边-端协同架构”“数字孪生”“多智能体系统”三个维度，系统阐述了水网自主运行的总体技术架构。核心贡献包括以下几个方面。</w:t>
      </w:r>
    </w:p>
    <w:p w14:paraId="6FB0D980" w14:textId="77777777" w:rsidR="00D21BEE" w:rsidRDefault="00000000">
      <w:pPr>
        <w:ind w:firstLine="482"/>
        <w:rPr>
          <w:rFonts w:hint="eastAsia"/>
          <w:lang w:eastAsia="zh-CN"/>
        </w:rPr>
      </w:pPr>
      <w:r>
        <w:rPr>
          <w:lang w:eastAsia="zh-CN"/>
        </w:rPr>
        <w:t>第一，提出了适应水网特征的云-边-端三层协同架构，确立了“能在下层做的不推到上层”“上层优化、下层约束”“降级保护”三大设计原则，并完成了与电力系统的架构对标分析，揭示了水网与电网在时间常数、非线性程度和控制可逆性方面的关键差异。</w:t>
      </w:r>
    </w:p>
    <w:p w14:paraId="6E94EA99" w14:textId="77777777" w:rsidR="00D21BEE" w:rsidRDefault="00000000">
      <w:pPr>
        <w:ind w:firstLine="482"/>
        <w:rPr>
          <w:rFonts w:hint="eastAsia"/>
          <w:lang w:eastAsia="zh-CN"/>
        </w:rPr>
      </w:pPr>
      <w:r>
        <w:rPr>
          <w:lang w:eastAsia="zh-CN"/>
        </w:rPr>
        <w:t>第二，建立了水网数字孪生的四层组件体系（几何孪生-物理孪生-数据孪生-决策孪生），提出了孪生保真度指标（TF）和三级成熟度评价框架，为数字孪生建设提供了明确的质量标尺。</w:t>
      </w:r>
    </w:p>
    <w:p w14:paraId="61F8ED63" w14:textId="77777777" w:rsidR="00D21BEE" w:rsidRDefault="00000000">
      <w:pPr>
        <w:ind w:firstLine="482"/>
        <w:rPr>
          <w:rFonts w:hint="eastAsia"/>
          <w:lang w:eastAsia="zh-CN"/>
        </w:rPr>
      </w:pPr>
      <w:r>
        <w:rPr>
          <w:lang w:eastAsia="zh-CN"/>
        </w:rPr>
        <w:t>第三，设计了基于四类智能体的MAS架构，提出了基于“目标协商-约束耦合”的分布式MPC方案，实现了全局最优性与计算可行性的平衡。</w:t>
      </w:r>
    </w:p>
    <w:p w14:paraId="25B7C7E8" w14:textId="6E9714F5" w:rsidR="00D21BEE" w:rsidRDefault="00000000">
      <w:pPr>
        <w:ind w:firstLine="482"/>
        <w:rPr>
          <w:rFonts w:hint="eastAsia"/>
          <w:lang w:eastAsia="zh-CN"/>
        </w:rPr>
      </w:pPr>
      <w:r>
        <w:rPr>
          <w:lang w:eastAsia="zh-CN"/>
        </w:rPr>
        <w:t>第四，提出了</w:t>
      </w:r>
      <w:r w:rsidR="006E001E">
        <w:rPr>
          <w:rFonts w:hint="eastAsia"/>
          <w:lang w:eastAsia="zh-CN"/>
        </w:rPr>
        <w:t>水网</w:t>
      </w:r>
      <w:r>
        <w:rPr>
          <w:lang w:eastAsia="zh-CN"/>
        </w:rPr>
        <w:t>大模型的“物理AI+认知AI”双引擎架构，核心设计原则是“安全关键路径与辅助路径的严格分离”，确保了AI技术的安全应用。</w:t>
      </w:r>
    </w:p>
    <w:p w14:paraId="167CDA10" w14:textId="77777777" w:rsidR="00D21BEE" w:rsidRDefault="00000000">
      <w:pPr>
        <w:ind w:firstLine="482"/>
        <w:rPr>
          <w:rFonts w:hint="eastAsia"/>
          <w:lang w:eastAsia="zh-CN"/>
        </w:rPr>
      </w:pPr>
      <w:r>
        <w:rPr>
          <w:lang w:eastAsia="zh-CN"/>
        </w:rPr>
        <w:t>第五，以南水北调中线工程为案例，给出了架构的具体映射方案，并讨论了冰期运行等特殊场景的架构适配。</w:t>
      </w:r>
    </w:p>
    <w:p w14:paraId="4EC655ED" w14:textId="77777777" w:rsidR="00D21BEE" w:rsidRDefault="00000000">
      <w:pPr>
        <w:ind w:firstLine="482"/>
        <w:rPr>
          <w:rFonts w:hint="eastAsia"/>
          <w:lang w:eastAsia="zh-CN"/>
        </w:rPr>
      </w:pPr>
      <w:r>
        <w:rPr>
          <w:lang w:eastAsia="zh-CN"/>
        </w:rPr>
        <w:t>上述架构为后续各章的技术论述提供了统一的系统背景。第五章将深入讨论数字孪生的核心——全网状态重构与预测技术；第六章将详述多智能体协调的核心——分布式模型预测控制算法。</w:t>
      </w:r>
    </w:p>
    <w:p w14:paraId="29DB5531" w14:textId="77777777" w:rsidR="00D21BEE" w:rsidRDefault="00000000">
      <w:pPr>
        <w:rPr>
          <w:rFonts w:hint="eastAsia"/>
          <w:lang w:eastAsia="zh-CN"/>
        </w:rPr>
      </w:pPr>
      <w:r>
        <w:rPr>
          <w:lang w:eastAsia="zh-CN"/>
        </w:rPr>
        <w:br w:type="page"/>
      </w:r>
    </w:p>
    <w:p w14:paraId="5E600873" w14:textId="77777777" w:rsidR="00D21BEE" w:rsidRDefault="00000000">
      <w:pPr>
        <w:spacing w:before="360" w:after="240"/>
        <w:rPr>
          <w:rFonts w:hint="eastAsia"/>
        </w:rPr>
      </w:pPr>
      <w:r>
        <w:rPr>
          <w:b/>
          <w:sz w:val="32"/>
        </w:rPr>
        <w:lastRenderedPageBreak/>
        <w:t>第四章参考文献</w:t>
      </w:r>
    </w:p>
    <w:p w14:paraId="253100D7" w14:textId="77777777" w:rsidR="00D21BEE" w:rsidRDefault="00000000">
      <w:pPr>
        <w:spacing w:before="30" w:after="30" w:line="360" w:lineRule="exact"/>
        <w:ind w:left="482" w:hanging="482"/>
        <w:rPr>
          <w:rFonts w:hint="eastAsia"/>
        </w:rPr>
      </w:pPr>
      <w:r>
        <w:rPr>
          <w:sz w:val="21"/>
        </w:rPr>
        <w:t>[1] Shi W, Cao J, Zhang Q, et al. Edge computing: Vision and challenges[J]. IEEE Internet of Things Journal, 2016, 3(5): 637-646.</w:t>
      </w:r>
    </w:p>
    <w:p w14:paraId="63FA0282" w14:textId="77777777" w:rsidR="00D21BEE" w:rsidRDefault="00000000">
      <w:pPr>
        <w:spacing w:before="30" w:after="30" w:line="360" w:lineRule="exact"/>
        <w:ind w:left="482" w:hanging="482"/>
        <w:rPr>
          <w:rFonts w:hint="eastAsia"/>
          <w:lang w:eastAsia="zh-CN"/>
        </w:rPr>
      </w:pPr>
      <w:r>
        <w:rPr>
          <w:sz w:val="21"/>
          <w:lang w:eastAsia="zh-CN"/>
        </w:rPr>
        <w:t>[2] 雷晓辉, 蒋云钟, 王浩, 等. 水系统控制论: 从智能调控到自主运行[J]. 中国科学: 技术科学, 2024.</w:t>
      </w:r>
    </w:p>
    <w:p w14:paraId="093F1D3B" w14:textId="77777777" w:rsidR="00D21BEE" w:rsidRDefault="00000000">
      <w:pPr>
        <w:spacing w:before="30" w:after="30" w:line="360" w:lineRule="exact"/>
        <w:ind w:left="482" w:hanging="482"/>
        <w:rPr>
          <w:rFonts w:hint="eastAsia"/>
        </w:rPr>
      </w:pPr>
      <w:r>
        <w:rPr>
          <w:sz w:val="21"/>
        </w:rPr>
        <w:t>[3] Satyanarayanan M. The emergence of edge computing[J]. Computer, 2017, 50(1): 30-39.</w:t>
      </w:r>
    </w:p>
    <w:p w14:paraId="55511867" w14:textId="77777777" w:rsidR="00D21BEE" w:rsidRDefault="00000000">
      <w:pPr>
        <w:spacing w:before="30" w:after="30" w:line="360" w:lineRule="exact"/>
        <w:ind w:left="482" w:hanging="482"/>
        <w:rPr>
          <w:rFonts w:hint="eastAsia"/>
        </w:rPr>
      </w:pPr>
      <w:r>
        <w:rPr>
          <w:sz w:val="21"/>
        </w:rPr>
        <w:t>[4] Yu W, Liang F, He X, et al. A survey on the edge computing for the Internet of Things[J]. IEEE Access, 2018, 6: 6900-6919.</w:t>
      </w:r>
    </w:p>
    <w:p w14:paraId="23221B8F" w14:textId="77777777" w:rsidR="00D21BEE" w:rsidRDefault="00000000">
      <w:pPr>
        <w:spacing w:before="30" w:after="30" w:line="360" w:lineRule="exact"/>
        <w:ind w:left="482" w:hanging="482"/>
        <w:rPr>
          <w:rFonts w:hint="eastAsia"/>
        </w:rPr>
      </w:pPr>
      <w:r>
        <w:rPr>
          <w:sz w:val="21"/>
        </w:rPr>
        <w:t>[5] IEC. Programmable controllers — Part 3: Programming languages: IEC 61131-3[S]. Geneva: International Electrotechnical Commission, 2013.</w:t>
      </w:r>
    </w:p>
    <w:p w14:paraId="6E880541" w14:textId="77777777" w:rsidR="00D21BEE" w:rsidRDefault="00000000">
      <w:pPr>
        <w:spacing w:before="30" w:after="30" w:line="360" w:lineRule="exact"/>
        <w:ind w:left="482" w:hanging="482"/>
        <w:rPr>
          <w:rFonts w:hint="eastAsia"/>
        </w:rPr>
      </w:pPr>
      <w:r>
        <w:rPr>
          <w:sz w:val="21"/>
        </w:rPr>
        <w:t>[6] Clough B T. Metrics, schmetrics! How the heck do you determine a UAV’s autonomy anyway?[C]// Performance Metrics for Intelligent Systems Workshop. Gaithersburg: NIST, 2002.</w:t>
      </w:r>
    </w:p>
    <w:p w14:paraId="733E7350" w14:textId="77777777" w:rsidR="00D21BEE" w:rsidRDefault="00000000">
      <w:pPr>
        <w:spacing w:before="30" w:after="30" w:line="360" w:lineRule="exact"/>
        <w:ind w:left="482" w:hanging="482"/>
        <w:rPr>
          <w:rFonts w:hint="eastAsia"/>
        </w:rPr>
      </w:pPr>
      <w:r>
        <w:rPr>
          <w:sz w:val="21"/>
        </w:rPr>
        <w:t>[7] OPC Foundation. OPC Unified Architecture Specification[S]. OPC Foundation, 2022.</w:t>
      </w:r>
    </w:p>
    <w:p w14:paraId="3DDAC910" w14:textId="77777777" w:rsidR="00D21BEE" w:rsidRDefault="00000000">
      <w:pPr>
        <w:spacing w:before="30" w:after="30" w:line="360" w:lineRule="exact"/>
        <w:ind w:left="482" w:hanging="482"/>
        <w:rPr>
          <w:rFonts w:hint="eastAsia"/>
        </w:rPr>
      </w:pPr>
      <w:r>
        <w:rPr>
          <w:sz w:val="21"/>
        </w:rPr>
        <w:t>[8] Eclipse Foundation. Eclipse Sparkplug Specification: Version 3.0[S]. Ottawa: Eclipse Foundation, 2023.</w:t>
      </w:r>
    </w:p>
    <w:p w14:paraId="0D602E2D" w14:textId="77777777" w:rsidR="00D21BEE" w:rsidRDefault="00000000">
      <w:pPr>
        <w:spacing w:before="30" w:after="30" w:line="360" w:lineRule="exact"/>
        <w:ind w:left="482" w:hanging="482"/>
        <w:rPr>
          <w:rFonts w:hint="eastAsia"/>
        </w:rPr>
      </w:pPr>
      <w:r>
        <w:rPr>
          <w:sz w:val="21"/>
        </w:rPr>
        <w:t>[9] IEC. Communication networks and systems for power utility automation: IEC 61850[S]. Geneva: International Electrotechnical Commission, 2013.</w:t>
      </w:r>
    </w:p>
    <w:p w14:paraId="3DD83323" w14:textId="77777777" w:rsidR="00D21BEE" w:rsidRDefault="00000000">
      <w:pPr>
        <w:spacing w:before="30" w:after="30" w:line="360" w:lineRule="exact"/>
        <w:ind w:left="482" w:hanging="482"/>
        <w:rPr>
          <w:rFonts w:hint="eastAsia"/>
        </w:rPr>
      </w:pPr>
      <w:r>
        <w:rPr>
          <w:sz w:val="21"/>
        </w:rPr>
        <w:t>[10] Leveson N G. Engineering a Safer World: Systems Thinking Applied to Safety[M]. Cambridge: MIT Press, 2011.</w:t>
      </w:r>
    </w:p>
    <w:p w14:paraId="2A2EA7CC" w14:textId="77777777" w:rsidR="00D21BEE" w:rsidRDefault="00000000">
      <w:pPr>
        <w:spacing w:before="30" w:after="30" w:line="360" w:lineRule="exact"/>
        <w:ind w:left="482" w:hanging="482"/>
        <w:rPr>
          <w:rFonts w:hint="eastAsia"/>
        </w:rPr>
      </w:pPr>
      <w:r>
        <w:rPr>
          <w:sz w:val="21"/>
        </w:rPr>
        <w:t>[11] Traverse P, Lacaze I, Souyris J. Airbus fly-by-wire: A total approach to dependability[C]// IFIP International Conference on Dependable Systems and Networks. Florence: Springer, 2004: 191-206.</w:t>
      </w:r>
    </w:p>
    <w:p w14:paraId="5AE80E08" w14:textId="77777777" w:rsidR="00D21BEE" w:rsidRDefault="00000000">
      <w:pPr>
        <w:spacing w:before="30" w:after="30" w:line="360" w:lineRule="exact"/>
        <w:ind w:left="482" w:hanging="482"/>
        <w:rPr>
          <w:rFonts w:hint="eastAsia"/>
        </w:rPr>
      </w:pPr>
      <w:r>
        <w:rPr>
          <w:sz w:val="21"/>
        </w:rPr>
        <w:t>[12] Federal Aviation Administration. Advisory Circular 25.1329-1C: Flight Guidance System Approval[S]. Washington DC: FAA, 2006.</w:t>
      </w:r>
    </w:p>
    <w:p w14:paraId="136F2958" w14:textId="77777777" w:rsidR="00D21BEE" w:rsidRDefault="00000000">
      <w:pPr>
        <w:spacing w:before="30" w:after="30" w:line="360" w:lineRule="exact"/>
        <w:ind w:left="482" w:hanging="482"/>
        <w:rPr>
          <w:rFonts w:hint="eastAsia"/>
        </w:rPr>
      </w:pPr>
      <w:r>
        <w:rPr>
          <w:sz w:val="21"/>
        </w:rPr>
        <w:t>[13] Kundur P. Power System Stability and Control[M]. New York: McGraw-Hill, 1994.</w:t>
      </w:r>
    </w:p>
    <w:p w14:paraId="2A91BFAE" w14:textId="77777777" w:rsidR="00D21BEE" w:rsidRDefault="00000000">
      <w:pPr>
        <w:spacing w:before="30" w:after="30" w:line="360" w:lineRule="exact"/>
        <w:ind w:left="482" w:hanging="482"/>
        <w:rPr>
          <w:rFonts w:hint="eastAsia"/>
        </w:rPr>
      </w:pPr>
      <w:r>
        <w:rPr>
          <w:sz w:val="21"/>
        </w:rPr>
        <w:t>[14] IEC. Energy management system application program interface: IEC 61970[S]. Geneva: International Electrotechnical Commission, 2005.</w:t>
      </w:r>
    </w:p>
    <w:p w14:paraId="34733E38" w14:textId="77777777" w:rsidR="00D21BEE" w:rsidRDefault="00000000">
      <w:pPr>
        <w:spacing w:before="30" w:after="30" w:line="360" w:lineRule="exact"/>
        <w:ind w:left="482" w:hanging="482"/>
        <w:rPr>
          <w:rFonts w:hint="eastAsia"/>
        </w:rPr>
      </w:pPr>
      <w:r>
        <w:rPr>
          <w:sz w:val="21"/>
        </w:rPr>
        <w:t>[15] Litrico X, Fromion V. Modeling and Control of Hydrosystems[M]. London: Springer, 2009.</w:t>
      </w:r>
    </w:p>
    <w:p w14:paraId="4426B32D" w14:textId="77777777" w:rsidR="00D21BEE" w:rsidRDefault="00000000">
      <w:pPr>
        <w:spacing w:before="30" w:after="30" w:line="360" w:lineRule="exact"/>
        <w:ind w:left="482" w:hanging="482"/>
        <w:rPr>
          <w:rFonts w:hint="eastAsia"/>
        </w:rPr>
      </w:pPr>
      <w:r>
        <w:rPr>
          <w:sz w:val="21"/>
        </w:rPr>
        <w:t>[16] Chaudhry M H. Open-Channel Flow[M]. 2nd ed. New York: Springer, 2008.</w:t>
      </w:r>
    </w:p>
    <w:p w14:paraId="1BB48E1B" w14:textId="77777777" w:rsidR="00D21BEE" w:rsidRDefault="00000000">
      <w:pPr>
        <w:spacing w:before="30" w:after="30" w:line="360" w:lineRule="exact"/>
        <w:ind w:left="482" w:hanging="482"/>
        <w:rPr>
          <w:rFonts w:hint="eastAsia"/>
        </w:rPr>
      </w:pPr>
      <w:r>
        <w:rPr>
          <w:sz w:val="21"/>
        </w:rPr>
        <w:t>[17] Grieves M, Vickers J. Digital twin: Mitigating unpredictable, undesirable emergent behavior in complex systems[C]// Transdisciplinary Perspectives on Complex Systems. Cham: Springer, 2017: 85-113.</w:t>
      </w:r>
    </w:p>
    <w:p w14:paraId="78BC6398" w14:textId="77777777" w:rsidR="00D21BEE" w:rsidRDefault="00000000">
      <w:pPr>
        <w:spacing w:before="30" w:after="30" w:line="360" w:lineRule="exact"/>
        <w:ind w:left="482" w:hanging="482"/>
        <w:rPr>
          <w:rFonts w:hint="eastAsia"/>
        </w:rPr>
      </w:pPr>
      <w:r>
        <w:rPr>
          <w:sz w:val="21"/>
        </w:rPr>
        <w:lastRenderedPageBreak/>
        <w:t>[18] Glaessgen E H, Stargel D S. The digital twin paradigm for future NASA and US Air Force vehicles[C]// AIAA Structures, Structural Dynamics, and Materials Conference. Honolulu: AIAA, 2012: 1818.</w:t>
      </w:r>
    </w:p>
    <w:p w14:paraId="6E45AA7D" w14:textId="77777777" w:rsidR="00D21BEE" w:rsidRDefault="00000000">
      <w:pPr>
        <w:spacing w:before="30" w:after="30" w:line="360" w:lineRule="exact"/>
        <w:ind w:left="482" w:hanging="482"/>
        <w:rPr>
          <w:rFonts w:hint="eastAsia"/>
        </w:rPr>
      </w:pPr>
      <w:r>
        <w:rPr>
          <w:sz w:val="21"/>
        </w:rPr>
        <w:t>[19] Cunge J A, Holly F M, Verwey A. Practical Aspects of Computational River Hydraulics[M]. London: Pitman Publishing, 1980.</w:t>
      </w:r>
    </w:p>
    <w:p w14:paraId="01AA6963" w14:textId="77777777" w:rsidR="00D21BEE" w:rsidRDefault="00000000">
      <w:pPr>
        <w:spacing w:before="30" w:after="30" w:line="360" w:lineRule="exact"/>
        <w:ind w:left="482" w:hanging="482"/>
        <w:rPr>
          <w:rFonts w:hint="eastAsia"/>
        </w:rPr>
      </w:pPr>
      <w:r>
        <w:rPr>
          <w:sz w:val="21"/>
        </w:rPr>
        <w:t>[20] Liu Y, Weerts A H, Clark M, et al. Advancing data assimilation in operational hydrologic forecasting: progresses, challenges, and emerging opportunities[J]. Hydrology and Earth System Sciences, 2012, 16(10): 3863-3887.</w:t>
      </w:r>
    </w:p>
    <w:p w14:paraId="0199A4B4" w14:textId="77777777" w:rsidR="00D21BEE" w:rsidRDefault="00000000">
      <w:pPr>
        <w:spacing w:before="30" w:after="30" w:line="360" w:lineRule="exact"/>
        <w:ind w:left="482" w:hanging="482"/>
        <w:rPr>
          <w:rFonts w:hint="eastAsia"/>
        </w:rPr>
      </w:pPr>
      <w:r>
        <w:rPr>
          <w:sz w:val="21"/>
        </w:rPr>
        <w:t>[21] Tao F, Cheng J, Qi Q, et al. Digital twin-driven product design, manufacturing and service with big data[J]. International Journal of Advanced Manufacturing Technology, 2018, 94(9): 3563-3576.</w:t>
      </w:r>
    </w:p>
    <w:p w14:paraId="7E504789" w14:textId="77777777" w:rsidR="00D21BEE" w:rsidRDefault="00000000">
      <w:pPr>
        <w:spacing w:before="30" w:after="30" w:line="360" w:lineRule="exact"/>
        <w:ind w:left="482" w:hanging="482"/>
        <w:rPr>
          <w:rFonts w:hint="eastAsia"/>
        </w:rPr>
      </w:pPr>
      <w:r>
        <w:rPr>
          <w:sz w:val="21"/>
        </w:rPr>
        <w:t>[22] Evensen G. The Ensemble Kalman Filter: theoretical formulation and practical implementation[J]. Ocean Dynamics, 2003, 53(4): 343-367.</w:t>
      </w:r>
    </w:p>
    <w:p w14:paraId="68D541CE" w14:textId="77777777" w:rsidR="00D21BEE" w:rsidRDefault="00000000">
      <w:pPr>
        <w:spacing w:before="30" w:after="30" w:line="360" w:lineRule="exact"/>
        <w:ind w:left="482" w:hanging="482"/>
        <w:rPr>
          <w:rFonts w:hint="eastAsia"/>
        </w:rPr>
      </w:pPr>
      <w:r>
        <w:rPr>
          <w:sz w:val="21"/>
        </w:rPr>
        <w:t>[23] Karniadakis G E, Kevrekidis I G, Lu L, et al. Physics-informed machine learning[J]. Nature Reviews Physics, 2021, 3(6): 422-440.</w:t>
      </w:r>
    </w:p>
    <w:p w14:paraId="584A7059" w14:textId="77777777" w:rsidR="00D21BEE" w:rsidRDefault="00000000">
      <w:pPr>
        <w:spacing w:before="30" w:after="30" w:line="360" w:lineRule="exact"/>
        <w:ind w:left="482" w:hanging="482"/>
        <w:rPr>
          <w:rFonts w:hint="eastAsia"/>
        </w:rPr>
      </w:pPr>
      <w:r>
        <w:rPr>
          <w:sz w:val="21"/>
        </w:rPr>
        <w:t>[24] Bauer P, Thorpe A, Brunet G. The quiet revolution of numerical weather prediction[J]. Nature, 2015, 525(7567): 47-55.</w:t>
      </w:r>
    </w:p>
    <w:p w14:paraId="3AC4F17B" w14:textId="77777777" w:rsidR="00D21BEE" w:rsidRDefault="00000000">
      <w:pPr>
        <w:spacing w:before="30" w:after="30" w:line="360" w:lineRule="exact"/>
        <w:ind w:left="482" w:hanging="482"/>
        <w:rPr>
          <w:rFonts w:hint="eastAsia"/>
        </w:rPr>
      </w:pPr>
      <w:r>
        <w:rPr>
          <w:sz w:val="21"/>
        </w:rPr>
        <w:t>[25] Gregersen J B, Gijsbers P J A, Westen S J P. OpenMI: Open modelling interface[J]. Journal of Hydroinformatics, 2007, 9(3): 175-191.</w:t>
      </w:r>
    </w:p>
    <w:p w14:paraId="3070CBC9" w14:textId="77777777" w:rsidR="00D21BEE" w:rsidRDefault="00000000">
      <w:pPr>
        <w:spacing w:before="30" w:after="30" w:line="360" w:lineRule="exact"/>
        <w:ind w:left="482" w:hanging="482"/>
        <w:rPr>
          <w:rFonts w:hint="eastAsia"/>
        </w:rPr>
      </w:pPr>
      <w:r>
        <w:rPr>
          <w:sz w:val="21"/>
        </w:rPr>
        <w:t>[26] 穆祥鹏, 雷晓辉, 蒋云钟, 等. 南水北调中线一期工程自动化调度关键技术[J]. 南水北调与水利科技, 2020, 18(6): 190-198.</w:t>
      </w:r>
    </w:p>
    <w:p w14:paraId="72469829" w14:textId="77777777" w:rsidR="00D21BEE" w:rsidRDefault="00000000">
      <w:pPr>
        <w:spacing w:before="30" w:after="30" w:line="360" w:lineRule="exact"/>
        <w:ind w:left="482" w:hanging="482"/>
        <w:rPr>
          <w:rFonts w:hint="eastAsia"/>
        </w:rPr>
      </w:pPr>
      <w:r>
        <w:rPr>
          <w:sz w:val="21"/>
        </w:rPr>
        <w:t>[27] 水利部. 数字孪生水利建设指导意见[Z]. 北京, 2023.</w:t>
      </w:r>
    </w:p>
    <w:p w14:paraId="19485B4D" w14:textId="77777777" w:rsidR="00D21BEE" w:rsidRDefault="00000000">
      <w:pPr>
        <w:spacing w:before="30" w:after="30" w:line="360" w:lineRule="exact"/>
        <w:ind w:left="482" w:hanging="482"/>
        <w:rPr>
          <w:rFonts w:hint="eastAsia"/>
        </w:rPr>
      </w:pPr>
      <w:r>
        <w:rPr>
          <w:sz w:val="21"/>
        </w:rPr>
        <w:t>[28] Wooldridge M. An Introduction to MultiAgent Systems[M]. 2nd ed. Chichester: John Wiley &amp; Sons, 2009.</w:t>
      </w:r>
    </w:p>
    <w:p w14:paraId="07E35CF0" w14:textId="77777777" w:rsidR="00D21BEE" w:rsidRDefault="00000000">
      <w:pPr>
        <w:spacing w:before="30" w:after="30" w:line="360" w:lineRule="exact"/>
        <w:ind w:left="482" w:hanging="482"/>
        <w:rPr>
          <w:rFonts w:hint="eastAsia"/>
        </w:rPr>
      </w:pPr>
      <w:r>
        <w:rPr>
          <w:sz w:val="21"/>
        </w:rPr>
        <w:t>[29] Negenborn R R, van Overloop P J, Keviczky T, et al. Distributed model predictive control of irrigation canals[J]. Networks and Heterogeneous Media, 2009, 4(2): 359-380.</w:t>
      </w:r>
    </w:p>
    <w:p w14:paraId="38710D00" w14:textId="77777777" w:rsidR="00D21BEE" w:rsidRDefault="00000000">
      <w:pPr>
        <w:spacing w:before="30" w:after="30" w:line="360" w:lineRule="exact"/>
        <w:ind w:left="482" w:hanging="482"/>
        <w:rPr>
          <w:rFonts w:hint="eastAsia"/>
        </w:rPr>
      </w:pPr>
      <w:r>
        <w:rPr>
          <w:sz w:val="21"/>
        </w:rPr>
        <w:t>[30] 王浩, 雷晓辉. 国家水网智能调控技术体系研究[J]. 中国水利, 2024.</w:t>
      </w:r>
    </w:p>
    <w:p w14:paraId="640C7A1C" w14:textId="77777777" w:rsidR="00D21BEE" w:rsidRDefault="00000000">
      <w:pPr>
        <w:spacing w:before="30" w:after="30" w:line="360" w:lineRule="exact"/>
        <w:ind w:left="482" w:hanging="482"/>
        <w:rPr>
          <w:rFonts w:hint="eastAsia"/>
        </w:rPr>
      </w:pPr>
      <w:r>
        <w:rPr>
          <w:sz w:val="21"/>
        </w:rPr>
        <w:t>[31] Olfati-Saber R, Fax J A, Murray R M. Consensus and cooperation in networked multi-agent systems[J]. Proceedings of the IEEE, 2007, 95(1): 215-233.</w:t>
      </w:r>
    </w:p>
    <w:p w14:paraId="4DB57E74" w14:textId="77777777" w:rsidR="00D21BEE" w:rsidRDefault="00000000">
      <w:pPr>
        <w:spacing w:before="30" w:after="30" w:line="360" w:lineRule="exact"/>
        <w:ind w:left="482" w:hanging="482"/>
        <w:rPr>
          <w:rFonts w:hint="eastAsia"/>
        </w:rPr>
      </w:pPr>
      <w:r>
        <w:rPr>
          <w:sz w:val="21"/>
        </w:rPr>
        <w:t>[32] Nedic A, Ozdaglar A. Distributed subgradient methods for multi-agent optimization[J]. IEEE Transactions on Automatic Control, 2009, 54(1): 48-61.</w:t>
      </w:r>
    </w:p>
    <w:p w14:paraId="46C112C3" w14:textId="77777777" w:rsidR="00D21BEE" w:rsidRDefault="00000000">
      <w:pPr>
        <w:spacing w:before="30" w:after="30" w:line="360" w:lineRule="exact"/>
        <w:ind w:left="482" w:hanging="482"/>
        <w:rPr>
          <w:rFonts w:hint="eastAsia"/>
        </w:rPr>
      </w:pPr>
      <w:r>
        <w:rPr>
          <w:sz w:val="21"/>
        </w:rPr>
        <w:t>[33] Rawlings J B, Mayne D Q, Diehl M. Model Predictive Control: Theory, Computation, and Design[M]. 2nd ed. Santa Barbara: Nob Hill Publishing, 2017.</w:t>
      </w:r>
    </w:p>
    <w:p w14:paraId="77F9AEE2" w14:textId="77777777" w:rsidR="00D21BEE" w:rsidRDefault="00000000">
      <w:pPr>
        <w:spacing w:before="30" w:after="30" w:line="360" w:lineRule="exact"/>
        <w:ind w:left="482" w:hanging="482"/>
        <w:rPr>
          <w:rFonts w:hint="eastAsia"/>
        </w:rPr>
      </w:pPr>
      <w:r>
        <w:rPr>
          <w:sz w:val="21"/>
        </w:rPr>
        <w:t>[34] Maestre J M, Negenborn R R. Distributed Model Predictive Control Made Easy[M]. Dordrecht: Springer, 2014.</w:t>
      </w:r>
    </w:p>
    <w:p w14:paraId="40B71175" w14:textId="77777777" w:rsidR="00D21BEE" w:rsidRDefault="00000000">
      <w:pPr>
        <w:spacing w:before="30" w:after="30" w:line="360" w:lineRule="exact"/>
        <w:ind w:left="482" w:hanging="482"/>
        <w:rPr>
          <w:rFonts w:hint="eastAsia"/>
        </w:rPr>
      </w:pPr>
      <w:r>
        <w:rPr>
          <w:sz w:val="21"/>
        </w:rPr>
        <w:lastRenderedPageBreak/>
        <w:t>[35] Fax J A, Murray R M. Information flow and cooperative control of vehicle formations[J]. IEEE Transactions on Automatic Control, 2004, 49(9): 1465-1476.</w:t>
      </w:r>
    </w:p>
    <w:p w14:paraId="4A258AFF" w14:textId="77777777" w:rsidR="00D21BEE" w:rsidRDefault="00000000">
      <w:pPr>
        <w:spacing w:before="30" w:after="30" w:line="360" w:lineRule="exact"/>
        <w:ind w:left="482" w:hanging="482"/>
        <w:rPr>
          <w:rFonts w:hint="eastAsia"/>
        </w:rPr>
      </w:pPr>
      <w:r>
        <w:rPr>
          <w:sz w:val="21"/>
        </w:rPr>
        <w:t>[36] 雷晓辉. 水网自主运行技术体系与发展路径[J]. 中国水利, 2024.</w:t>
      </w:r>
    </w:p>
    <w:p w14:paraId="1D523C25" w14:textId="77777777" w:rsidR="00D21BEE" w:rsidRDefault="00000000">
      <w:pPr>
        <w:spacing w:before="30" w:after="30" w:line="360" w:lineRule="exact"/>
        <w:ind w:left="482" w:hanging="482"/>
        <w:rPr>
          <w:rFonts w:hint="eastAsia"/>
        </w:rPr>
      </w:pPr>
      <w:r>
        <w:rPr>
          <w:sz w:val="21"/>
        </w:rPr>
        <w:t>[37] 雷晓辉, 廖卫红, 蒋云钟, 等. 水利智能化关键技术综述与展望[J]. 水利学报, 2023, 54(1): 1-13.</w:t>
      </w:r>
    </w:p>
    <w:p w14:paraId="76DA134E" w14:textId="77777777" w:rsidR="00D21BEE" w:rsidRDefault="00000000">
      <w:pPr>
        <w:spacing w:before="30" w:after="30" w:line="360" w:lineRule="exact"/>
        <w:ind w:left="482" w:hanging="482"/>
        <w:rPr>
          <w:rFonts w:hint="eastAsia"/>
          <w:lang w:eastAsia="zh-CN"/>
        </w:rPr>
      </w:pPr>
      <w:r>
        <w:rPr>
          <w:sz w:val="21"/>
        </w:rPr>
        <w:t xml:space="preserve">[38] Ames A D, Xu X, Grizzle J W, et al. Control barrier functions: Theory and applications[C]// European Control Conference. </w:t>
      </w:r>
      <w:r>
        <w:rPr>
          <w:sz w:val="21"/>
          <w:lang w:eastAsia="zh-CN"/>
        </w:rPr>
        <w:t>Naples: IEEE, 2019: 3420-3431.</w:t>
      </w:r>
    </w:p>
    <w:p w14:paraId="27239C8F" w14:textId="77777777" w:rsidR="00D21BEE" w:rsidRDefault="00000000">
      <w:pPr>
        <w:spacing w:before="30" w:after="30" w:line="360" w:lineRule="exact"/>
        <w:ind w:left="482" w:hanging="482"/>
        <w:rPr>
          <w:rFonts w:hint="eastAsia"/>
          <w:lang w:eastAsia="zh-CN"/>
        </w:rPr>
      </w:pPr>
      <w:r>
        <w:rPr>
          <w:sz w:val="21"/>
          <w:lang w:eastAsia="zh-CN"/>
        </w:rPr>
        <w:t>[39] 南水北调中线干线工程建设管理局. 南水北调中线一期工程运行管理报告[R]. 北京, 2023.</w:t>
      </w:r>
    </w:p>
    <w:p w14:paraId="1C39F24B" w14:textId="77777777" w:rsidR="00D21BEE" w:rsidRDefault="00000000">
      <w:pPr>
        <w:spacing w:before="30" w:after="30" w:line="360" w:lineRule="exact"/>
        <w:ind w:left="482" w:hanging="482"/>
        <w:rPr>
          <w:rFonts w:hint="eastAsia"/>
        </w:rPr>
      </w:pPr>
      <w:r>
        <w:rPr>
          <w:sz w:val="21"/>
        </w:rPr>
        <w:t>[40] Wang L, Ma C, Feng X, et al. A survey on large language model based autonomous agents[J]. Frontiers of Computer Science, 2024, 18(6): 186345.</w:t>
      </w:r>
    </w:p>
    <w:p w14:paraId="7610E0A3" w14:textId="77777777" w:rsidR="00D21BEE" w:rsidRDefault="00000000">
      <w:pPr>
        <w:spacing w:before="30" w:after="30" w:line="360" w:lineRule="exact"/>
        <w:ind w:left="482" w:hanging="482"/>
        <w:rPr>
          <w:rFonts w:hint="eastAsia"/>
        </w:rPr>
      </w:pPr>
      <w:r>
        <w:rPr>
          <w:sz w:val="21"/>
        </w:rPr>
        <w:t>[41] Amodei D, Olah C, Steinhardt J, et al. Concrete problems in AI safety[J]. arXiv preprint arXiv:1606.06565, 2016.</w:t>
      </w:r>
    </w:p>
    <w:p w14:paraId="0086D2AB" w14:textId="77777777" w:rsidR="00D21BEE" w:rsidRDefault="00000000">
      <w:pPr>
        <w:spacing w:before="30" w:after="30" w:line="360" w:lineRule="exact"/>
        <w:ind w:left="482" w:hanging="482"/>
        <w:rPr>
          <w:rFonts w:hint="eastAsia"/>
        </w:rPr>
      </w:pPr>
      <w:r>
        <w:rPr>
          <w:sz w:val="21"/>
        </w:rPr>
        <w:t>[42] Collinson R P G. Introduction to Avionics Systems[M]. 3rd ed. Dordrecht: Springer, 2011.</w:t>
      </w:r>
    </w:p>
    <w:p w14:paraId="4F4C8A90" w14:textId="77777777" w:rsidR="00D21BEE" w:rsidRDefault="00000000">
      <w:pPr>
        <w:spacing w:before="30" w:after="30" w:line="360" w:lineRule="exact"/>
        <w:ind w:left="482" w:hanging="482"/>
        <w:rPr>
          <w:rFonts w:hint="eastAsia"/>
        </w:rPr>
      </w:pPr>
      <w:r>
        <w:rPr>
          <w:sz w:val="21"/>
        </w:rPr>
        <w:t>[43] Russell S, Dewey D, Tegmark M. Research priorities for robust and beneficial artificial intelligence[J]. AI Magazine, 2015, 36(4): 105-114.</w:t>
      </w:r>
    </w:p>
    <w:p w14:paraId="466CA91B" w14:textId="77777777" w:rsidR="00D21BEE" w:rsidRDefault="00000000">
      <w:pPr>
        <w:spacing w:before="30" w:after="30" w:line="360" w:lineRule="exact"/>
        <w:ind w:left="482" w:hanging="482"/>
        <w:rPr>
          <w:rFonts w:hint="eastAsia"/>
        </w:rPr>
      </w:pPr>
      <w:r>
        <w:rPr>
          <w:sz w:val="21"/>
        </w:rPr>
        <w:t>[44] IEC. Security for industrial automation and control systems: IEC 62443[S]. Geneva: International Electrotechnical Commission, 2018.</w:t>
      </w:r>
    </w:p>
    <w:p w14:paraId="51A03A3D" w14:textId="77777777" w:rsidR="00D21BEE" w:rsidRDefault="00000000">
      <w:pPr>
        <w:spacing w:before="30" w:after="30" w:line="360" w:lineRule="exact"/>
        <w:ind w:left="482" w:hanging="482"/>
        <w:rPr>
          <w:rFonts w:hint="eastAsia"/>
        </w:rPr>
      </w:pPr>
      <w:r>
        <w:rPr>
          <w:sz w:val="21"/>
        </w:rPr>
        <w:t>[45] CISA. Alert (AA21-042A): Compromise of U.S. Water Treatment Facility[R]. Washington DC: Cybersecurity and Infrastructure Security Agency, 2021.</w:t>
      </w:r>
    </w:p>
    <w:p w14:paraId="0AE7104D" w14:textId="77777777" w:rsidR="00D21BEE" w:rsidRDefault="00000000">
      <w:pPr>
        <w:spacing w:before="30" w:after="30" w:line="360" w:lineRule="exact"/>
        <w:ind w:left="482" w:hanging="482"/>
        <w:rPr>
          <w:rFonts w:hint="eastAsia"/>
        </w:rPr>
      </w:pPr>
      <w:r>
        <w:rPr>
          <w:sz w:val="21"/>
        </w:rPr>
        <w:t>[46] 国家标准化管理委员会. 信息安全技术 网络安全等级保护基本要求: GB/T 22239[S]. 北京, 2019.</w:t>
      </w:r>
    </w:p>
    <w:p w14:paraId="5D692127" w14:textId="77777777" w:rsidR="00D21BEE" w:rsidRDefault="00000000">
      <w:pPr>
        <w:spacing w:before="30" w:after="30" w:line="360" w:lineRule="exact"/>
        <w:ind w:left="482" w:hanging="482"/>
        <w:rPr>
          <w:rFonts w:hint="eastAsia"/>
        </w:rPr>
      </w:pPr>
      <w:r>
        <w:rPr>
          <w:sz w:val="21"/>
        </w:rPr>
        <w:t>[47] 雷晓辉, 蒋云钟, 王浩, 等. 南水北调中线工程智能调度关键技术与应用[J]. 水科学进展, 2022, 33(5): 705-718.</w:t>
      </w:r>
    </w:p>
    <w:p w14:paraId="2529C470" w14:textId="77777777" w:rsidR="00D21BEE" w:rsidRDefault="00000000">
      <w:pPr>
        <w:spacing w:before="30" w:after="30" w:line="360" w:lineRule="exact"/>
        <w:ind w:left="482" w:hanging="482"/>
        <w:rPr>
          <w:rFonts w:hint="eastAsia"/>
          <w:lang w:eastAsia="zh-CN"/>
        </w:rPr>
      </w:pPr>
      <w:r>
        <w:rPr>
          <w:sz w:val="21"/>
          <w:lang w:eastAsia="zh-CN"/>
        </w:rPr>
        <w:t>[48] 雷晓辉, 廖卫红, 穆祥鹏, 等. 南水北调中线工程冰期运行智能控制技术[J]. 水科学进展, 2023, 34(3): 456-468.</w:t>
      </w:r>
    </w:p>
    <w:p w14:paraId="4E61CC69" w14:textId="77777777" w:rsidR="00D21BEE" w:rsidRDefault="00000000">
      <w:pPr>
        <w:spacing w:before="30" w:after="30" w:line="360" w:lineRule="exact"/>
        <w:ind w:left="482" w:hanging="482"/>
        <w:rPr>
          <w:rFonts w:hint="eastAsia"/>
        </w:rPr>
      </w:pPr>
      <w:r>
        <w:rPr>
          <w:sz w:val="21"/>
        </w:rPr>
        <w:t>[49] Hicks F E. An overview of river ice problems: CRIPE07 guest editorial[J]. Cold Regions Science and Technology, 2009, 55(2): 175-185.</w:t>
      </w:r>
    </w:p>
    <w:p w14:paraId="18EBBC2D" w14:textId="77777777" w:rsidR="00D21BEE" w:rsidRDefault="00000000">
      <w:pPr>
        <w:spacing w:before="30" w:after="30" w:line="360" w:lineRule="exact"/>
        <w:ind w:left="482" w:hanging="482"/>
        <w:rPr>
          <w:rFonts w:hint="eastAsia"/>
        </w:rPr>
      </w:pPr>
      <w:r>
        <w:rPr>
          <w:sz w:val="21"/>
        </w:rPr>
        <w:t>[50] ISO. ISO 24591: Smart water management[S]. Geneva: International Organization for Standardization, 2022.</w:t>
      </w:r>
    </w:p>
    <w:p w14:paraId="269ED0A2" w14:textId="77777777" w:rsidR="00D21BEE" w:rsidRDefault="00000000">
      <w:pPr>
        <w:spacing w:before="30" w:after="30" w:line="360" w:lineRule="exact"/>
        <w:ind w:left="482" w:hanging="482"/>
        <w:rPr>
          <w:rFonts w:hint="eastAsia"/>
        </w:rPr>
      </w:pPr>
      <w:r>
        <w:rPr>
          <w:sz w:val="21"/>
        </w:rPr>
        <w:t>[51] IEC. Functional safety of electrical/electronic/programmable electronic safety-related systems: IEC 61508[S]. Geneva: International Electrotechnical Commission, 2010.</w:t>
      </w:r>
    </w:p>
    <w:sectPr w:rsidR="00D21BEE" w:rsidSect="00034616">
      <w:pgSz w:w="11906" w:h="16838"/>
      <w:pgMar w:top="1440" w:right="1304" w:bottom="1440" w:left="13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5F349" w14:textId="77777777" w:rsidR="006410BE" w:rsidRDefault="006410BE" w:rsidP="00D81442">
      <w:pPr>
        <w:spacing w:before="0" w:after="0" w:line="240" w:lineRule="auto"/>
        <w:rPr>
          <w:rFonts w:hint="eastAsia"/>
        </w:rPr>
      </w:pPr>
      <w:r>
        <w:separator/>
      </w:r>
    </w:p>
  </w:endnote>
  <w:endnote w:type="continuationSeparator" w:id="0">
    <w:p w14:paraId="7A68446A" w14:textId="77777777" w:rsidR="006410BE" w:rsidRDefault="006410BE" w:rsidP="00D81442">
      <w:pPr>
        <w:spacing w:before="0"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34ED2" w14:textId="77777777" w:rsidR="006410BE" w:rsidRDefault="006410BE" w:rsidP="00D81442">
      <w:pPr>
        <w:spacing w:before="0" w:after="0" w:line="240" w:lineRule="auto"/>
        <w:rPr>
          <w:rFonts w:hint="eastAsia"/>
        </w:rPr>
      </w:pPr>
      <w:r>
        <w:separator/>
      </w:r>
    </w:p>
  </w:footnote>
  <w:footnote w:type="continuationSeparator" w:id="0">
    <w:p w14:paraId="5C4CE77B" w14:textId="77777777" w:rsidR="006410BE" w:rsidRDefault="006410BE" w:rsidP="00D81442">
      <w:pPr>
        <w:spacing w:before="0"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40486661">
    <w:abstractNumId w:val="8"/>
  </w:num>
  <w:num w:numId="2" w16cid:durableId="480196436">
    <w:abstractNumId w:val="6"/>
  </w:num>
  <w:num w:numId="3" w16cid:durableId="1624068960">
    <w:abstractNumId w:val="5"/>
  </w:num>
  <w:num w:numId="4" w16cid:durableId="458912720">
    <w:abstractNumId w:val="4"/>
  </w:num>
  <w:num w:numId="5" w16cid:durableId="840002757">
    <w:abstractNumId w:val="7"/>
  </w:num>
  <w:num w:numId="6" w16cid:durableId="448936237">
    <w:abstractNumId w:val="3"/>
  </w:num>
  <w:num w:numId="7" w16cid:durableId="1004550745">
    <w:abstractNumId w:val="2"/>
  </w:num>
  <w:num w:numId="8" w16cid:durableId="168524365">
    <w:abstractNumId w:val="1"/>
  </w:num>
  <w:num w:numId="9" w16cid:durableId="1865362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1CF"/>
    <w:rsid w:val="000E377F"/>
    <w:rsid w:val="000E4738"/>
    <w:rsid w:val="00120685"/>
    <w:rsid w:val="0015074B"/>
    <w:rsid w:val="001649E0"/>
    <w:rsid w:val="002219DC"/>
    <w:rsid w:val="00244A18"/>
    <w:rsid w:val="0029639D"/>
    <w:rsid w:val="00297D94"/>
    <w:rsid w:val="002B0944"/>
    <w:rsid w:val="00326F90"/>
    <w:rsid w:val="0037381D"/>
    <w:rsid w:val="003F3483"/>
    <w:rsid w:val="004027D5"/>
    <w:rsid w:val="00416C03"/>
    <w:rsid w:val="0045258E"/>
    <w:rsid w:val="00467A22"/>
    <w:rsid w:val="0048082E"/>
    <w:rsid w:val="004C4362"/>
    <w:rsid w:val="0051230B"/>
    <w:rsid w:val="00590F5A"/>
    <w:rsid w:val="005B351B"/>
    <w:rsid w:val="005D149B"/>
    <w:rsid w:val="005E3104"/>
    <w:rsid w:val="006410BE"/>
    <w:rsid w:val="00647513"/>
    <w:rsid w:val="00651183"/>
    <w:rsid w:val="00670BA9"/>
    <w:rsid w:val="006E001E"/>
    <w:rsid w:val="006F69C1"/>
    <w:rsid w:val="007352B5"/>
    <w:rsid w:val="007C1688"/>
    <w:rsid w:val="00833C19"/>
    <w:rsid w:val="008603F3"/>
    <w:rsid w:val="00A03A19"/>
    <w:rsid w:val="00AA1D8D"/>
    <w:rsid w:val="00B03C0A"/>
    <w:rsid w:val="00B1709D"/>
    <w:rsid w:val="00B43B79"/>
    <w:rsid w:val="00B47730"/>
    <w:rsid w:val="00B94227"/>
    <w:rsid w:val="00BA77C8"/>
    <w:rsid w:val="00C74239"/>
    <w:rsid w:val="00C97CA0"/>
    <w:rsid w:val="00CB0664"/>
    <w:rsid w:val="00D13E6F"/>
    <w:rsid w:val="00D14495"/>
    <w:rsid w:val="00D21BEE"/>
    <w:rsid w:val="00D81442"/>
    <w:rsid w:val="00E72183"/>
    <w:rsid w:val="00EE563B"/>
    <w:rsid w:val="00F01F82"/>
    <w:rsid w:val="00F65D96"/>
    <w:rsid w:val="00FB12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E38D10"/>
  <w14:defaultImageDpi w14:val="300"/>
  <w15:docId w15:val="{73FE4D9C-49C3-49BB-A91B-5B86315AF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before="60" w:after="60" w:line="400" w:lineRule="exact"/>
    </w:pPr>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17</Pages>
  <Words>2877</Words>
  <Characters>16401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Lei Xiaohui</cp:lastModifiedBy>
  <cp:revision>50</cp:revision>
  <dcterms:created xsi:type="dcterms:W3CDTF">2013-12-23T23:15:00Z</dcterms:created>
  <dcterms:modified xsi:type="dcterms:W3CDTF">2026-02-06T09:08:00Z</dcterms:modified>
  <cp:category/>
</cp:coreProperties>
</file>