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right"/>
      </w:pPr>
      <w:r>
        <w:rPr>
          <w:rFonts w:ascii="Arial" w:hAnsi="Arial"/>
          <w:b/>
          <w:sz w:val="40"/>
        </w:rPr>
        <w:t>ISO/CD XXXXX</w:t>
      </w:r>
    </w:p>
    <w:p/>
    <w:p>
      <w:pPr>
        <w:jc w:val="right"/>
      </w:pPr>
      <w:r>
        <w:rPr>
          <w:rFonts w:ascii="Arial" w:hAnsi="Arial"/>
          <w:sz w:val="22"/>
        </w:rPr>
        <w:t>Date: 202X-XX-XX</w:t>
      </w:r>
    </w:p>
    <w:p>
      <w:pPr>
        <w:jc w:val="right"/>
      </w:pPr>
      <w:r>
        <w:rPr>
          <w:rFonts w:ascii="Arial" w:hAnsi="Arial"/>
          <w:sz w:val="22"/>
        </w:rPr>
        <w:t>ISO/TC XXX/WG XX</w:t>
      </w:r>
    </w:p>
    <w:p/>
    <w:p>
      <w:pPr>
        <w:jc w:val="right"/>
      </w:pPr>
      <w:r>
        <w:rPr>
          <w:rFonts w:ascii="Arial" w:hAnsi="Arial"/>
          <w:sz w:val="22"/>
        </w:rPr>
        <w:t>Secretariat: XXX</w:t>
      </w:r>
    </w:p>
    <w:p/>
    <w:p/>
    <w:p/>
    <w:p>
      <w:pPr>
        <w:jc w:val="left"/>
      </w:pPr>
      <w:r>
        <w:rPr>
          <w:rFonts w:ascii="Arial" w:hAnsi="Arial"/>
          <w:b/>
          <w:sz w:val="36"/>
        </w:rPr>
        <w:t>Intelligent regulation and control systems for water networks — Technical requirements</w:t>
      </w:r>
    </w:p>
    <w:p/>
    <w:p>
      <w:pPr>
        <w:jc w:val="left"/>
      </w:pPr>
      <w:r>
        <w:rPr>
          <w:rFonts w:ascii="Arial" w:hAnsi="Arial"/>
          <w:i/>
          <w:sz w:val="26"/>
        </w:rPr>
        <w:t>Systèmes de régulation et de contrôle intelligents des réseaux d’eau — Exigences techniques</w:t>
      </w:r>
    </w:p>
    <w:p/>
    <w:p/>
    <w:p/>
    <w:p/>
    <w:p>
      <w:r>
        <w:rPr>
          <w:rFonts w:ascii="Times New Roman" w:hAnsi="Times New Roman"/>
          <w:b w:val="0"/>
          <w:i/>
          <w:sz w:val="20"/>
        </w:rPr>
        <w:t>Warning for WDs and CDs: This document is not an ISO International Standard. It is distributed for review and comment. It is subject to change without notice and may not be referred to as an International Standard.</w:t>
      </w:r>
    </w:p>
    <w:p>
      <w:r>
        <w:br w:type="page"/>
      </w:r>
    </w:p>
    <w:p>
      <w:pPr>
        <w:pStyle w:val="Heading1"/>
      </w:pPr>
      <w:r>
        <w:t>Contents</w:t>
      </w:r>
    </w:p>
    <w:p>
      <w:r>
        <w:rPr>
          <w:rFonts w:ascii="Times New Roman" w:hAnsi="Times New Roman"/>
          <w:sz w:val="22"/>
        </w:rPr>
        <w:t>Foreword</w:t>
      </w:r>
    </w:p>
    <w:p>
      <w:r>
        <w:rPr>
          <w:rFonts w:ascii="Times New Roman" w:hAnsi="Times New Roman"/>
          <w:sz w:val="22"/>
        </w:rPr>
        <w:t>Introduction</w:t>
      </w:r>
    </w:p>
    <w:p>
      <w:r>
        <w:rPr>
          <w:rFonts w:ascii="Times New Roman" w:hAnsi="Times New Roman"/>
          <w:sz w:val="22"/>
        </w:rPr>
        <w:t>1   Scope</w:t>
      </w:r>
    </w:p>
    <w:p>
      <w:r>
        <w:rPr>
          <w:rFonts w:ascii="Times New Roman" w:hAnsi="Times New Roman"/>
          <w:sz w:val="22"/>
        </w:rPr>
        <w:t>2   Normative references</w:t>
      </w:r>
    </w:p>
    <w:p>
      <w:r>
        <w:rPr>
          <w:rFonts w:ascii="Times New Roman" w:hAnsi="Times New Roman"/>
          <w:sz w:val="22"/>
        </w:rPr>
        <w:t>3   Terms and definitions</w:t>
      </w:r>
    </w:p>
    <w:p>
      <w:r>
        <w:rPr>
          <w:rFonts w:ascii="Times New Roman" w:hAnsi="Times New Roman"/>
          <w:sz w:val="22"/>
        </w:rPr>
        <w:t>4   Abbreviated terms</w:t>
      </w:r>
    </w:p>
    <w:p>
      <w:r>
        <w:rPr>
          <w:rFonts w:ascii="Times New Roman" w:hAnsi="Times New Roman"/>
          <w:sz w:val="22"/>
        </w:rPr>
        <w:t>5   General requirements</w:t>
      </w:r>
    </w:p>
    <w:p>
      <w:r>
        <w:rPr>
          <w:rFonts w:ascii="Times New Roman" w:hAnsi="Times New Roman"/>
          <w:sz w:val="22"/>
        </w:rPr>
        <w:t>6   Autonomy levels for water network operations</w:t>
      </w:r>
    </w:p>
    <w:p>
      <w:r>
        <w:rPr>
          <w:rFonts w:ascii="Times New Roman" w:hAnsi="Times New Roman"/>
          <w:sz w:val="22"/>
        </w:rPr>
        <w:t>7   Operational design domain (ODD)</w:t>
      </w:r>
    </w:p>
    <w:p>
      <w:r>
        <w:rPr>
          <w:rFonts w:ascii="Times New Roman" w:hAnsi="Times New Roman"/>
          <w:sz w:val="22"/>
        </w:rPr>
        <w:t>8   Multi-network coordinated security</w:t>
      </w:r>
    </w:p>
    <w:p>
      <w:r>
        <w:rPr>
          <w:rFonts w:ascii="Times New Roman" w:hAnsi="Times New Roman"/>
          <w:sz w:val="22"/>
        </w:rPr>
        <w:t>9   Water network common information model (Water-CIM)</w:t>
      </w:r>
    </w:p>
    <w:p>
      <w:r>
        <w:rPr>
          <w:rFonts w:ascii="Times New Roman" w:hAnsi="Times New Roman"/>
          <w:sz w:val="22"/>
        </w:rPr>
        <w:t>10  Interoperability protocol stack</w:t>
      </w:r>
    </w:p>
    <w:p>
      <w:r>
        <w:rPr>
          <w:rFonts w:ascii="Times New Roman" w:hAnsi="Times New Roman"/>
          <w:sz w:val="22"/>
        </w:rPr>
        <w:t>11  Scenario-based testing and verification</w:t>
      </w:r>
    </w:p>
    <w:p>
      <w:r>
        <w:rPr>
          <w:rFonts w:ascii="Times New Roman" w:hAnsi="Times New Roman"/>
          <w:sz w:val="22"/>
        </w:rPr>
        <w:t>12  Engineering acceptance</w:t>
      </w:r>
    </w:p>
    <w:p>
      <w:r>
        <w:rPr>
          <w:rFonts w:ascii="Times New Roman" w:hAnsi="Times New Roman"/>
          <w:sz w:val="22"/>
        </w:rPr>
        <w:t>13  Version management and continuous compliance</w:t>
      </w:r>
    </w:p>
    <w:p>
      <w:r>
        <w:rPr>
          <w:rFonts w:ascii="Times New Roman" w:hAnsi="Times New Roman"/>
          <w:sz w:val="22"/>
        </w:rPr>
        <w:t>Annex A (informative) Comparison with SAE J3016 driving automation levels</w:t>
      </w:r>
    </w:p>
    <w:p>
      <w:r>
        <w:rPr>
          <w:rFonts w:ascii="Times New Roman" w:hAnsi="Times New Roman"/>
          <w:sz w:val="22"/>
        </w:rPr>
        <w:t>Annex B (informative) Protocol selection decision matrix</w:t>
      </w:r>
    </w:p>
    <w:p>
      <w:r>
        <w:rPr>
          <w:rFonts w:ascii="Times New Roman" w:hAnsi="Times New Roman"/>
          <w:sz w:val="22"/>
        </w:rPr>
        <w:t>Bibliography</w:t>
      </w:r>
    </w:p>
    <w:p>
      <w:r>
        <w:br w:type="page"/>
      </w:r>
    </w:p>
    <w:p>
      <w:pPr>
        <w:pStyle w:val="Heading1"/>
      </w:pPr>
      <w:r>
        <w:t>Foreword</w:t>
      </w:r>
    </w:p>
    <w:p>
      <w:r>
        <w:rPr>
          <w:rFonts w:ascii="Times New Roman" w:hAnsi="Times New Roman"/>
          <w:b w:val="0"/>
          <w:i w:val="0"/>
          <w:sz w:val="22"/>
        </w:rPr>
        <w:t>ISO (the International Organization for Standardization) is a worldwide federation of national standards bodies (ISO member bodies). The work of preparing International Standards is normally carried out through ISO technical committees.</w:t>
      </w:r>
    </w:p>
    <w:p>
      <w:r>
        <w:rPr>
          <w:rFonts w:ascii="Times New Roman" w:hAnsi="Times New Roman"/>
          <w:b w:val="0"/>
          <w:i w:val="0"/>
          <w:sz w:val="22"/>
        </w:rPr>
        <w:t>ISO/CD XXXXX was prepared by Technical Committee ISO/TC XXX, XXXX, Subcommittee SC XX, XXXX.</w:t>
      </w:r>
    </w:p>
    <w:p>
      <w:r>
        <w:rPr>
          <w:rFonts w:ascii="Times New Roman" w:hAnsi="Times New Roman"/>
          <w:b w:val="0"/>
          <w:i w:val="0"/>
          <w:sz w:val="22"/>
        </w:rPr>
        <w:t>This document addresses the growing need for standardized technical requirements for intelligent regulation and control systems applied to water networks, including inter-basin water transfer projects, cascade reservoir systems, urban water supply networks, and irrigation canal systems.</w:t>
      </w:r>
    </w:p>
    <w:p>
      <w:r>
        <w:rPr>
          <w:rFonts w:ascii="Times New Roman" w:hAnsi="Times New Roman"/>
          <w:b w:val="0"/>
          <w:i w:val="0"/>
          <w:sz w:val="22"/>
        </w:rPr>
        <w:t>This document draws upon established international standards from the automotive sector (SAE J3016, ISO 26262, ISO 21448), industrial automation (IEC 62443, IEC 62541), and water management (ISO 24591), adapting their proven frameworks to the unique characteristics of water network infrastructure.</w:t>
      </w:r>
    </w:p>
    <w:p>
      <w:r>
        <w:rPr>
          <w:rFonts w:ascii="Times New Roman" w:hAnsi="Times New Roman"/>
          <w:b w:val="0"/>
          <w:i w:val="0"/>
          <w:sz w:val="22"/>
        </w:rPr>
        <w:t>Any feedback or questions on this document should be directed to the user’s national standards body.</w:t>
      </w:r>
    </w:p>
    <w:p>
      <w:r>
        <w:br w:type="page"/>
      </w:r>
    </w:p>
    <w:p>
      <w:pPr>
        <w:pStyle w:val="Heading1"/>
      </w:pPr>
      <w:r>
        <w:t>Introduction</w:t>
      </w:r>
    </w:p>
    <w:p>
      <w:r>
        <w:rPr>
          <w:rFonts w:ascii="Times New Roman" w:hAnsi="Times New Roman"/>
          <w:b w:val="0"/>
          <w:i w:val="0"/>
          <w:sz w:val="22"/>
        </w:rPr>
        <w:t>The accelerating construction of national and transnational water networks worldwide demands a transition from traditional manual dispatch to intelligent, autonomous operation. However, the water sector currently faces several critical challenges:</w:t>
      </w:r>
    </w:p>
    <w:p>
      <w:pPr>
        <w:pStyle w:val="ListBullet"/>
      </w:pPr>
      <w:r>
        <w:rPr>
          <w:rFonts w:ascii="Times New Roman" w:hAnsi="Times New Roman"/>
          <w:sz w:val="22"/>
        </w:rPr>
        <w:t>Design-operation disconnect: Requirements expressed in natural language documents are manually translated into control code, leading to widespread “works in simulation, fails in deployment” phenomena.</w:t>
      </w:r>
    </w:p>
    <w:p>
      <w:pPr>
        <w:pStyle w:val="ListBullet"/>
      </w:pPr>
      <w:r>
        <w:rPr>
          <w:rFonts w:ascii="Times New Roman" w:hAnsi="Times New Roman"/>
          <w:sz w:val="22"/>
        </w:rPr>
        <w:t>Floating intelligence: Advanced algorithms remain disconnected from existing SCADA infrastructure, unable to integrate effectively with field PLCs and RTUs.</w:t>
      </w:r>
    </w:p>
    <w:p>
      <w:pPr>
        <w:pStyle w:val="ListBullet"/>
      </w:pPr>
      <w:r>
        <w:rPr>
          <w:rFonts w:ascii="Times New Roman" w:hAnsi="Times New Roman"/>
          <w:sz w:val="22"/>
        </w:rPr>
        <w:t>Model silos: Heterogeneous models (hydrological, hydraulic, control) lack standardized interfaces for runtime coupling.</w:t>
      </w:r>
    </w:p>
    <w:p>
      <w:pPr>
        <w:pStyle w:val="ListBullet"/>
      </w:pPr>
      <w:r>
        <w:rPr>
          <w:rFonts w:ascii="Times New Roman" w:hAnsi="Times New Roman"/>
          <w:sz w:val="22"/>
        </w:rPr>
        <w:t>OT/IT security conflicts: Physical isolation between operational technology (OT) control networks and information technology (IT) enterprise networks prevents distributed agents from coordinated operation.</w:t>
      </w:r>
    </w:p>
    <w:p>
      <w:pPr>
        <w:pStyle w:val="ListBullet"/>
      </w:pPr>
      <w:r>
        <w:rPr>
          <w:rFonts w:ascii="Times New Roman" w:hAnsi="Times New Roman"/>
          <w:sz w:val="22"/>
        </w:rPr>
        <w:t>No acceptance criteria: Engineering acceptance of intelligent control systems lacks quantitative admission conditions.</w:t>
      </w:r>
    </w:p>
    <w:p>
      <w:pPr>
        <w:pStyle w:val="ListBullet"/>
      </w:pPr>
      <w:r>
        <w:rPr>
          <w:rFonts w:ascii="Times New Roman" w:hAnsi="Times New Roman"/>
          <w:sz w:val="22"/>
        </w:rPr>
        <w:t>No autonomy classification: The water sector has not established an autonomy level framework analogous to SAE J3016 in the automotive industry.</w:t>
      </w:r>
    </w:p>
    <w:p>
      <w:r>
        <w:rPr>
          <w:rFonts w:ascii="Times New Roman" w:hAnsi="Times New Roman"/>
          <w:b w:val="0"/>
          <w:i w:val="0"/>
          <w:sz w:val="22"/>
        </w:rPr>
        <w:t>This document establishes a comprehensive technical framework addressing these gaps. It introduces model-based design (MBD) as the core engineering paradigm, defines a six-level autonomy classification (L0–L5) for water network operations, specifies the integration architecture between legacy SCADA systems and multi-agent systems (MAS), and provides quantitative engineering acceptance criteria.</w:t>
      </w:r>
    </w:p>
    <w:p>
      <w:r>
        <w:rPr>
          <w:rFonts w:ascii="Times New Roman" w:hAnsi="Times New Roman"/>
          <w:b w:val="0"/>
          <w:i w:val="0"/>
          <w:sz w:val="22"/>
        </w:rPr>
        <w:t>The document is structured around the concept that MAS serves as a “distributed software-defined supervisory layer” deployed across edge gateways and cloud containers, operating in coordination with existing SCADA infrastructure rather than replacing it. This “SCADA (body) + MAS (brain)” dual-layer architecture respects the installed base of industrial control assets while enabling progressive advancement toward autonomous operations.</w:t>
      </w:r>
    </w:p>
    <w:p>
      <w:r>
        <w:br w:type="page"/>
      </w:r>
    </w:p>
    <w:p>
      <w:pPr>
        <w:pStyle w:val="Heading1"/>
      </w:pPr>
      <w:r>
        <w:t>1   Scope</w:t>
      </w:r>
    </w:p>
    <w:p>
      <w:r>
        <w:rPr>
          <w:rFonts w:ascii="Times New Roman" w:hAnsi="Times New Roman"/>
          <w:b w:val="0"/>
          <w:i w:val="0"/>
          <w:sz w:val="22"/>
        </w:rPr>
        <w:t>This document specifies technical requirements for intelligent regulation and control systems for water networks, including requirements for:</w:t>
      </w:r>
    </w:p>
    <w:p>
      <w:pPr>
        <w:pStyle w:val="ListBullet"/>
      </w:pPr>
      <w:r>
        <w:rPr>
          <w:rFonts w:ascii="Times New Roman" w:hAnsi="Times New Roman"/>
          <w:sz w:val="22"/>
        </w:rPr>
        <w:t>terms and definitions;</w:t>
      </w:r>
    </w:p>
    <w:p>
      <w:pPr>
        <w:pStyle w:val="ListBullet"/>
      </w:pPr>
      <w:r>
        <w:rPr>
          <w:rFonts w:ascii="Times New Roman" w:hAnsi="Times New Roman"/>
          <w:sz w:val="22"/>
        </w:rPr>
        <w:t>autonomy levels for water network operations;</w:t>
      </w:r>
    </w:p>
    <w:p>
      <w:pPr>
        <w:pStyle w:val="ListBullet"/>
      </w:pPr>
      <w:r>
        <w:rPr>
          <w:rFonts w:ascii="Times New Roman" w:hAnsi="Times New Roman"/>
          <w:sz w:val="22"/>
        </w:rPr>
        <w:t>operational design domain (ODD);</w:t>
      </w:r>
    </w:p>
    <w:p>
      <w:pPr>
        <w:pStyle w:val="ListBullet"/>
      </w:pPr>
      <w:r>
        <w:rPr>
          <w:rFonts w:ascii="Times New Roman" w:hAnsi="Times New Roman"/>
          <w:sz w:val="22"/>
        </w:rPr>
        <w:t>model-based design (MBD) paradigm;</w:t>
      </w:r>
    </w:p>
    <w:p>
      <w:pPr>
        <w:pStyle w:val="ListBullet"/>
      </w:pPr>
      <w:r>
        <w:rPr>
          <w:rFonts w:ascii="Times New Roman" w:hAnsi="Times New Roman"/>
          <w:sz w:val="22"/>
        </w:rPr>
        <w:t>SCADA and multi-agent system (MAS) integration architecture;</w:t>
      </w:r>
    </w:p>
    <w:p>
      <w:pPr>
        <w:pStyle w:val="ListBullet"/>
      </w:pPr>
      <w:r>
        <w:rPr>
          <w:rFonts w:ascii="Times New Roman" w:hAnsi="Times New Roman"/>
          <w:sz w:val="22"/>
        </w:rPr>
        <w:t>multi-network coordinated security between OT and IT domains;</w:t>
      </w:r>
    </w:p>
    <w:p>
      <w:pPr>
        <w:pStyle w:val="ListBullet"/>
      </w:pPr>
      <w:r>
        <w:rPr>
          <w:rFonts w:ascii="Times New Roman" w:hAnsi="Times New Roman"/>
          <w:sz w:val="22"/>
        </w:rPr>
        <w:t>water network common information model (Water-CIM);</w:t>
      </w:r>
    </w:p>
    <w:p>
      <w:pPr>
        <w:pStyle w:val="ListBullet"/>
      </w:pPr>
      <w:r>
        <w:rPr>
          <w:rFonts w:ascii="Times New Roman" w:hAnsi="Times New Roman"/>
          <w:sz w:val="22"/>
        </w:rPr>
        <w:t>interoperability protocol stack (distinguishing computation interfaces from communication buses);</w:t>
      </w:r>
    </w:p>
    <w:p>
      <w:pPr>
        <w:pStyle w:val="ListBullet"/>
      </w:pPr>
      <w:r>
        <w:rPr>
          <w:rFonts w:ascii="Times New Roman" w:hAnsi="Times New Roman"/>
          <w:sz w:val="22"/>
        </w:rPr>
        <w:t>scenario-based testing and verification;</w:t>
      </w:r>
    </w:p>
    <w:p>
      <w:pPr>
        <w:pStyle w:val="ListBullet"/>
      </w:pPr>
      <w:r>
        <w:rPr>
          <w:rFonts w:ascii="Times New Roman" w:hAnsi="Times New Roman"/>
          <w:sz w:val="22"/>
        </w:rPr>
        <w:t>engineering acceptance;</w:t>
      </w:r>
    </w:p>
    <w:p>
      <w:pPr>
        <w:pStyle w:val="ListBullet"/>
      </w:pPr>
      <w:r>
        <w:rPr>
          <w:rFonts w:ascii="Times New Roman" w:hAnsi="Times New Roman"/>
          <w:sz w:val="22"/>
        </w:rPr>
        <w:t>version management and continuous compliance.</w:t>
      </w:r>
    </w:p>
    <w:p>
      <w:r>
        <w:rPr>
          <w:rFonts w:ascii="Times New Roman" w:hAnsi="Times New Roman"/>
          <w:b w:val="0"/>
          <w:i w:val="0"/>
          <w:sz w:val="22"/>
        </w:rPr>
        <w:t>This document is applicable to the design, development, testing, acceptance, and operation of intelligent regulation and control systems for the following water network types:</w:t>
      </w:r>
    </w:p>
    <w:p>
      <w:pPr>
        <w:pStyle w:val="ListBullet"/>
      </w:pPr>
      <w:r>
        <w:rPr>
          <w:rFonts w:ascii="Times New Roman" w:hAnsi="Times New Roman"/>
          <w:sz w:val="22"/>
        </w:rPr>
        <w:t>national water networks and their sub-networks;</w:t>
      </w:r>
    </w:p>
    <w:p>
      <w:pPr>
        <w:pStyle w:val="ListBullet"/>
      </w:pPr>
      <w:r>
        <w:rPr>
          <w:rFonts w:ascii="Times New Roman" w:hAnsi="Times New Roman"/>
          <w:sz w:val="22"/>
        </w:rPr>
        <w:t>inter-basin water transfer projects;</w:t>
      </w:r>
    </w:p>
    <w:p>
      <w:pPr>
        <w:pStyle w:val="ListBullet"/>
      </w:pPr>
      <w:r>
        <w:rPr>
          <w:rFonts w:ascii="Times New Roman" w:hAnsi="Times New Roman"/>
          <w:sz w:val="22"/>
        </w:rPr>
        <w:t>cascade reservoir group joint dispatch systems;</w:t>
      </w:r>
    </w:p>
    <w:p>
      <w:pPr>
        <w:pStyle w:val="ListBullet"/>
      </w:pPr>
      <w:r>
        <w:rPr>
          <w:rFonts w:ascii="Times New Roman" w:hAnsi="Times New Roman"/>
          <w:sz w:val="22"/>
        </w:rPr>
        <w:t>urban water supply network control systems;</w:t>
      </w:r>
    </w:p>
    <w:p>
      <w:pPr>
        <w:pStyle w:val="ListBullet"/>
      </w:pPr>
      <w:r>
        <w:rPr>
          <w:rFonts w:ascii="Times New Roman" w:hAnsi="Times New Roman"/>
          <w:sz w:val="22"/>
        </w:rPr>
        <w:t>irrigation district canal distribution systems.</w:t>
      </w:r>
    </w:p>
    <w:p>
      <w:r>
        <w:rPr>
          <w:rFonts w:ascii="Times New Roman" w:hAnsi="Times New Roman"/>
          <w:b w:val="0"/>
          <w:i w:val="0"/>
          <w:sz w:val="22"/>
        </w:rPr>
        <w:t>This document does not apply to local automation of individual gate stations or pump stations at the PLC level. However, when such local control systems serve as the execution layer of a water network control system, their interfaces shall conform to the relevant provisions of this document.</w:t>
      </w:r>
    </w:p>
    <w:p>
      <w:pPr>
        <w:pStyle w:val="Heading1"/>
      </w:pPr>
      <w:r>
        <w:t>2   Normative references</w:t>
      </w:r>
    </w:p>
    <w:p>
      <w:r>
        <w:rPr>
          <w:rFonts w:ascii="Times New Roman" w:hAnsi="Times New Roman"/>
          <w:b w:val="0"/>
          <w:i w:val="0"/>
          <w:sz w:val="22"/>
        </w:rP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pPr>
        <w:pStyle w:val="ListBullet"/>
      </w:pPr>
      <w:r>
        <w:rPr>
          <w:rFonts w:ascii="Times New Roman" w:hAnsi="Times New Roman"/>
          <w:sz w:val="22"/>
        </w:rPr>
        <w:t>IEC 61131-3, Programmable controllers — Part 3: Programming languages</w:t>
      </w:r>
    </w:p>
    <w:p>
      <w:pPr>
        <w:pStyle w:val="ListBullet"/>
      </w:pPr>
      <w:r>
        <w:rPr>
          <w:rFonts w:ascii="Times New Roman" w:hAnsi="Times New Roman"/>
          <w:sz w:val="22"/>
        </w:rPr>
        <w:t>IEC 61970 (all parts), Energy management system application program interface (EMS-API) — Common information model (CIM)</w:t>
      </w:r>
    </w:p>
    <w:p>
      <w:pPr>
        <w:pStyle w:val="ListBullet"/>
      </w:pPr>
      <w:r>
        <w:rPr>
          <w:rFonts w:ascii="Times New Roman" w:hAnsi="Times New Roman"/>
          <w:sz w:val="22"/>
        </w:rPr>
        <w:t>IEC 62443 (all parts), Security for industrial automation and control systems</w:t>
      </w:r>
    </w:p>
    <w:p>
      <w:pPr>
        <w:pStyle w:val="ListBullet"/>
      </w:pPr>
      <w:r>
        <w:rPr>
          <w:rFonts w:ascii="Times New Roman" w:hAnsi="Times New Roman"/>
          <w:sz w:val="22"/>
        </w:rPr>
        <w:t>IEC 62541 (all parts), OPC Unified Architecture</w:t>
      </w:r>
    </w:p>
    <w:p>
      <w:pPr>
        <w:pStyle w:val="ListBullet"/>
      </w:pPr>
      <w:r>
        <w:rPr>
          <w:rFonts w:ascii="Times New Roman" w:hAnsi="Times New Roman"/>
          <w:sz w:val="22"/>
        </w:rPr>
        <w:t>ISO 24591 (all parts), Smart water management</w:t>
      </w:r>
    </w:p>
    <w:p>
      <w:pPr>
        <w:pStyle w:val="ListBullet"/>
      </w:pPr>
      <w:r>
        <w:rPr>
          <w:rFonts w:ascii="Times New Roman" w:hAnsi="Times New Roman"/>
          <w:sz w:val="22"/>
        </w:rPr>
        <w:t>ISO 26262 (all parts), Road vehicles — Functional safety</w:t>
      </w:r>
    </w:p>
    <w:p>
      <w:pPr>
        <w:pStyle w:val="ListBullet"/>
      </w:pPr>
      <w:r>
        <w:rPr>
          <w:rFonts w:ascii="Times New Roman" w:hAnsi="Times New Roman"/>
          <w:sz w:val="22"/>
        </w:rPr>
        <w:t>ISO 21448, Road vehicles — Safety of the intended functionality (SOTIF)</w:t>
      </w:r>
    </w:p>
    <w:p>
      <w:pPr>
        <w:pStyle w:val="ListBullet"/>
      </w:pPr>
      <w:r>
        <w:rPr>
          <w:rFonts w:ascii="Times New Roman" w:hAnsi="Times New Roman"/>
          <w:sz w:val="22"/>
        </w:rPr>
        <w:t>SAE J3016, Taxonomy and definitions for terms related to driving automation systems for on-road motor vehicles</w:t>
      </w:r>
    </w:p>
    <w:p>
      <w:pPr>
        <w:pStyle w:val="ListBullet"/>
      </w:pPr>
      <w:r>
        <w:rPr>
          <w:rFonts w:ascii="Times New Roman" w:hAnsi="Times New Roman"/>
          <w:sz w:val="22"/>
        </w:rPr>
        <w:t>OMG Data Distribution Service (DDS), Version 1.4</w:t>
      </w:r>
    </w:p>
    <w:p>
      <w:pPr>
        <w:pStyle w:val="ListBullet"/>
      </w:pPr>
      <w:r>
        <w:rPr>
          <w:rFonts w:ascii="Times New Roman" w:hAnsi="Times New Roman"/>
          <w:sz w:val="22"/>
        </w:rPr>
        <w:t>OGC 14-068, OpenMI 2.0 — Open Modelling Interface Standard</w:t>
      </w:r>
    </w:p>
    <w:p>
      <w:pPr>
        <w:pStyle w:val="ListBullet"/>
      </w:pPr>
      <w:r>
        <w:rPr>
          <w:rFonts w:ascii="Times New Roman" w:hAnsi="Times New Roman"/>
          <w:sz w:val="22"/>
        </w:rPr>
        <w:t>OGC WaterML 2.0 — Part 1: Timeseries, and Part 2: Ratings, Gaugings and Sections</w:t>
      </w:r>
    </w:p>
    <w:p>
      <w:pPr>
        <w:pStyle w:val="ListBullet"/>
      </w:pPr>
      <w:r>
        <w:rPr>
          <w:rFonts w:ascii="Times New Roman" w:hAnsi="Times New Roman"/>
          <w:sz w:val="22"/>
        </w:rPr>
        <w:t>FMI 3.0, Functional Mock-up Interface Standard</w:t>
      </w:r>
    </w:p>
    <w:p>
      <w:pPr>
        <w:pStyle w:val="Heading1"/>
      </w:pPr>
      <w:r>
        <w:t>3   Terms and definitions</w:t>
      </w:r>
    </w:p>
    <w:p>
      <w:r>
        <w:rPr>
          <w:rFonts w:ascii="Times New Roman" w:hAnsi="Times New Roman"/>
          <w:b w:val="0"/>
          <w:i w:val="0"/>
          <w:sz w:val="22"/>
        </w:rPr>
        <w:t>For the purposes of this document, the following terms and definitions apply.</w:t>
      </w:r>
    </w:p>
    <w:p>
      <w:r>
        <w:rPr>
          <w:rFonts w:ascii="Times New Roman" w:hAnsi="Times New Roman"/>
          <w:b w:val="0"/>
          <w:i w:val="0"/>
          <w:sz w:val="22"/>
        </w:rPr>
        <w:t>ISO and IEC maintain terminology databases for use in standardization at the following addresses:</w:t>
      </w:r>
    </w:p>
    <w:p>
      <w:pPr>
        <w:pStyle w:val="ListBullet"/>
      </w:pPr>
      <w:r>
        <w:rPr>
          <w:rFonts w:ascii="Times New Roman" w:hAnsi="Times New Roman"/>
          <w:sz w:val="22"/>
        </w:rPr>
        <w:t>ISO Online browsing platform: available at https://www.iso.org/obp</w:t>
      </w:r>
    </w:p>
    <w:p>
      <w:pPr>
        <w:pStyle w:val="ListBullet"/>
      </w:pPr>
      <w:r>
        <w:rPr>
          <w:rFonts w:ascii="Times New Roman" w:hAnsi="Times New Roman"/>
          <w:sz w:val="22"/>
        </w:rPr>
        <w:t>IEC Electropedia: available at https://www.electropedia.org/</w:t>
      </w:r>
    </w:p>
    <w:p>
      <w:pPr>
        <w:pStyle w:val="Heading2"/>
      </w:pPr>
      <w:r>
        <w:t>3.1</w:t>
      </w:r>
    </w:p>
    <w:p>
      <w:r>
        <w:rPr>
          <w:rFonts w:ascii="Times New Roman" w:hAnsi="Times New Roman"/>
          <w:b/>
          <w:sz w:val="22"/>
        </w:rPr>
        <w:t>water network</w:t>
      </w:r>
    </w:p>
    <w:p>
      <w:r>
        <w:rPr>
          <w:rFonts w:ascii="Times New Roman" w:hAnsi="Times New Roman"/>
          <w:b w:val="0"/>
          <w:i w:val="0"/>
          <w:sz w:val="22"/>
        </w:rPr>
        <w:t>ensemble of water sources, conveyance infrastructure, reservoirs, gate stations, pump stations, pipelines, and their interconnection relationships, together with the corresponding information network</w:t>
      </w:r>
    </w:p>
    <w:p>
      <w:pPr>
        <w:pStyle w:val="Heading2"/>
      </w:pPr>
      <w:r>
        <w:t>3.2</w:t>
      </w:r>
    </w:p>
    <w:p>
      <w:r>
        <w:rPr>
          <w:rFonts w:ascii="Times New Roman" w:hAnsi="Times New Roman"/>
          <w:b/>
          <w:sz w:val="22"/>
        </w:rPr>
        <w:t>intelligent regulation and control</w:t>
      </w:r>
    </w:p>
    <w:p>
      <w:r>
        <w:rPr>
          <w:rFonts w:ascii="Times New Roman" w:hAnsi="Times New Roman"/>
          <w:b w:val="0"/>
          <w:i w:val="0"/>
          <w:sz w:val="22"/>
        </w:rPr>
        <w:t>process of achieving intelligent operation of water resource dispatch, hydraulic structure control, and safety supervision within a water network through digital twin, artificial intelligence, and control theory technologies</w:t>
      </w:r>
    </w:p>
    <w:p>
      <w:pPr>
        <w:pStyle w:val="Heading2"/>
      </w:pPr>
      <w:r>
        <w:t>3.3</w:t>
      </w:r>
    </w:p>
    <w:p>
      <w:r>
        <w:rPr>
          <w:rFonts w:ascii="Times New Roman" w:hAnsi="Times New Roman"/>
          <w:b/>
          <w:sz w:val="22"/>
        </w:rPr>
        <w:t>autonomous operation</w:t>
      </w:r>
    </w:p>
    <w:p>
      <w:r>
        <w:rPr>
          <w:rFonts w:ascii="Times New Roman" w:hAnsi="Times New Roman"/>
          <w:b w:val="0"/>
          <w:i w:val="0"/>
          <w:sz w:val="22"/>
        </w:rPr>
        <w:t>capability state in which a water network regulation and control system can complete safe and reliable operation within its operational design domain with no or minimal human intervention</w:t>
      </w:r>
    </w:p>
    <w:p>
      <w:pPr>
        <w:pStyle w:val="Heading2"/>
      </w:pPr>
      <w:r>
        <w:t>3.4</w:t>
      </w:r>
    </w:p>
    <w:p>
      <w:r>
        <w:rPr>
          <w:rFonts w:ascii="Times New Roman" w:hAnsi="Times New Roman"/>
          <w:b/>
          <w:sz w:val="22"/>
        </w:rPr>
        <w:t>cyber-physical-social system; CPSS</w:t>
      </w:r>
    </w:p>
    <w:p>
      <w:r>
        <w:rPr>
          <w:rFonts w:ascii="Times New Roman" w:hAnsi="Times New Roman"/>
          <w:b w:val="0"/>
          <w:i w:val="0"/>
          <w:sz w:val="22"/>
        </w:rPr>
        <w:t>complex system architecture integrating interactions across cyberspace, physical space, and social space, where physical space refers to hydraulic structures and water flow processes, and social space refers to water demand, dispatch regulations, and management decisions</w:t>
      </w:r>
    </w:p>
    <w:p>
      <w:pPr>
        <w:pStyle w:val="Heading2"/>
      </w:pPr>
      <w:r>
        <w:t>3.5</w:t>
      </w:r>
    </w:p>
    <w:p>
      <w:r>
        <w:rPr>
          <w:rFonts w:ascii="Times New Roman" w:hAnsi="Times New Roman"/>
          <w:b/>
          <w:sz w:val="22"/>
        </w:rPr>
        <w:t>digital twin</w:t>
      </w:r>
    </w:p>
    <w:p>
      <w:r>
        <w:rPr>
          <w:rFonts w:ascii="Times New Roman" w:hAnsi="Times New Roman"/>
          <w:b w:val="0"/>
          <w:i w:val="0"/>
          <w:sz w:val="22"/>
        </w:rPr>
        <w:t>virtual representation of a water network physical entity, synchronized through real-time data and driven by physical models, enabling mirroring, prediction, and optimization of the physical system state</w:t>
      </w:r>
    </w:p>
    <w:p>
      <w:pPr>
        <w:pStyle w:val="Heading2"/>
      </w:pPr>
      <w:r>
        <w:t>3.6</w:t>
      </w:r>
    </w:p>
    <w:p>
      <w:r>
        <w:rPr>
          <w:rFonts w:ascii="Times New Roman" w:hAnsi="Times New Roman"/>
          <w:b/>
          <w:sz w:val="22"/>
        </w:rPr>
        <w:t>supervisory control and data acquisition system; SCADA</w:t>
      </w:r>
    </w:p>
    <w:p>
      <w:r>
        <w:rPr>
          <w:rFonts w:ascii="Times New Roman" w:hAnsi="Times New Roman"/>
          <w:b w:val="0"/>
          <w:i w:val="0"/>
          <w:sz w:val="22"/>
        </w:rPr>
        <w:t>industrial automation system responsible for field data acquisition, supervisory monitoring, and basic control, including PLCs/RTUs, communication networks, and supervisory software</w:t>
      </w:r>
    </w:p>
    <w:p>
      <w:pPr>
        <w:ind w:left="567"/>
      </w:pPr>
      <w:r>
        <w:rPr>
          <w:rFonts w:ascii="Times New Roman" w:hAnsi="Times New Roman"/>
          <w:i w:val="0"/>
          <w:sz w:val="20"/>
        </w:rPr>
        <w:t>NOTE   In this document, SCADA is defined as the “foundation layer” of the intelligent control system, responsible for hard interlock protection and serving as the last line of defence. SCADA retains the right to override any instruction from the MAS layer that violates hard constraints.</w:t>
      </w:r>
    </w:p>
    <w:p>
      <w:pPr>
        <w:pStyle w:val="Heading2"/>
      </w:pPr>
      <w:r>
        <w:t>3.7</w:t>
      </w:r>
    </w:p>
    <w:p>
      <w:r>
        <w:rPr>
          <w:rFonts w:ascii="Times New Roman" w:hAnsi="Times New Roman"/>
          <w:b/>
          <w:sz w:val="22"/>
        </w:rPr>
        <w:t>multi-agent system; MAS</w:t>
      </w:r>
    </w:p>
    <w:p>
      <w:r>
        <w:rPr>
          <w:rFonts w:ascii="Times New Roman" w:hAnsi="Times New Roman"/>
          <w:b w:val="0"/>
          <w:i w:val="0"/>
          <w:sz w:val="22"/>
        </w:rPr>
        <w:t>distributed control software cluster comprising multiple autonomous agents working cooperatively</w:t>
      </w:r>
    </w:p>
    <w:p>
      <w:pPr>
        <w:ind w:left="567"/>
      </w:pPr>
      <w:r>
        <w:rPr>
          <w:rFonts w:ascii="Times New Roman" w:hAnsi="Times New Roman"/>
          <w:i w:val="0"/>
          <w:sz w:val="20"/>
        </w:rPr>
        <w:t>NOTE   In this document, MAS is defined as a “distributed software-defined supervisory layer” deployed on edge gateways or cloud containers, effectively assuming the logical control authority of traditional supervisory stations.</w:t>
      </w:r>
    </w:p>
    <w:p>
      <w:pPr>
        <w:pStyle w:val="Heading2"/>
      </w:pPr>
      <w:r>
        <w:t>3.8</w:t>
      </w:r>
    </w:p>
    <w:p>
      <w:r>
        <w:rPr>
          <w:rFonts w:ascii="Times New Roman" w:hAnsi="Times New Roman"/>
          <w:b/>
          <w:sz w:val="22"/>
        </w:rPr>
        <w:t>edge agent</w:t>
      </w:r>
    </w:p>
    <w:p>
      <w:r>
        <w:rPr>
          <w:rFonts w:ascii="Times New Roman" w:hAnsi="Times New Roman"/>
          <w:b w:val="0"/>
          <w:i w:val="0"/>
          <w:sz w:val="22"/>
        </w:rPr>
        <w:t>agent instance deployed on a field edge gateway or industrial server, operating within the OT control network, responsible for real-time closed-loop control of a single station or local water network segment</w:t>
      </w:r>
    </w:p>
    <w:p>
      <w:pPr>
        <w:pStyle w:val="Heading2"/>
      </w:pPr>
      <w:r>
        <w:t>3.9</w:t>
      </w:r>
    </w:p>
    <w:p>
      <w:r>
        <w:rPr>
          <w:rFonts w:ascii="Times New Roman" w:hAnsi="Times New Roman"/>
          <w:b/>
          <w:sz w:val="22"/>
        </w:rPr>
        <w:t>area agent</w:t>
      </w:r>
    </w:p>
    <w:p>
      <w:r>
        <w:rPr>
          <w:rFonts w:ascii="Times New Roman" w:hAnsi="Times New Roman"/>
          <w:b w:val="0"/>
          <w:i w:val="0"/>
          <w:sz w:val="22"/>
        </w:rPr>
        <w:t>agent instance deployed at the management office level, responsible for distributed model predictive control (DMPC) coordination among multiple edge agents within a regional scope</w:t>
      </w:r>
    </w:p>
    <w:p>
      <w:pPr>
        <w:pStyle w:val="Heading2"/>
      </w:pPr>
      <w:r>
        <w:t>3.10</w:t>
      </w:r>
    </w:p>
    <w:p>
      <w:r>
        <w:rPr>
          <w:rFonts w:ascii="Times New Roman" w:hAnsi="Times New Roman"/>
          <w:b/>
          <w:sz w:val="22"/>
        </w:rPr>
        <w:t>cloud agent</w:t>
      </w:r>
    </w:p>
    <w:p>
      <w:r>
        <w:rPr>
          <w:rFonts w:ascii="Times New Roman" w:hAnsi="Times New Roman"/>
          <w:b w:val="0"/>
          <w:i w:val="0"/>
          <w:sz w:val="22"/>
        </w:rPr>
        <w:t>agent instance deployed in the cloud, operating within the IT enterprise network, responsible for global economic dispatch, long-cycle optimization, and digital twin maintenance</w:t>
      </w:r>
    </w:p>
    <w:p>
      <w:pPr>
        <w:ind w:left="567"/>
      </w:pPr>
      <w:r>
        <w:rPr>
          <w:rFonts w:ascii="Times New Roman" w:hAnsi="Times New Roman"/>
          <w:i w:val="0"/>
          <w:sz w:val="20"/>
        </w:rPr>
        <w:t>NOTE   Cloud agents shall not issue direct control commands; they shall only provide dispatch recommendations.</w:t>
      </w:r>
    </w:p>
    <w:p>
      <w:pPr>
        <w:pStyle w:val="Heading2"/>
      </w:pPr>
      <w:r>
        <w:t>3.11</w:t>
      </w:r>
    </w:p>
    <w:p>
      <w:r>
        <w:rPr>
          <w:rFonts w:ascii="Times New Roman" w:hAnsi="Times New Roman"/>
          <w:b/>
          <w:sz w:val="22"/>
        </w:rPr>
        <w:t>OT network; operational technology network</w:t>
      </w:r>
    </w:p>
    <w:p>
      <w:r>
        <w:rPr>
          <w:rFonts w:ascii="Times New Roman" w:hAnsi="Times New Roman"/>
          <w:b w:val="0"/>
          <w:i w:val="0"/>
          <w:sz w:val="22"/>
        </w:rPr>
        <w:t>physically isolated industrial control network carrying SCADA system and edge agent communications, strictly prohibited from connecting to the internet</w:t>
      </w:r>
    </w:p>
    <w:p>
      <w:pPr>
        <w:pStyle w:val="Heading2"/>
      </w:pPr>
      <w:r>
        <w:t>3.12</w:t>
      </w:r>
    </w:p>
    <w:p>
      <w:r>
        <w:rPr>
          <w:rFonts w:ascii="Times New Roman" w:hAnsi="Times New Roman"/>
          <w:b/>
          <w:sz w:val="22"/>
        </w:rPr>
        <w:t>IT network; information technology network</w:t>
      </w:r>
    </w:p>
    <w:p>
      <w:r>
        <w:rPr>
          <w:rFonts w:ascii="Times New Roman" w:hAnsi="Times New Roman"/>
          <w:b w:val="0"/>
          <w:i w:val="0"/>
          <w:sz w:val="22"/>
        </w:rPr>
        <w:t>enterprise network carrying cloud agents, digital twin platforms, and management information systems, which may connect to the internet to obtain meteorological, energy pricing, and other external data</w:t>
      </w:r>
    </w:p>
    <w:p>
      <w:pPr>
        <w:pStyle w:val="Heading2"/>
      </w:pPr>
      <w:r>
        <w:t>3.13</w:t>
      </w:r>
    </w:p>
    <w:p>
      <w:r>
        <w:rPr>
          <w:rFonts w:ascii="Times New Roman" w:hAnsi="Times New Roman"/>
          <w:b/>
          <w:sz w:val="22"/>
        </w:rPr>
        <w:t>model-based design; MBD</w:t>
      </w:r>
    </w:p>
    <w:p>
      <w:r>
        <w:rPr>
          <w:rFonts w:ascii="Times New Roman" w:hAnsi="Times New Roman"/>
          <w:b w:val="0"/>
          <w:i w:val="0"/>
          <w:sz w:val="22"/>
        </w:rPr>
        <w:t>engineering paradigm using mathematical models as the single source of truth throughout the entire lifecycle, encompassing requirements definition, algorithm design, code generation, and test verification</w:t>
      </w:r>
    </w:p>
    <w:p>
      <w:pPr>
        <w:ind w:left="567"/>
      </w:pPr>
      <w:r>
        <w:rPr>
          <w:rFonts w:ascii="Times New Roman" w:hAnsi="Times New Roman"/>
          <w:i w:val="0"/>
          <w:sz w:val="20"/>
        </w:rPr>
        <w:t>NOTE   The core principles of MBD are: the model is truth, code is auto-generated, and testing is continuous.</w:t>
      </w:r>
    </w:p>
    <w:p>
      <w:pPr>
        <w:pStyle w:val="Heading2"/>
      </w:pPr>
      <w:r>
        <w:t>3.14</w:t>
      </w:r>
    </w:p>
    <w:p>
      <w:r>
        <w:rPr>
          <w:rFonts w:ascii="Times New Roman" w:hAnsi="Times New Roman"/>
          <w:b/>
          <w:sz w:val="22"/>
        </w:rPr>
        <w:t>operational design domain; ODD</w:t>
      </w:r>
    </w:p>
    <w:p>
      <w:r>
        <w:rPr>
          <w:rFonts w:ascii="Times New Roman" w:hAnsi="Times New Roman"/>
          <w:b w:val="0"/>
          <w:i w:val="0"/>
          <w:sz w:val="22"/>
        </w:rPr>
        <w:t>specific set of conditions under which an intelligent regulation and control system is designed to operate normally, including but not limited to hydraulic boundary conditions, meteorological conditions, communication state, sensor availability, and downstream demand</w:t>
      </w:r>
    </w:p>
    <w:p>
      <w:pPr>
        <w:ind w:left="567"/>
      </w:pPr>
      <w:r>
        <w:rPr>
          <w:rFonts w:ascii="Times New Roman" w:hAnsi="Times New Roman"/>
          <w:i w:val="0"/>
          <w:sz w:val="20"/>
        </w:rPr>
        <w:t>NOTE   The ODD shall be defined as a computable mathematical set, not merely described in natural language.</w:t>
      </w:r>
    </w:p>
    <w:p>
      <w:pPr>
        <w:pStyle w:val="Heading2"/>
      </w:pPr>
      <w:r>
        <w:t>3.15</w:t>
      </w:r>
    </w:p>
    <w:p>
      <w:r>
        <w:rPr>
          <w:rFonts w:ascii="Times New Roman" w:hAnsi="Times New Roman"/>
          <w:b/>
          <w:sz w:val="22"/>
        </w:rPr>
        <w:t>executable specification</w:t>
      </w:r>
    </w:p>
    <w:p>
      <w:r>
        <w:rPr>
          <w:rFonts w:ascii="Times New Roman" w:hAnsi="Times New Roman"/>
          <w:b w:val="0"/>
          <w:i w:val="0"/>
          <w:sz w:val="22"/>
        </w:rPr>
        <w:t>system requirements document expressed in the form of computable mathematical models, possessing the capability for simulation execution, automated verification, and automated code generation</w:t>
      </w:r>
    </w:p>
    <w:p>
      <w:pPr>
        <w:pStyle w:val="Heading2"/>
      </w:pPr>
      <w:r>
        <w:t>3.16</w:t>
      </w:r>
    </w:p>
    <w:p>
      <w:r>
        <w:rPr>
          <w:rFonts w:ascii="Times New Roman" w:hAnsi="Times New Roman"/>
          <w:b/>
          <w:sz w:val="22"/>
        </w:rPr>
        <w:t>model-in-the-loop testing; MIL</w:t>
      </w:r>
    </w:p>
    <w:p>
      <w:r>
        <w:rPr>
          <w:rFonts w:ascii="Times New Roman" w:hAnsi="Times New Roman"/>
          <w:b w:val="0"/>
          <w:i w:val="0"/>
          <w:sz w:val="22"/>
        </w:rPr>
        <w:t>testing method that verifies algorithm logic correctness by jointly running the control algorithm model and the controlled plant model in a pure model environment</w:t>
      </w:r>
    </w:p>
    <w:p>
      <w:pPr>
        <w:pStyle w:val="Heading2"/>
      </w:pPr>
      <w:r>
        <w:t>3.17</w:t>
      </w:r>
    </w:p>
    <w:p>
      <w:r>
        <w:rPr>
          <w:rFonts w:ascii="Times New Roman" w:hAnsi="Times New Roman"/>
          <w:b/>
          <w:sz w:val="22"/>
        </w:rPr>
        <w:t>software-in-the-loop testing; SIL</w:t>
      </w:r>
    </w:p>
    <w:p>
      <w:r>
        <w:rPr>
          <w:rFonts w:ascii="Times New Roman" w:hAnsi="Times New Roman"/>
          <w:b w:val="0"/>
          <w:i w:val="0"/>
          <w:sz w:val="22"/>
        </w:rPr>
        <w:t>testing method that jointly tests auto-generated code from a model with the controlled plant model in a software environment, with the core purpose of verifying numerical consistency between the auto-generated code and the source model</w:t>
      </w:r>
    </w:p>
    <w:p>
      <w:pPr>
        <w:pStyle w:val="Heading2"/>
      </w:pPr>
      <w:r>
        <w:t>3.18</w:t>
      </w:r>
    </w:p>
    <w:p>
      <w:r>
        <w:rPr>
          <w:rFonts w:ascii="Times New Roman" w:hAnsi="Times New Roman"/>
          <w:b/>
          <w:sz w:val="22"/>
        </w:rPr>
        <w:t>hardware-in-the-loop testing; HIL</w:t>
      </w:r>
    </w:p>
    <w:p>
      <w:r>
        <w:rPr>
          <w:rFonts w:ascii="Times New Roman" w:hAnsi="Times New Roman"/>
          <w:b w:val="0"/>
          <w:i w:val="0"/>
          <w:sz w:val="22"/>
        </w:rPr>
        <w:t>testing method that deploys control code to real controller hardware and tests jointly with a real-time simulation model of the controlled plant, with the core purpose of verifying real-time performance, communication reliability, and failover capability under real hardware conditions</w:t>
      </w:r>
    </w:p>
    <w:p>
      <w:pPr>
        <w:pStyle w:val="Heading2"/>
      </w:pPr>
      <w:r>
        <w:t>3.19</w:t>
      </w:r>
    </w:p>
    <w:p>
      <w:r>
        <w:rPr>
          <w:rFonts w:ascii="Times New Roman" w:hAnsi="Times New Roman"/>
          <w:b/>
          <w:sz w:val="22"/>
        </w:rPr>
        <w:t>safety case</w:t>
      </w:r>
    </w:p>
    <w:p>
      <w:r>
        <w:rPr>
          <w:rFonts w:ascii="Times New Roman" w:hAnsi="Times New Roman"/>
          <w:b w:val="0"/>
          <w:i w:val="0"/>
          <w:sz w:val="22"/>
        </w:rPr>
        <w:t>structured argument document used to demonstrate that a system is sufficiently safe in its operational environment, typically organized using Goal Structuring Notation (GSN) or Claims-Arguments-Evidence (CAE) framework</w:t>
      </w:r>
    </w:p>
    <w:p>
      <w:pPr>
        <w:pStyle w:val="Heading2"/>
      </w:pPr>
      <w:r>
        <w:t>3.20</w:t>
      </w:r>
    </w:p>
    <w:p>
      <w:r>
        <w:rPr>
          <w:rFonts w:ascii="Times New Roman" w:hAnsi="Times New Roman"/>
          <w:b/>
          <w:sz w:val="22"/>
        </w:rPr>
        <w:t>manual operation (L0)</w:t>
      </w:r>
    </w:p>
    <w:p>
      <w:r>
        <w:rPr>
          <w:rFonts w:ascii="Times New Roman" w:hAnsi="Times New Roman"/>
          <w:b w:val="0"/>
          <w:i w:val="0"/>
          <w:sz w:val="22"/>
        </w:rPr>
        <w:t>operational state in which all regulation and control decisions and execution are performed by humans, with the system providing only basic data acquisition and display functions</w:t>
      </w:r>
    </w:p>
    <w:p>
      <w:pPr>
        <w:pStyle w:val="Heading2"/>
      </w:pPr>
      <w:r>
        <w:t>3.21</w:t>
      </w:r>
    </w:p>
    <w:p>
      <w:r>
        <w:rPr>
          <w:rFonts w:ascii="Times New Roman" w:hAnsi="Times New Roman"/>
          <w:b/>
          <w:sz w:val="22"/>
        </w:rPr>
        <w:t>assisted operation (L1)</w:t>
      </w:r>
    </w:p>
    <w:p>
      <w:r>
        <w:rPr>
          <w:rFonts w:ascii="Times New Roman" w:hAnsi="Times New Roman"/>
          <w:b w:val="0"/>
          <w:i w:val="0"/>
          <w:sz w:val="22"/>
        </w:rPr>
        <w:t>operational state in which the system can analyse data and provide regulation recommendations under specific conditions, but all final decisions and execution remain the responsibility of human operators</w:t>
      </w:r>
    </w:p>
    <w:p>
      <w:pPr>
        <w:pStyle w:val="Heading2"/>
      </w:pPr>
      <w:r>
        <w:t>3.22</w:t>
      </w:r>
    </w:p>
    <w:p>
      <w:r>
        <w:rPr>
          <w:rFonts w:ascii="Times New Roman" w:hAnsi="Times New Roman"/>
          <w:b/>
          <w:sz w:val="22"/>
        </w:rPr>
        <w:t>partial automation (L2)</w:t>
      </w:r>
    </w:p>
    <w:p>
      <w:r>
        <w:rPr>
          <w:rFonts w:ascii="Times New Roman" w:hAnsi="Times New Roman"/>
          <w:b w:val="0"/>
          <w:i w:val="0"/>
          <w:sz w:val="22"/>
        </w:rPr>
        <w:t>operational state in which, within a limited ODD, the system can automatically execute routine regulation tasks, while humans shall continuously supervise system operation and be prepared to take over at any time</w:t>
      </w:r>
    </w:p>
    <w:p>
      <w:pPr>
        <w:ind w:left="567"/>
      </w:pPr>
      <w:r>
        <w:rPr>
          <w:rFonts w:ascii="Times New Roman" w:hAnsi="Times New Roman"/>
          <w:i w:val="0"/>
          <w:sz w:val="20"/>
        </w:rPr>
        <w:t>NOTE   Humans remain the ultimate safety responsible entity at L2.</w:t>
      </w:r>
    </w:p>
    <w:p>
      <w:pPr>
        <w:pStyle w:val="Heading2"/>
      </w:pPr>
      <w:r>
        <w:t>3.23</w:t>
      </w:r>
    </w:p>
    <w:p>
      <w:r>
        <w:rPr>
          <w:rFonts w:ascii="Times New Roman" w:hAnsi="Times New Roman"/>
          <w:b/>
          <w:sz w:val="22"/>
        </w:rPr>
        <w:t>conditional autonomy (L3)</w:t>
      </w:r>
    </w:p>
    <w:p>
      <w:r>
        <w:rPr>
          <w:rFonts w:ascii="Times New Roman" w:hAnsi="Times New Roman"/>
          <w:b w:val="0"/>
          <w:i w:val="0"/>
          <w:sz w:val="22"/>
        </w:rPr>
        <w:t>operational state in which, within a clearly defined ODD, the system can autonomously complete the full regulation closed loop from perception through decision to execution, with human intervention only when the system issues a takeover request</w:t>
      </w:r>
    </w:p>
    <w:p>
      <w:pPr>
        <w:ind w:left="567"/>
      </w:pPr>
      <w:r>
        <w:rPr>
          <w:rFonts w:ascii="Times New Roman" w:hAnsi="Times New Roman"/>
          <w:i w:val="0"/>
          <w:sz w:val="20"/>
        </w:rPr>
        <w:t>NOTE   L3 represents the critical watershed for human-machine responsibility transfer.</w:t>
      </w:r>
    </w:p>
    <w:p>
      <w:pPr>
        <w:pStyle w:val="Heading2"/>
      </w:pPr>
      <w:r>
        <w:t>3.24</w:t>
      </w:r>
    </w:p>
    <w:p>
      <w:r>
        <w:rPr>
          <w:rFonts w:ascii="Times New Roman" w:hAnsi="Times New Roman"/>
          <w:b/>
          <w:sz w:val="22"/>
        </w:rPr>
        <w:t>high autonomy (L4)</w:t>
      </w:r>
    </w:p>
    <w:p>
      <w:r>
        <w:rPr>
          <w:rFonts w:ascii="Times New Roman" w:hAnsi="Times New Roman"/>
          <w:b w:val="0"/>
          <w:i w:val="0"/>
          <w:sz w:val="22"/>
        </w:rPr>
        <w:t>operational state in which, within an extended ODD, the system can autonomously handle regulation tasks including multiple types of abnormal conditions, with autonomous fault identification, degradation, and recovery capabilities</w:t>
      </w:r>
    </w:p>
    <w:p>
      <w:pPr>
        <w:pStyle w:val="Heading2"/>
      </w:pPr>
      <w:r>
        <w:t>3.25</w:t>
      </w:r>
    </w:p>
    <w:p>
      <w:r>
        <w:rPr>
          <w:rFonts w:ascii="Times New Roman" w:hAnsi="Times New Roman"/>
          <w:b/>
          <w:sz w:val="22"/>
        </w:rPr>
        <w:t>full autonomy (L5)</w:t>
      </w:r>
    </w:p>
    <w:p>
      <w:r>
        <w:rPr>
          <w:rFonts w:ascii="Times New Roman" w:hAnsi="Times New Roman"/>
          <w:b w:val="0"/>
          <w:i w:val="0"/>
          <w:sz w:val="22"/>
        </w:rPr>
        <w:t>operational state in which the system can operate fully autonomously under all foreseeable conditions without any human intervention</w:t>
      </w:r>
    </w:p>
    <w:p>
      <w:pPr>
        <w:ind w:left="567"/>
      </w:pPr>
      <w:r>
        <w:rPr>
          <w:rFonts w:ascii="Times New Roman" w:hAnsi="Times New Roman"/>
          <w:i w:val="0"/>
          <w:sz w:val="20"/>
        </w:rPr>
        <w:t>NOTE   L5 is a long-term vision goal; current technology does not support engineering implementation.</w:t>
      </w:r>
    </w:p>
    <w:p>
      <w:pPr>
        <w:pStyle w:val="Heading2"/>
      </w:pPr>
      <w:r>
        <w:t>3.26</w:t>
      </w:r>
    </w:p>
    <w:p>
      <w:r>
        <w:rPr>
          <w:rFonts w:ascii="Times New Roman" w:hAnsi="Times New Roman"/>
          <w:b/>
          <w:sz w:val="22"/>
        </w:rPr>
        <w:t>model coupling</w:t>
      </w:r>
    </w:p>
    <w:p>
      <w:r>
        <w:rPr>
          <w:rFonts w:ascii="Times New Roman" w:hAnsi="Times New Roman"/>
          <w:b w:val="0"/>
          <w:i w:val="0"/>
          <w:sz w:val="22"/>
        </w:rPr>
        <w:t>technical process of enabling two or more heterogeneous models to work cooperatively through standardized interfaces with runtime data exchange</w:t>
      </w:r>
    </w:p>
    <w:p>
      <w:pPr>
        <w:pStyle w:val="Heading2"/>
      </w:pPr>
      <w:r>
        <w:t>3.27</w:t>
      </w:r>
    </w:p>
    <w:p>
      <w:r>
        <w:rPr>
          <w:rFonts w:ascii="Times New Roman" w:hAnsi="Times New Roman"/>
          <w:b/>
          <w:sz w:val="22"/>
        </w:rPr>
        <w:t>functional mock-up unit; FMU</w:t>
      </w:r>
    </w:p>
    <w:p>
      <w:r>
        <w:rPr>
          <w:rFonts w:ascii="Times New Roman" w:hAnsi="Times New Roman"/>
          <w:b w:val="0"/>
          <w:i w:val="0"/>
          <w:sz w:val="22"/>
        </w:rPr>
        <w:t>model unit packaged in compliance with the FMI standard, containing a model description file and executable code, supporting cross-platform exchange and co-simulation</w:t>
      </w:r>
    </w:p>
    <w:p>
      <w:pPr>
        <w:pStyle w:val="Heading2"/>
      </w:pPr>
      <w:r>
        <w:t>3.28</w:t>
      </w:r>
    </w:p>
    <w:p>
      <w:r>
        <w:rPr>
          <w:rFonts w:ascii="Times New Roman" w:hAnsi="Times New Roman"/>
          <w:b/>
          <w:sz w:val="22"/>
        </w:rPr>
        <w:t>water network common information model; Water-CIM</w:t>
      </w:r>
    </w:p>
    <w:p>
      <w:r>
        <w:rPr>
          <w:rFonts w:ascii="Times New Roman" w:hAnsi="Times New Roman"/>
          <w:b w:val="0"/>
          <w:i w:val="0"/>
          <w:sz w:val="22"/>
        </w:rPr>
        <w:t>unified semantic model for water network assets, topology, measurements, control logic, and agents, based on the IEC 61970 CIM architecture and reconstructed for water network characteristics</w:t>
      </w:r>
    </w:p>
    <w:p>
      <w:pPr>
        <w:pStyle w:val="Heading2"/>
      </w:pPr>
      <w:r>
        <w:t>3.29</w:t>
      </w:r>
    </w:p>
    <w:p>
      <w:r>
        <w:rPr>
          <w:rFonts w:ascii="Times New Roman" w:hAnsi="Times New Roman"/>
          <w:b/>
          <w:sz w:val="22"/>
        </w:rPr>
        <w:t>data distribution service; DDS</w:t>
      </w:r>
    </w:p>
    <w:p>
      <w:r>
        <w:rPr>
          <w:rFonts w:ascii="Times New Roman" w:hAnsi="Times New Roman"/>
          <w:b w:val="0"/>
          <w:i w:val="0"/>
          <w:sz w:val="22"/>
        </w:rPr>
        <w:t>decentralized publish/subscribe middleware protocol with peer-to-peer node connectivity and QoS contracts (e.g., DEADLINE, RELIABILITY), suitable as a real-time communication bus for distributed agent coordination</w:t>
      </w:r>
    </w:p>
    <w:p>
      <w:pPr>
        <w:pStyle w:val="Heading2"/>
      </w:pPr>
      <w:r>
        <w:t>3.30</w:t>
      </w:r>
    </w:p>
    <w:p>
      <w:r>
        <w:rPr>
          <w:rFonts w:ascii="Times New Roman" w:hAnsi="Times New Roman"/>
          <w:b/>
          <w:sz w:val="22"/>
        </w:rPr>
        <w:t>set-point driven paradigm</w:t>
      </w:r>
    </w:p>
    <w:p>
      <w:r>
        <w:rPr>
          <w:rFonts w:ascii="Times New Roman" w:hAnsi="Times New Roman"/>
          <w:b w:val="0"/>
          <w:i w:val="0"/>
          <w:sz w:val="22"/>
        </w:rPr>
        <w:t>operational paradigm in which MAS does not directly operate SCADA digital outputs (DO) but instead issues only target set-point values via OPC UA, with the SCADA layer responsible for actuator driving and safety verification</w:t>
      </w:r>
    </w:p>
    <w:p>
      <w:pPr>
        <w:pStyle w:val="Heading2"/>
      </w:pPr>
      <w:r>
        <w:t>3.31</w:t>
      </w:r>
    </w:p>
    <w:p>
      <w:r>
        <w:rPr>
          <w:rFonts w:ascii="Times New Roman" w:hAnsi="Times New Roman"/>
          <w:b/>
          <w:sz w:val="22"/>
        </w:rPr>
        <w:t>hard constraint</w:t>
      </w:r>
    </w:p>
    <w:p>
      <w:r>
        <w:rPr>
          <w:rFonts w:ascii="Times New Roman" w:hAnsi="Times New Roman"/>
          <w:b w:val="0"/>
          <w:i w:val="0"/>
          <w:sz w:val="22"/>
        </w:rPr>
        <w:t>absolute safety boundary that shall not be violated during system operation, such as maximum warning water level, maximum allowable flow rate, or minimum ecological base flow</w:t>
      </w:r>
    </w:p>
    <w:p>
      <w:pPr>
        <w:ind w:left="567"/>
      </w:pPr>
      <w:r>
        <w:rPr>
          <w:rFonts w:ascii="Times New Roman" w:hAnsi="Times New Roman"/>
          <w:i w:val="0"/>
          <w:sz w:val="20"/>
        </w:rPr>
        <w:t>NOTE   Violation of a hard constraint shall trigger emergency shutdown or automatic degradation.</w:t>
      </w:r>
    </w:p>
    <w:p>
      <w:pPr>
        <w:pStyle w:val="Heading2"/>
      </w:pPr>
      <w:r>
        <w:t>3.32</w:t>
      </w:r>
    </w:p>
    <w:p>
      <w:r>
        <w:rPr>
          <w:rFonts w:ascii="Times New Roman" w:hAnsi="Times New Roman"/>
          <w:b/>
          <w:sz w:val="22"/>
        </w:rPr>
        <w:t>soft constraint</w:t>
      </w:r>
    </w:p>
    <w:p>
      <w:r>
        <w:rPr>
          <w:rFonts w:ascii="Times New Roman" w:hAnsi="Times New Roman"/>
          <w:b w:val="0"/>
          <w:i w:val="0"/>
          <w:sz w:val="22"/>
        </w:rPr>
        <w:t>optimization objective for system operation that may be relaxed or adjusted under specific conditions, such as target water level, economic dispatch objective, or power generation maximization target</w:t>
      </w:r>
    </w:p>
    <w:p>
      <w:pPr>
        <w:pStyle w:val="Heading2"/>
      </w:pPr>
      <w:r>
        <w:t>3.33</w:t>
      </w:r>
    </w:p>
    <w:p>
      <w:r>
        <w:rPr>
          <w:rFonts w:ascii="Times New Roman" w:hAnsi="Times New Roman"/>
          <w:b/>
          <w:sz w:val="22"/>
        </w:rPr>
        <w:t>circuit breaker</w:t>
      </w:r>
    </w:p>
    <w:p>
      <w:r>
        <w:rPr>
          <w:rFonts w:ascii="Times New Roman" w:hAnsi="Times New Roman"/>
          <w:b w:val="0"/>
          <w:i w:val="0"/>
          <w:sz w:val="22"/>
        </w:rPr>
        <w:t>protection mechanism that automatically disconnects a fault path and degrades to a safe fallback strategy when the control system detects an abnormal state</w:t>
      </w:r>
    </w:p>
    <w:p>
      <w:pPr>
        <w:ind w:left="567"/>
      </w:pPr>
      <w:r>
        <w:rPr>
          <w:rFonts w:ascii="Times New Roman" w:hAnsi="Times New Roman"/>
          <w:i w:val="0"/>
          <w:sz w:val="20"/>
        </w:rPr>
        <w:t>NOTE   Typical trigger conditions include model numerical divergence, sensor failure, communication interruption, and MAS heartbeat timeout.</w:t>
      </w:r>
    </w:p>
    <w:p>
      <w:pPr>
        <w:pStyle w:val="Heading2"/>
      </w:pPr>
      <w:r>
        <w:t>3.34</w:t>
      </w:r>
    </w:p>
    <w:p>
      <w:r>
        <w:rPr>
          <w:rFonts w:ascii="Times New Roman" w:hAnsi="Times New Roman"/>
          <w:b/>
          <w:sz w:val="22"/>
        </w:rPr>
        <w:t>island autonomy mode</w:t>
      </w:r>
    </w:p>
    <w:p>
      <w:r>
        <w:rPr>
          <w:rFonts w:ascii="Times New Roman" w:hAnsi="Times New Roman"/>
          <w:b w:val="0"/>
          <w:i w:val="0"/>
          <w:sz w:val="22"/>
        </w:rPr>
        <w:t>emergency operating mode in which an edge agent, upon detecting interruption of the communication link with the cloud, automatically switches to operating solely based on local objectives and local sensor data, without waiting for cloud instructions</w:t>
      </w:r>
    </w:p>
    <w:p>
      <w:pPr>
        <w:pStyle w:val="Heading2"/>
      </w:pPr>
      <w:r>
        <w:t>3.35</w:t>
      </w:r>
    </w:p>
    <w:p>
      <w:r>
        <w:rPr>
          <w:rFonts w:ascii="Times New Roman" w:hAnsi="Times New Roman"/>
          <w:b/>
          <w:sz w:val="22"/>
        </w:rPr>
        <w:t>engineering acceptance package</w:t>
      </w:r>
    </w:p>
    <w:p>
      <w:r>
        <w:rPr>
          <w:rFonts w:ascii="Times New Roman" w:hAnsi="Times New Roman"/>
          <w:b w:val="0"/>
          <w:i w:val="0"/>
          <w:sz w:val="22"/>
        </w:rPr>
        <w:t>collection of documents that shall be submitted during engineering acceptance of an intelligent regulation and control system, including the ODD declaration, XIL test reports, safety case, distributed deployment topology file, multi-network security policy set, and disconnection autonomy test report</w:t>
      </w:r>
    </w:p>
    <w:p>
      <w:pPr>
        <w:pStyle w:val="Heading1"/>
      </w:pPr>
      <w:r>
        <w:t>4   Abbreviated terms</w:t>
      </w:r>
    </w:p>
    <w:p>
      <w:r>
        <w:rPr>
          <w:rFonts w:ascii="Times New Roman" w:hAnsi="Times New Roman"/>
          <w:b w:val="0"/>
          <w:i w:val="0"/>
          <w:sz w:val="22"/>
        </w:rPr>
        <w:t>For the purposes of this document, the following abbreviated terms apply.</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19"/>
              </w:rPr>
              <w:t>Abbreviated term</w:t>
            </w:r>
          </w:p>
        </w:tc>
        <w:tc>
          <w:tcPr>
            <w:tcW w:type="dxa" w:w="4394"/>
            <w:shd w:fill="D9E2F3"/>
          </w:tcPr>
          <w:p>
            <w:pPr>
              <w:jc w:val="center"/>
            </w:pPr>
            <w:r/>
            <w:r>
              <w:rPr>
                <w:rFonts w:ascii="Times New Roman" w:hAnsi="Times New Roman"/>
                <w:b/>
                <w:sz w:val="19"/>
              </w:rPr>
              <w:t>Full term</w:t>
            </w:r>
          </w:p>
        </w:tc>
      </w:tr>
      <w:tr>
        <w:tc>
          <w:tcPr>
            <w:tcW w:type="dxa" w:w="4394"/>
          </w:tcPr>
          <w:p>
            <w:r/>
            <w:r>
              <w:rPr>
                <w:rFonts w:ascii="Times New Roman" w:hAnsi="Times New Roman"/>
                <w:b w:val="0"/>
                <w:sz w:val="19"/>
              </w:rPr>
              <w:t>BMI</w:t>
            </w:r>
          </w:p>
        </w:tc>
        <w:tc>
          <w:tcPr>
            <w:tcW w:type="dxa" w:w="4394"/>
          </w:tcPr>
          <w:p>
            <w:r/>
            <w:r>
              <w:rPr>
                <w:rFonts w:ascii="Times New Roman" w:hAnsi="Times New Roman"/>
                <w:b w:val="0"/>
                <w:sz w:val="19"/>
              </w:rPr>
              <w:t>Basic Model Interface</w:t>
            </w:r>
          </w:p>
        </w:tc>
      </w:tr>
      <w:tr>
        <w:tc>
          <w:tcPr>
            <w:tcW w:type="dxa" w:w="4394"/>
          </w:tcPr>
          <w:p>
            <w:r/>
            <w:r>
              <w:rPr>
                <w:rFonts w:ascii="Times New Roman" w:hAnsi="Times New Roman"/>
                <w:b w:val="0"/>
                <w:sz w:val="19"/>
              </w:rPr>
              <w:t>CAE</w:t>
            </w:r>
          </w:p>
        </w:tc>
        <w:tc>
          <w:tcPr>
            <w:tcW w:type="dxa" w:w="4394"/>
          </w:tcPr>
          <w:p>
            <w:r/>
            <w:r>
              <w:rPr>
                <w:rFonts w:ascii="Times New Roman" w:hAnsi="Times New Roman"/>
                <w:b w:val="0"/>
                <w:sz w:val="19"/>
              </w:rPr>
              <w:t>Claims-Arguments-Evidence</w:t>
            </w:r>
          </w:p>
        </w:tc>
      </w:tr>
      <w:tr>
        <w:tc>
          <w:tcPr>
            <w:tcW w:type="dxa" w:w="4394"/>
          </w:tcPr>
          <w:p>
            <w:r/>
            <w:r>
              <w:rPr>
                <w:rFonts w:ascii="Times New Roman" w:hAnsi="Times New Roman"/>
                <w:b w:val="0"/>
                <w:sz w:val="19"/>
              </w:rPr>
              <w:t>CIM</w:t>
            </w:r>
          </w:p>
        </w:tc>
        <w:tc>
          <w:tcPr>
            <w:tcW w:type="dxa" w:w="4394"/>
          </w:tcPr>
          <w:p>
            <w:r/>
            <w:r>
              <w:rPr>
                <w:rFonts w:ascii="Times New Roman" w:hAnsi="Times New Roman"/>
                <w:b w:val="0"/>
                <w:sz w:val="19"/>
              </w:rPr>
              <w:t>Common Information Model</w:t>
            </w:r>
          </w:p>
        </w:tc>
      </w:tr>
      <w:tr>
        <w:tc>
          <w:tcPr>
            <w:tcW w:type="dxa" w:w="4394"/>
          </w:tcPr>
          <w:p>
            <w:r/>
            <w:r>
              <w:rPr>
                <w:rFonts w:ascii="Times New Roman" w:hAnsi="Times New Roman"/>
                <w:b w:val="0"/>
                <w:sz w:val="19"/>
              </w:rPr>
              <w:t>CPSS</w:t>
            </w:r>
          </w:p>
        </w:tc>
        <w:tc>
          <w:tcPr>
            <w:tcW w:type="dxa" w:w="4394"/>
          </w:tcPr>
          <w:p>
            <w:r/>
            <w:r>
              <w:rPr>
                <w:rFonts w:ascii="Times New Roman" w:hAnsi="Times New Roman"/>
                <w:b w:val="0"/>
                <w:sz w:val="19"/>
              </w:rPr>
              <w:t>Cyber-Physical-Social System</w:t>
            </w:r>
          </w:p>
        </w:tc>
      </w:tr>
      <w:tr>
        <w:tc>
          <w:tcPr>
            <w:tcW w:type="dxa" w:w="4394"/>
          </w:tcPr>
          <w:p>
            <w:r/>
            <w:r>
              <w:rPr>
                <w:rFonts w:ascii="Times New Roman" w:hAnsi="Times New Roman"/>
                <w:b w:val="0"/>
                <w:sz w:val="19"/>
              </w:rPr>
              <w:t>DDS</w:t>
            </w:r>
          </w:p>
        </w:tc>
        <w:tc>
          <w:tcPr>
            <w:tcW w:type="dxa" w:w="4394"/>
          </w:tcPr>
          <w:p>
            <w:r/>
            <w:r>
              <w:rPr>
                <w:rFonts w:ascii="Times New Roman" w:hAnsi="Times New Roman"/>
                <w:b w:val="0"/>
                <w:sz w:val="19"/>
              </w:rPr>
              <w:t>Data Distribution Service</w:t>
            </w:r>
          </w:p>
        </w:tc>
      </w:tr>
      <w:tr>
        <w:tc>
          <w:tcPr>
            <w:tcW w:type="dxa" w:w="4394"/>
          </w:tcPr>
          <w:p>
            <w:r/>
            <w:r>
              <w:rPr>
                <w:rFonts w:ascii="Times New Roman" w:hAnsi="Times New Roman"/>
                <w:b w:val="0"/>
                <w:sz w:val="19"/>
              </w:rPr>
              <w:t>DDT</w:t>
            </w:r>
          </w:p>
        </w:tc>
        <w:tc>
          <w:tcPr>
            <w:tcW w:type="dxa" w:w="4394"/>
          </w:tcPr>
          <w:p>
            <w:r/>
            <w:r>
              <w:rPr>
                <w:rFonts w:ascii="Times New Roman" w:hAnsi="Times New Roman"/>
                <w:b w:val="0"/>
                <w:sz w:val="19"/>
              </w:rPr>
              <w:t>Distributed Deployment Topology</w:t>
            </w:r>
          </w:p>
        </w:tc>
      </w:tr>
      <w:tr>
        <w:tc>
          <w:tcPr>
            <w:tcW w:type="dxa" w:w="4394"/>
          </w:tcPr>
          <w:p>
            <w:r/>
            <w:r>
              <w:rPr>
                <w:rFonts w:ascii="Times New Roman" w:hAnsi="Times New Roman"/>
                <w:b w:val="0"/>
                <w:sz w:val="19"/>
              </w:rPr>
              <w:t>DMPC</w:t>
            </w:r>
          </w:p>
        </w:tc>
        <w:tc>
          <w:tcPr>
            <w:tcW w:type="dxa" w:w="4394"/>
          </w:tcPr>
          <w:p>
            <w:r/>
            <w:r>
              <w:rPr>
                <w:rFonts w:ascii="Times New Roman" w:hAnsi="Times New Roman"/>
                <w:b w:val="0"/>
                <w:sz w:val="19"/>
              </w:rPr>
              <w:t>Distributed Model Predictive Control</w:t>
            </w:r>
          </w:p>
        </w:tc>
      </w:tr>
      <w:tr>
        <w:tc>
          <w:tcPr>
            <w:tcW w:type="dxa" w:w="4394"/>
          </w:tcPr>
          <w:p>
            <w:r/>
            <w:r>
              <w:rPr>
                <w:rFonts w:ascii="Times New Roman" w:hAnsi="Times New Roman"/>
                <w:b w:val="0"/>
                <w:sz w:val="19"/>
              </w:rPr>
              <w:t>DMZ</w:t>
            </w:r>
          </w:p>
        </w:tc>
        <w:tc>
          <w:tcPr>
            <w:tcW w:type="dxa" w:w="4394"/>
          </w:tcPr>
          <w:p>
            <w:r/>
            <w:r>
              <w:rPr>
                <w:rFonts w:ascii="Times New Roman" w:hAnsi="Times New Roman"/>
                <w:b w:val="0"/>
                <w:sz w:val="19"/>
              </w:rPr>
              <w:t>Demilitarized Zone</w:t>
            </w:r>
          </w:p>
        </w:tc>
      </w:tr>
      <w:tr>
        <w:tc>
          <w:tcPr>
            <w:tcW w:type="dxa" w:w="4394"/>
          </w:tcPr>
          <w:p>
            <w:r/>
            <w:r>
              <w:rPr>
                <w:rFonts w:ascii="Times New Roman" w:hAnsi="Times New Roman"/>
                <w:b w:val="0"/>
                <w:sz w:val="19"/>
              </w:rPr>
              <w:t>FMI</w:t>
            </w:r>
          </w:p>
        </w:tc>
        <w:tc>
          <w:tcPr>
            <w:tcW w:type="dxa" w:w="4394"/>
          </w:tcPr>
          <w:p>
            <w:r/>
            <w:r>
              <w:rPr>
                <w:rFonts w:ascii="Times New Roman" w:hAnsi="Times New Roman"/>
                <w:b w:val="0"/>
                <w:sz w:val="19"/>
              </w:rPr>
              <w:t>Functional Mock-up Interface</w:t>
            </w:r>
          </w:p>
        </w:tc>
      </w:tr>
      <w:tr>
        <w:tc>
          <w:tcPr>
            <w:tcW w:type="dxa" w:w="4394"/>
          </w:tcPr>
          <w:p>
            <w:r/>
            <w:r>
              <w:rPr>
                <w:rFonts w:ascii="Times New Roman" w:hAnsi="Times New Roman"/>
                <w:b w:val="0"/>
                <w:sz w:val="19"/>
              </w:rPr>
              <w:t>FMU</w:t>
            </w:r>
          </w:p>
        </w:tc>
        <w:tc>
          <w:tcPr>
            <w:tcW w:type="dxa" w:w="4394"/>
          </w:tcPr>
          <w:p>
            <w:r/>
            <w:r>
              <w:rPr>
                <w:rFonts w:ascii="Times New Roman" w:hAnsi="Times New Roman"/>
                <w:b w:val="0"/>
                <w:sz w:val="19"/>
              </w:rPr>
              <w:t>Functional Mock-up Unit</w:t>
            </w:r>
          </w:p>
        </w:tc>
      </w:tr>
      <w:tr>
        <w:tc>
          <w:tcPr>
            <w:tcW w:type="dxa" w:w="4394"/>
          </w:tcPr>
          <w:p>
            <w:r/>
            <w:r>
              <w:rPr>
                <w:rFonts w:ascii="Times New Roman" w:hAnsi="Times New Roman"/>
                <w:b w:val="0"/>
                <w:sz w:val="19"/>
              </w:rPr>
              <w:t>GSN</w:t>
            </w:r>
          </w:p>
        </w:tc>
        <w:tc>
          <w:tcPr>
            <w:tcW w:type="dxa" w:w="4394"/>
          </w:tcPr>
          <w:p>
            <w:r/>
            <w:r>
              <w:rPr>
                <w:rFonts w:ascii="Times New Roman" w:hAnsi="Times New Roman"/>
                <w:b w:val="0"/>
                <w:sz w:val="19"/>
              </w:rPr>
              <w:t>Goal Structuring Notation</w:t>
            </w:r>
          </w:p>
        </w:tc>
      </w:tr>
      <w:tr>
        <w:tc>
          <w:tcPr>
            <w:tcW w:type="dxa" w:w="4394"/>
          </w:tcPr>
          <w:p>
            <w:r/>
            <w:r>
              <w:rPr>
                <w:rFonts w:ascii="Times New Roman" w:hAnsi="Times New Roman"/>
                <w:b w:val="0"/>
                <w:sz w:val="19"/>
              </w:rPr>
              <w:t>HIL</w:t>
            </w:r>
          </w:p>
        </w:tc>
        <w:tc>
          <w:tcPr>
            <w:tcW w:type="dxa" w:w="4394"/>
          </w:tcPr>
          <w:p>
            <w:r/>
            <w:r>
              <w:rPr>
                <w:rFonts w:ascii="Times New Roman" w:hAnsi="Times New Roman"/>
                <w:b w:val="0"/>
                <w:sz w:val="19"/>
              </w:rPr>
              <w:t>Hardware-in-the-Loop</w:t>
            </w:r>
          </w:p>
        </w:tc>
      </w:tr>
      <w:tr>
        <w:tc>
          <w:tcPr>
            <w:tcW w:type="dxa" w:w="4394"/>
          </w:tcPr>
          <w:p>
            <w:r/>
            <w:r>
              <w:rPr>
                <w:rFonts w:ascii="Times New Roman" w:hAnsi="Times New Roman"/>
                <w:b w:val="0"/>
                <w:sz w:val="19"/>
              </w:rPr>
              <w:t>IaC</w:t>
            </w:r>
          </w:p>
        </w:tc>
        <w:tc>
          <w:tcPr>
            <w:tcW w:type="dxa" w:w="4394"/>
          </w:tcPr>
          <w:p>
            <w:r/>
            <w:r>
              <w:rPr>
                <w:rFonts w:ascii="Times New Roman" w:hAnsi="Times New Roman"/>
                <w:b w:val="0"/>
                <w:sz w:val="19"/>
              </w:rPr>
              <w:t>Infrastructure as Code</w:t>
            </w:r>
          </w:p>
        </w:tc>
      </w:tr>
      <w:tr>
        <w:tc>
          <w:tcPr>
            <w:tcW w:type="dxa" w:w="4394"/>
          </w:tcPr>
          <w:p>
            <w:r/>
            <w:r>
              <w:rPr>
                <w:rFonts w:ascii="Times New Roman" w:hAnsi="Times New Roman"/>
                <w:b w:val="0"/>
                <w:sz w:val="19"/>
              </w:rPr>
              <w:t>IT</w:t>
            </w:r>
          </w:p>
        </w:tc>
        <w:tc>
          <w:tcPr>
            <w:tcW w:type="dxa" w:w="4394"/>
          </w:tcPr>
          <w:p>
            <w:r/>
            <w:r>
              <w:rPr>
                <w:rFonts w:ascii="Times New Roman" w:hAnsi="Times New Roman"/>
                <w:b w:val="0"/>
                <w:sz w:val="19"/>
              </w:rPr>
              <w:t>Information Technology</w:t>
            </w:r>
          </w:p>
        </w:tc>
      </w:tr>
      <w:tr>
        <w:tc>
          <w:tcPr>
            <w:tcW w:type="dxa" w:w="4394"/>
          </w:tcPr>
          <w:p>
            <w:r/>
            <w:r>
              <w:rPr>
                <w:rFonts w:ascii="Times New Roman" w:hAnsi="Times New Roman"/>
                <w:b w:val="0"/>
                <w:sz w:val="19"/>
              </w:rPr>
              <w:t>MAS</w:t>
            </w:r>
          </w:p>
        </w:tc>
        <w:tc>
          <w:tcPr>
            <w:tcW w:type="dxa" w:w="4394"/>
          </w:tcPr>
          <w:p>
            <w:r/>
            <w:r>
              <w:rPr>
                <w:rFonts w:ascii="Times New Roman" w:hAnsi="Times New Roman"/>
                <w:b w:val="0"/>
                <w:sz w:val="19"/>
              </w:rPr>
              <w:t>Multi-Agent System</w:t>
            </w:r>
          </w:p>
        </w:tc>
      </w:tr>
      <w:tr>
        <w:tc>
          <w:tcPr>
            <w:tcW w:type="dxa" w:w="4394"/>
          </w:tcPr>
          <w:p>
            <w:r/>
            <w:r>
              <w:rPr>
                <w:rFonts w:ascii="Times New Roman" w:hAnsi="Times New Roman"/>
                <w:b w:val="0"/>
                <w:sz w:val="19"/>
              </w:rPr>
              <w:t>MBD</w:t>
            </w:r>
          </w:p>
        </w:tc>
        <w:tc>
          <w:tcPr>
            <w:tcW w:type="dxa" w:w="4394"/>
          </w:tcPr>
          <w:p>
            <w:r/>
            <w:r>
              <w:rPr>
                <w:rFonts w:ascii="Times New Roman" w:hAnsi="Times New Roman"/>
                <w:b w:val="0"/>
                <w:sz w:val="19"/>
              </w:rPr>
              <w:t>Model-Based Design</w:t>
            </w:r>
          </w:p>
        </w:tc>
      </w:tr>
      <w:tr>
        <w:tc>
          <w:tcPr>
            <w:tcW w:type="dxa" w:w="4394"/>
          </w:tcPr>
          <w:p>
            <w:r/>
            <w:r>
              <w:rPr>
                <w:rFonts w:ascii="Times New Roman" w:hAnsi="Times New Roman"/>
                <w:b w:val="0"/>
                <w:sz w:val="19"/>
              </w:rPr>
              <w:t>MIL</w:t>
            </w:r>
          </w:p>
        </w:tc>
        <w:tc>
          <w:tcPr>
            <w:tcW w:type="dxa" w:w="4394"/>
          </w:tcPr>
          <w:p>
            <w:r/>
            <w:r>
              <w:rPr>
                <w:rFonts w:ascii="Times New Roman" w:hAnsi="Times New Roman"/>
                <w:b w:val="0"/>
                <w:sz w:val="19"/>
              </w:rPr>
              <w:t>Model-in-the-Loop</w:t>
            </w:r>
          </w:p>
        </w:tc>
      </w:tr>
      <w:tr>
        <w:tc>
          <w:tcPr>
            <w:tcW w:type="dxa" w:w="4394"/>
          </w:tcPr>
          <w:p>
            <w:r/>
            <w:r>
              <w:rPr>
                <w:rFonts w:ascii="Times New Roman" w:hAnsi="Times New Roman"/>
                <w:b w:val="0"/>
                <w:sz w:val="19"/>
              </w:rPr>
              <w:t>MPC</w:t>
            </w:r>
          </w:p>
        </w:tc>
        <w:tc>
          <w:tcPr>
            <w:tcW w:type="dxa" w:w="4394"/>
          </w:tcPr>
          <w:p>
            <w:r/>
            <w:r>
              <w:rPr>
                <w:rFonts w:ascii="Times New Roman" w:hAnsi="Times New Roman"/>
                <w:b w:val="0"/>
                <w:sz w:val="19"/>
              </w:rPr>
              <w:t>Model Predictive Control</w:t>
            </w:r>
          </w:p>
        </w:tc>
      </w:tr>
      <w:tr>
        <w:tc>
          <w:tcPr>
            <w:tcW w:type="dxa" w:w="4394"/>
          </w:tcPr>
          <w:p>
            <w:r/>
            <w:r>
              <w:rPr>
                <w:rFonts w:ascii="Times New Roman" w:hAnsi="Times New Roman"/>
                <w:b w:val="0"/>
                <w:sz w:val="19"/>
              </w:rPr>
              <w:t>ODD</w:t>
            </w:r>
          </w:p>
        </w:tc>
        <w:tc>
          <w:tcPr>
            <w:tcW w:type="dxa" w:w="4394"/>
          </w:tcPr>
          <w:p>
            <w:r/>
            <w:r>
              <w:rPr>
                <w:rFonts w:ascii="Times New Roman" w:hAnsi="Times New Roman"/>
                <w:b w:val="0"/>
                <w:sz w:val="19"/>
              </w:rPr>
              <w:t>Operational Design Domain</w:t>
            </w:r>
          </w:p>
        </w:tc>
      </w:tr>
      <w:tr>
        <w:tc>
          <w:tcPr>
            <w:tcW w:type="dxa" w:w="4394"/>
          </w:tcPr>
          <w:p>
            <w:r/>
            <w:r>
              <w:rPr>
                <w:rFonts w:ascii="Times New Roman" w:hAnsi="Times New Roman"/>
                <w:b w:val="0"/>
                <w:sz w:val="19"/>
              </w:rPr>
              <w:t>OPC UA</w:t>
            </w:r>
          </w:p>
        </w:tc>
        <w:tc>
          <w:tcPr>
            <w:tcW w:type="dxa" w:w="4394"/>
          </w:tcPr>
          <w:p>
            <w:r/>
            <w:r>
              <w:rPr>
                <w:rFonts w:ascii="Times New Roman" w:hAnsi="Times New Roman"/>
                <w:b w:val="0"/>
                <w:sz w:val="19"/>
              </w:rPr>
              <w:t>OPC Unified Architecture</w:t>
            </w:r>
          </w:p>
        </w:tc>
      </w:tr>
      <w:tr>
        <w:tc>
          <w:tcPr>
            <w:tcW w:type="dxa" w:w="4394"/>
          </w:tcPr>
          <w:p>
            <w:r/>
            <w:r>
              <w:rPr>
                <w:rFonts w:ascii="Times New Roman" w:hAnsi="Times New Roman"/>
                <w:b w:val="0"/>
                <w:sz w:val="19"/>
              </w:rPr>
              <w:t>OT</w:t>
            </w:r>
          </w:p>
        </w:tc>
        <w:tc>
          <w:tcPr>
            <w:tcW w:type="dxa" w:w="4394"/>
          </w:tcPr>
          <w:p>
            <w:r/>
            <w:r>
              <w:rPr>
                <w:rFonts w:ascii="Times New Roman" w:hAnsi="Times New Roman"/>
                <w:b w:val="0"/>
                <w:sz w:val="19"/>
              </w:rPr>
              <w:t>Operational Technology</w:t>
            </w:r>
          </w:p>
        </w:tc>
      </w:tr>
      <w:tr>
        <w:tc>
          <w:tcPr>
            <w:tcW w:type="dxa" w:w="4394"/>
          </w:tcPr>
          <w:p>
            <w:r/>
            <w:r>
              <w:rPr>
                <w:rFonts w:ascii="Times New Roman" w:hAnsi="Times New Roman"/>
                <w:b w:val="0"/>
                <w:sz w:val="19"/>
              </w:rPr>
              <w:t>OTA</w:t>
            </w:r>
          </w:p>
        </w:tc>
        <w:tc>
          <w:tcPr>
            <w:tcW w:type="dxa" w:w="4394"/>
          </w:tcPr>
          <w:p>
            <w:r/>
            <w:r>
              <w:rPr>
                <w:rFonts w:ascii="Times New Roman" w:hAnsi="Times New Roman"/>
                <w:b w:val="0"/>
                <w:sz w:val="19"/>
              </w:rPr>
              <w:t>Over-the-Air</w:t>
            </w:r>
          </w:p>
        </w:tc>
      </w:tr>
      <w:tr>
        <w:tc>
          <w:tcPr>
            <w:tcW w:type="dxa" w:w="4394"/>
          </w:tcPr>
          <w:p>
            <w:r/>
            <w:r>
              <w:rPr>
                <w:rFonts w:ascii="Times New Roman" w:hAnsi="Times New Roman"/>
                <w:b w:val="0"/>
                <w:sz w:val="19"/>
              </w:rPr>
              <w:t>QoS</w:t>
            </w:r>
          </w:p>
        </w:tc>
        <w:tc>
          <w:tcPr>
            <w:tcW w:type="dxa" w:w="4394"/>
          </w:tcPr>
          <w:p>
            <w:r/>
            <w:r>
              <w:rPr>
                <w:rFonts w:ascii="Times New Roman" w:hAnsi="Times New Roman"/>
                <w:b w:val="0"/>
                <w:sz w:val="19"/>
              </w:rPr>
              <w:t>Quality of Service</w:t>
            </w:r>
          </w:p>
        </w:tc>
      </w:tr>
      <w:tr>
        <w:tc>
          <w:tcPr>
            <w:tcW w:type="dxa" w:w="4394"/>
          </w:tcPr>
          <w:p>
            <w:r/>
            <w:r>
              <w:rPr>
                <w:rFonts w:ascii="Times New Roman" w:hAnsi="Times New Roman"/>
                <w:b w:val="0"/>
                <w:sz w:val="19"/>
              </w:rPr>
              <w:t>SIL</w:t>
            </w:r>
          </w:p>
        </w:tc>
        <w:tc>
          <w:tcPr>
            <w:tcW w:type="dxa" w:w="4394"/>
          </w:tcPr>
          <w:p>
            <w:r/>
            <w:r>
              <w:rPr>
                <w:rFonts w:ascii="Times New Roman" w:hAnsi="Times New Roman"/>
                <w:b w:val="0"/>
                <w:sz w:val="19"/>
              </w:rPr>
              <w:t>Software-in-the-Loop</w:t>
            </w:r>
          </w:p>
        </w:tc>
      </w:tr>
      <w:tr>
        <w:tc>
          <w:tcPr>
            <w:tcW w:type="dxa" w:w="4394"/>
          </w:tcPr>
          <w:p>
            <w:r/>
            <w:r>
              <w:rPr>
                <w:rFonts w:ascii="Times New Roman" w:hAnsi="Times New Roman"/>
                <w:b w:val="0"/>
                <w:sz w:val="19"/>
              </w:rPr>
              <w:t>SOTIF</w:t>
            </w:r>
          </w:p>
        </w:tc>
        <w:tc>
          <w:tcPr>
            <w:tcW w:type="dxa" w:w="4394"/>
          </w:tcPr>
          <w:p>
            <w:r/>
            <w:r>
              <w:rPr>
                <w:rFonts w:ascii="Times New Roman" w:hAnsi="Times New Roman"/>
                <w:b w:val="0"/>
                <w:sz w:val="19"/>
              </w:rPr>
              <w:t>Safety of the Intended Functionality</w:t>
            </w:r>
          </w:p>
        </w:tc>
      </w:tr>
      <w:tr>
        <w:tc>
          <w:tcPr>
            <w:tcW w:type="dxa" w:w="4394"/>
          </w:tcPr>
          <w:p>
            <w:r/>
            <w:r>
              <w:rPr>
                <w:rFonts w:ascii="Times New Roman" w:hAnsi="Times New Roman"/>
                <w:b w:val="0"/>
                <w:sz w:val="19"/>
              </w:rPr>
              <w:t>XIL</w:t>
            </w:r>
          </w:p>
        </w:tc>
        <w:tc>
          <w:tcPr>
            <w:tcW w:type="dxa" w:w="4394"/>
          </w:tcPr>
          <w:p>
            <w:r/>
            <w:r>
              <w:rPr>
                <w:rFonts w:ascii="Times New Roman" w:hAnsi="Times New Roman"/>
                <w:b w:val="0"/>
                <w:sz w:val="19"/>
              </w:rPr>
              <w:t>X-in-the-Loop (collective term for MIL, SIL, and HIL)</w:t>
            </w:r>
          </w:p>
        </w:tc>
      </w:tr>
    </w:tbl>
    <w:p>
      <w:r>
        <w:br w:type="page"/>
      </w:r>
    </w:p>
    <w:p>
      <w:pPr>
        <w:pStyle w:val="Heading1"/>
      </w:pPr>
      <w:r>
        <w:t>5   General requirements</w:t>
      </w:r>
    </w:p>
    <w:p>
      <w:pPr>
        <w:pStyle w:val="Heading2"/>
      </w:pPr>
      <w:r>
        <w:t>5.1   System architecture</w:t>
      </w:r>
    </w:p>
    <w:p>
      <w:r>
        <w:rPr>
          <w:rFonts w:ascii="Times New Roman" w:hAnsi="Times New Roman"/>
          <w:b w:val="0"/>
          <w:i w:val="0"/>
          <w:sz w:val="22"/>
        </w:rPr>
        <w:t>The water network intelligent regulation and control system shall adopt a “SCADA (foundation layer) + MAS (intelligence layer)” dual-layer integration architecture. SCADA serves as the system’s actuator layer, responsible for data acquisition, hard interlock protection, and actuator driving. MAS serves as the cognitive decision layer in the form of a distributed software-defined supervisory system, responsible for state reconstruction, optimization, and coordinated control. The two layers shall communicate through standardized interfaces, forming a “dual-layer, dual-speed” operating mode.</w:t>
      </w:r>
    </w:p>
    <w:p>
      <w:r>
        <w:rPr>
          <w:rFonts w:ascii="Times New Roman" w:hAnsi="Times New Roman"/>
          <w:b w:val="0"/>
          <w:i w:val="0"/>
          <w:sz w:val="22"/>
        </w:rPr>
        <w:t>The system shall be organized into three hierarchical tiers, as specified in Table 1.</w:t>
      </w:r>
    </w:p>
    <w:p>
      <w:pPr>
        <w:jc w:val="center"/>
      </w:pPr>
      <w:r>
        <w:rPr>
          <w:rFonts w:ascii="Times New Roman" w:hAnsi="Times New Roman"/>
          <w:b/>
          <w:i w:val="0"/>
          <w:sz w:val="22"/>
        </w:rPr>
        <w:t>Table 1 — System architecture tiers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
              <w:rPr>
                <w:rFonts w:ascii="Times New Roman" w:hAnsi="Times New Roman"/>
                <w:b/>
                <w:sz w:val="19"/>
              </w:rPr>
              <w:t>Tier</w:t>
            </w:r>
          </w:p>
        </w:tc>
        <w:tc>
          <w:tcPr>
            <w:tcW w:type="dxa" w:w="2197"/>
            <w:shd w:fill="D9E2F3"/>
          </w:tcPr>
          <w:p>
            <w:pPr>
              <w:jc w:val="center"/>
            </w:pPr>
            <w:r/>
            <w:r>
              <w:rPr>
                <w:rFonts w:ascii="Times New Roman" w:hAnsi="Times New Roman"/>
                <w:b/>
                <w:sz w:val="19"/>
              </w:rPr>
              <w:t>Name</w:t>
            </w:r>
          </w:p>
        </w:tc>
        <w:tc>
          <w:tcPr>
            <w:tcW w:type="dxa" w:w="2197"/>
            <w:shd w:fill="D9E2F3"/>
          </w:tcPr>
          <w:p>
            <w:pPr>
              <w:jc w:val="center"/>
            </w:pPr>
            <w:r/>
            <w:r>
              <w:rPr>
                <w:rFonts w:ascii="Times New Roman" w:hAnsi="Times New Roman"/>
                <w:b/>
                <w:sz w:val="19"/>
              </w:rPr>
              <w:t>Deployment</w:t>
            </w:r>
          </w:p>
        </w:tc>
        <w:tc>
          <w:tcPr>
            <w:tcW w:type="dxa" w:w="2197"/>
            <w:shd w:fill="D9E2F3"/>
          </w:tcPr>
          <w:p>
            <w:pPr>
              <w:jc w:val="center"/>
            </w:pPr>
            <w:r/>
            <w:r>
              <w:rPr>
                <w:rFonts w:ascii="Times New Roman" w:hAnsi="Times New Roman"/>
                <w:b/>
                <w:sz w:val="19"/>
              </w:rPr>
              <w:t>Responsibilities and requirements</w:t>
            </w:r>
          </w:p>
        </w:tc>
      </w:tr>
      <w:tr>
        <w:tc>
          <w:tcPr>
            <w:tcW w:type="dxa" w:w="2197"/>
          </w:tcPr>
          <w:p>
            <w:pPr>
              <w:jc w:val="center"/>
            </w:pPr>
            <w:r/>
            <w:r>
              <w:rPr>
                <w:rFonts w:ascii="Times New Roman" w:hAnsi="Times New Roman"/>
                <w:b w:val="0"/>
                <w:sz w:val="19"/>
              </w:rPr>
              <w:t>L0</w:t>
            </w:r>
          </w:p>
        </w:tc>
        <w:tc>
          <w:tcPr>
            <w:tcW w:type="dxa" w:w="2197"/>
          </w:tcPr>
          <w:p>
            <w:r/>
            <w:r>
              <w:rPr>
                <w:rFonts w:ascii="Times New Roman" w:hAnsi="Times New Roman"/>
                <w:b w:val="0"/>
                <w:sz w:val="19"/>
              </w:rPr>
              <w:t>Local control tier</w:t>
              <w:br/>
              <w:t>(SCADA/PLC)</w:t>
            </w:r>
          </w:p>
        </w:tc>
        <w:tc>
          <w:tcPr>
            <w:tcW w:type="dxa" w:w="2197"/>
          </w:tcPr>
          <w:p>
            <w:r/>
            <w:r>
              <w:rPr>
                <w:rFonts w:ascii="Times New Roman" w:hAnsi="Times New Roman"/>
                <w:b w:val="0"/>
                <w:sz w:val="19"/>
              </w:rPr>
              <w:t>Field PLC</w:t>
              <w:br/>
              <w:t>cabinets</w:t>
            </w:r>
          </w:p>
        </w:tc>
        <w:tc>
          <w:tcPr>
            <w:tcW w:type="dxa" w:w="2197"/>
          </w:tcPr>
          <w:p>
            <w:r/>
            <w:r>
              <w:rPr>
                <w:rFonts w:ascii="Times New Roman" w:hAnsi="Times New Roman"/>
                <w:b w:val="0"/>
                <w:sz w:val="19"/>
              </w:rPr>
              <w:t>Millisecond-level data acquisition, single-point PID control, electrical protection, hard interlock protection. Compliant with IEC 61131-3. SCADA retains veto authority — any instruction violating hard constraints shall be physically intercepted</w:t>
            </w:r>
          </w:p>
        </w:tc>
      </w:tr>
      <w:tr>
        <w:tc>
          <w:tcPr>
            <w:tcW w:type="dxa" w:w="2197"/>
          </w:tcPr>
          <w:p>
            <w:pPr>
              <w:jc w:val="center"/>
            </w:pPr>
            <w:r/>
            <w:r>
              <w:rPr>
                <w:rFonts w:ascii="Times New Roman" w:hAnsi="Times New Roman"/>
                <w:b w:val="0"/>
                <w:sz w:val="19"/>
              </w:rPr>
              <w:t>L1</w:t>
            </w:r>
          </w:p>
        </w:tc>
        <w:tc>
          <w:tcPr>
            <w:tcW w:type="dxa" w:w="2197"/>
          </w:tcPr>
          <w:p>
            <w:r/>
            <w:r>
              <w:rPr>
                <w:rFonts w:ascii="Times New Roman" w:hAnsi="Times New Roman"/>
                <w:b w:val="0"/>
                <w:sz w:val="19"/>
              </w:rPr>
              <w:t>Regional control tier</w:t>
              <w:br/>
              <w:t>(Edge/Area MAS)</w:t>
            </w:r>
          </w:p>
        </w:tc>
        <w:tc>
          <w:tcPr>
            <w:tcW w:type="dxa" w:w="2197"/>
          </w:tcPr>
          <w:p>
            <w:r/>
            <w:r>
              <w:rPr>
                <w:rFonts w:ascii="Times New Roman" w:hAnsi="Times New Roman"/>
                <w:b w:val="0"/>
                <w:sz w:val="19"/>
              </w:rPr>
              <w:t>Edge gateways /</w:t>
              <w:br/>
              <w:t>office servers</w:t>
            </w:r>
          </w:p>
        </w:tc>
        <w:tc>
          <w:tcPr>
            <w:tcW w:type="dxa" w:w="2197"/>
          </w:tcPr>
          <w:p>
            <w:r/>
            <w:r>
              <w:rPr>
                <w:rFonts w:ascii="Times New Roman" w:hAnsi="Times New Roman"/>
                <w:b w:val="0"/>
                <w:sz w:val="19"/>
              </w:rPr>
              <w:t>Edge agents: single-station real-time closed-loop control. Area agents: regional DMPC coordination. Deployed on OT network. Control cycle: minutes to hours</w:t>
            </w:r>
          </w:p>
        </w:tc>
      </w:tr>
      <w:tr>
        <w:tc>
          <w:tcPr>
            <w:tcW w:type="dxa" w:w="2197"/>
          </w:tcPr>
          <w:p>
            <w:pPr>
              <w:jc w:val="center"/>
            </w:pPr>
            <w:r/>
            <w:r>
              <w:rPr>
                <w:rFonts w:ascii="Times New Roman" w:hAnsi="Times New Roman"/>
                <w:b w:val="0"/>
                <w:sz w:val="19"/>
              </w:rPr>
              <w:t>L2</w:t>
            </w:r>
          </w:p>
        </w:tc>
        <w:tc>
          <w:tcPr>
            <w:tcW w:type="dxa" w:w="2197"/>
          </w:tcPr>
          <w:p>
            <w:r/>
            <w:r>
              <w:rPr>
                <w:rFonts w:ascii="Times New Roman" w:hAnsi="Times New Roman"/>
                <w:b w:val="0"/>
                <w:sz w:val="19"/>
              </w:rPr>
              <w:t>Global dispatch tier</w:t>
              <w:br/>
              <w:t>(Cloud MAS)</w:t>
            </w:r>
          </w:p>
        </w:tc>
        <w:tc>
          <w:tcPr>
            <w:tcW w:type="dxa" w:w="2197"/>
          </w:tcPr>
          <w:p>
            <w:r/>
            <w:r>
              <w:rPr>
                <w:rFonts w:ascii="Times New Roman" w:hAnsi="Times New Roman"/>
                <w:b w:val="0"/>
                <w:sz w:val="19"/>
              </w:rPr>
              <w:t>Cloud</w:t>
              <w:br/>
              <w:t>containers</w:t>
            </w:r>
          </w:p>
        </w:tc>
        <w:tc>
          <w:tcPr>
            <w:tcW w:type="dxa" w:w="2197"/>
          </w:tcPr>
          <w:p>
            <w:r/>
            <w:r>
              <w:rPr>
                <w:rFonts w:ascii="Times New Roman" w:hAnsi="Times New Roman"/>
                <w:b w:val="0"/>
                <w:sz w:val="19"/>
              </w:rPr>
              <w:t>Network-wide resource optimization and long-cycle dispatch. Deployed on IT network. Cycle: days to months. Cloud agents shall not issue direct control commands — only dispatch recommendations</w:t>
            </w:r>
          </w:p>
        </w:tc>
      </w:tr>
    </w:tbl>
    <w:p>
      <w:r>
        <w:rPr>
          <w:rFonts w:ascii="Times New Roman" w:hAnsi="Times New Roman"/>
          <w:b w:val="0"/>
          <w:i w:val="0"/>
          <w:sz w:val="22"/>
        </w:rPr>
        <w:t>The interaction rules between tiers shall satisfy the following requirements:</w:t>
      </w:r>
    </w:p>
    <w:p>
      <w:pPr>
        <w:pStyle w:val="ListBullet"/>
      </w:pPr>
      <w:r>
        <w:rPr>
          <w:rFonts w:ascii="Times New Roman" w:hAnsi="Times New Roman"/>
          <w:sz w:val="22"/>
        </w:rPr>
        <w:t>upper tiers shall issue control targets (set-points) to lower tiers, and lower tiers shall provide operational state feedback to upper tiers;</w:t>
      </w:r>
    </w:p>
    <w:p>
      <w:pPr>
        <w:pStyle w:val="ListBullet"/>
      </w:pPr>
      <w:r>
        <w:rPr>
          <w:rFonts w:ascii="Times New Roman" w:hAnsi="Times New Roman"/>
          <w:sz w:val="22"/>
        </w:rPr>
        <w:t>each tier shall possess independent safety degradation capability; when upper-tier communication is interrupted, the lower tier shall autonomously enter a safe state;</w:t>
      </w:r>
    </w:p>
    <w:p>
      <w:pPr>
        <w:pStyle w:val="ListBullet"/>
      </w:pPr>
      <w:r>
        <w:rPr>
          <w:rFonts w:ascii="Times New Roman" w:hAnsi="Times New Roman"/>
          <w:sz w:val="22"/>
        </w:rPr>
        <w:t>the L0 tier (SCADA) shall have ultimate veto authority over MAS instructions; any instruction violating hard constraints shall be intercepted at the SCADA layer.</w:t>
      </w:r>
    </w:p>
    <w:p>
      <w:pPr>
        <w:pStyle w:val="Heading2"/>
      </w:pPr>
      <w:r>
        <w:t>5.2   SCADA and MAS integration interface</w:t>
      </w:r>
    </w:p>
    <w:p>
      <w:r>
        <w:rPr>
          <w:rFonts w:ascii="Times New Roman" w:hAnsi="Times New Roman"/>
          <w:b w:val="0"/>
          <w:i w:val="0"/>
          <w:sz w:val="22"/>
        </w:rPr>
        <w:t>SCADA and MAS belong to two heterogeneous domains (OT and IT). OPC UA (IEC 62541) shall be adopted as the integration bridge. The integration interface shall satisfy the following requirements:</w:t>
      </w:r>
    </w:p>
    <w:p>
      <w:pPr>
        <w:pStyle w:val="ListBullet"/>
      </w:pPr>
      <w:r>
        <w:rPr>
          <w:rFonts w:ascii="Times New Roman" w:hAnsi="Times New Roman"/>
          <w:sz w:val="22"/>
        </w:rPr>
        <w:t>Semantic mapping: MAS shall not directly read/write SCADA register addresses. Instead, it shall read/write semanticized object attributes via the OPC UA information model (e.g., Pump_01.Flow.SetPoint). A complete machine-readable mapping table from SCADA tags to Water-CIM objects shall be delivered as part of engineering acceptance.</w:t>
      </w:r>
    </w:p>
    <w:p>
      <w:pPr>
        <w:pStyle w:val="ListBullet"/>
      </w:pPr>
      <w:r>
        <w:rPr>
          <w:rFonts w:ascii="Times New Roman" w:hAnsi="Times New Roman"/>
          <w:sz w:val="22"/>
        </w:rPr>
        <w:t>Set-point driven paradigm: MAS shall not directly operate actuator digital outputs (DO). It shall only issue target set-point values via OPC UA. The SCADA layer shall be responsible for actuator driving and safety verification.</w:t>
      </w:r>
    </w:p>
    <w:p>
      <w:pPr>
        <w:pStyle w:val="ListBullet"/>
      </w:pPr>
      <w:r>
        <w:rPr>
          <w:rFonts w:ascii="Times New Roman" w:hAnsi="Times New Roman"/>
          <w:sz w:val="22"/>
        </w:rPr>
        <w:t>Heartbeat and circuit breaker: MAS shall transmit periodic heartbeat signals to SCADA. If the heartbeat times out (default threshold: 500 ms), SCADA shall automatically revoke MAS control authority and revert to local rule-based control.</w:t>
      </w:r>
    </w:p>
    <w:p>
      <w:pPr>
        <w:pStyle w:val="ListBullet"/>
      </w:pPr>
      <w:r>
        <w:rPr>
          <w:rFonts w:ascii="Times New Roman" w:hAnsi="Times New Roman"/>
          <w:sz w:val="22"/>
        </w:rPr>
        <w:t>Authority levels: The system shall support three levels of control authority — “local manual / edge automatic / cloud advisory” — with local manual always having the highest priority.</w:t>
      </w:r>
    </w:p>
    <w:p>
      <w:pPr>
        <w:pStyle w:val="Heading2"/>
      </w:pPr>
      <w:r>
        <w:t>5.3   Model-based design (MBD) paradigm</w:t>
      </w:r>
    </w:p>
    <w:p>
      <w:r>
        <w:rPr>
          <w:rFonts w:ascii="Times New Roman" w:hAnsi="Times New Roman"/>
          <w:b w:val="0"/>
          <w:i w:val="0"/>
          <w:sz w:val="22"/>
        </w:rPr>
        <w:t>Water network control systems with an autonomy level of L2 or above shall adopt the model-based design (MBD) paradigm for developing their core control logic. The MBD paradigm shall satisfy the following requirements:</w:t>
      </w:r>
    </w:p>
    <w:p>
      <w:pPr>
        <w:pStyle w:val="ListBullet"/>
      </w:pPr>
      <w:r>
        <w:rPr>
          <w:rFonts w:ascii="Times New Roman" w:hAnsi="Times New Roman"/>
          <w:sz w:val="22"/>
        </w:rPr>
        <w:t>requirements shall be expressed as executable specifications, including mathematically defined ODDs, formalized constraint conditions, and computable control objectives;</w:t>
      </w:r>
    </w:p>
    <w:p>
      <w:pPr>
        <w:pStyle w:val="ListBullet"/>
      </w:pPr>
      <w:r>
        <w:rPr>
          <w:rFonts w:ascii="Times New Roman" w:hAnsi="Times New Roman"/>
          <w:sz w:val="22"/>
        </w:rPr>
        <w:t>verified control models shall be automatically translated into deployable code through industrial-standard code generators; core control logic shall not be hand-coded;</w:t>
      </w:r>
    </w:p>
    <w:p>
      <w:pPr>
        <w:pStyle w:val="ListBullet"/>
      </w:pPr>
      <w:r>
        <w:rPr>
          <w:rFonts w:ascii="Times New Roman" w:hAnsi="Times New Roman"/>
          <w:sz w:val="22"/>
        </w:rPr>
        <w:t>the same model shall be used throughout MIL, SIL, and HIL testing — the model used during design shall directly serve verification and ultimately generate operational code;</w:t>
      </w:r>
    </w:p>
    <w:p>
      <w:pPr>
        <w:pStyle w:val="ListBullet"/>
      </w:pPr>
      <w:r>
        <w:rPr>
          <w:rFonts w:ascii="Times New Roman" w:hAnsi="Times New Roman"/>
          <w:sz w:val="22"/>
        </w:rPr>
        <w:t>each model shall possess a unique version identifier and strong hash value, ensuring that online operational code is traceable to its source model.</w:t>
      </w:r>
    </w:p>
    <w:p>
      <w:pPr>
        <w:ind w:left="567"/>
      </w:pPr>
      <w:r>
        <w:rPr>
          <w:rFonts w:ascii="Times New Roman" w:hAnsi="Times New Roman"/>
          <w:i w:val="0"/>
          <w:sz w:val="20"/>
        </w:rPr>
        <w:t>NOTE   L1 systems should adopt the MBD paradigm but this is not mandatory.</w:t>
      </w:r>
    </w:p>
    <w:p>
      <w:pPr>
        <w:pStyle w:val="Heading2"/>
      </w:pPr>
      <w:r>
        <w:t>5.4   Fundamental safety requirements</w:t>
      </w:r>
    </w:p>
    <w:p>
      <w:r>
        <w:rPr>
          <w:rFonts w:ascii="Times New Roman" w:hAnsi="Times New Roman"/>
          <w:b w:val="0"/>
          <w:i w:val="0"/>
          <w:sz w:val="22"/>
        </w:rPr>
        <w:t>The water network intelligent regulation and control system shall comply with the following safety principles:</w:t>
      </w:r>
    </w:p>
    <w:p>
      <w:pPr>
        <w:pStyle w:val="ListBullet"/>
      </w:pPr>
      <w:r>
        <w:rPr>
          <w:rFonts w:ascii="Times New Roman" w:hAnsi="Times New Roman"/>
          <w:sz w:val="22"/>
        </w:rPr>
        <w:t>Safety-first principle: Hard constraint protection shall be independent of intelligent control algorithms. SCADA-layer hard interlock protection shall operate independently of MAS.</w:t>
      </w:r>
    </w:p>
    <w:p>
      <w:pPr>
        <w:pStyle w:val="ListBullet"/>
      </w:pPr>
      <w:r>
        <w:rPr>
          <w:rFonts w:ascii="Times New Roman" w:hAnsi="Times New Roman"/>
          <w:sz w:val="22"/>
        </w:rPr>
        <w:t>Fail-safe principle: No single fault (sensor failure, communication interruption, algorithm divergence, MAS crash) shall cause the system to enter an unsafe state.</w:t>
      </w:r>
    </w:p>
    <w:p>
      <w:pPr>
        <w:pStyle w:val="ListBullet"/>
      </w:pPr>
      <w:r>
        <w:rPr>
          <w:rFonts w:ascii="Times New Roman" w:hAnsi="Times New Roman"/>
          <w:sz w:val="22"/>
        </w:rPr>
        <w:t>Observability principle: Critical decision processes shall be recordable, traceable, and explainable. Every MAS control instruction shall have an audit log.</w:t>
      </w:r>
    </w:p>
    <w:p>
      <w:pPr>
        <w:pStyle w:val="ListBullet"/>
      </w:pPr>
      <w:r>
        <w:rPr>
          <w:rFonts w:ascii="Times New Roman" w:hAnsi="Times New Roman"/>
          <w:sz w:val="22"/>
        </w:rPr>
        <w:t>Human takeover principle: Systems at L4 or below shall allow safe human takeover at any time.</w:t>
      </w:r>
    </w:p>
    <w:p>
      <w:pPr>
        <w:pStyle w:val="Heading1"/>
      </w:pPr>
      <w:r>
        <w:t>6   Autonomy levels for water network operations</w:t>
      </w:r>
    </w:p>
    <w:p>
      <w:pPr>
        <w:pStyle w:val="Heading2"/>
      </w:pPr>
      <w:r>
        <w:t>6.1   Level framework</w:t>
      </w:r>
    </w:p>
    <w:p>
      <w:r>
        <w:rPr>
          <w:rFonts w:ascii="Times New Roman" w:hAnsi="Times New Roman"/>
          <w:b w:val="0"/>
          <w:i w:val="0"/>
          <w:sz w:val="22"/>
        </w:rPr>
        <w:t>The autonomous operation capability of a water network control system shall be classified into six levels, L0 through L5. The core classification dimension is the allocation of responsibility between humans and machines across the perception–decision–execution chain. The detailed definition of each level is given in Table 2.</w:t>
      </w:r>
    </w:p>
    <w:p>
      <w:pPr>
        <w:jc w:val="center"/>
      </w:pPr>
      <w:r>
        <w:rPr>
          <w:rFonts w:ascii="Times New Roman" w:hAnsi="Times New Roman"/>
          <w:b/>
          <w:i w:val="0"/>
          <w:sz w:val="22"/>
        </w:rPr>
        <w:t>Table 2 — Water network autonomy levels</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D9E2F3"/>
          </w:tcPr>
          <w:p>
            <w:pPr>
              <w:jc w:val="center"/>
            </w:pPr>
            <w:r/>
            <w:r>
              <w:rPr>
                <w:rFonts w:ascii="Times New Roman" w:hAnsi="Times New Roman"/>
                <w:b/>
                <w:sz w:val="19"/>
              </w:rPr>
              <w:t>Level</w:t>
            </w:r>
          </w:p>
        </w:tc>
        <w:tc>
          <w:tcPr>
            <w:tcW w:type="dxa" w:w="1098"/>
            <w:shd w:fill="D9E2F3"/>
          </w:tcPr>
          <w:p>
            <w:pPr>
              <w:jc w:val="center"/>
            </w:pPr>
            <w:r/>
            <w:r>
              <w:rPr>
                <w:rFonts w:ascii="Times New Roman" w:hAnsi="Times New Roman"/>
                <w:b/>
                <w:sz w:val="19"/>
              </w:rPr>
              <w:t>Name</w:t>
            </w:r>
          </w:p>
        </w:tc>
        <w:tc>
          <w:tcPr>
            <w:tcW w:type="dxa" w:w="1098"/>
            <w:shd w:fill="D9E2F3"/>
          </w:tcPr>
          <w:p>
            <w:pPr>
              <w:jc w:val="center"/>
            </w:pPr>
            <w:r/>
            <w:r>
              <w:rPr>
                <w:rFonts w:ascii="Times New Roman" w:hAnsi="Times New Roman"/>
                <w:b/>
                <w:sz w:val="19"/>
              </w:rPr>
              <w:t>Perception</w:t>
            </w:r>
          </w:p>
        </w:tc>
        <w:tc>
          <w:tcPr>
            <w:tcW w:type="dxa" w:w="1098"/>
            <w:shd w:fill="D9E2F3"/>
          </w:tcPr>
          <w:p>
            <w:pPr>
              <w:jc w:val="center"/>
            </w:pPr>
            <w:r/>
            <w:r>
              <w:rPr>
                <w:rFonts w:ascii="Times New Roman" w:hAnsi="Times New Roman"/>
                <w:b/>
                <w:sz w:val="19"/>
              </w:rPr>
              <w:t>Decision</w:t>
            </w:r>
          </w:p>
        </w:tc>
        <w:tc>
          <w:tcPr>
            <w:tcW w:type="dxa" w:w="1098"/>
            <w:shd w:fill="D9E2F3"/>
          </w:tcPr>
          <w:p>
            <w:pPr>
              <w:jc w:val="center"/>
            </w:pPr>
            <w:r/>
            <w:r>
              <w:rPr>
                <w:rFonts w:ascii="Times New Roman" w:hAnsi="Times New Roman"/>
                <w:b/>
                <w:sz w:val="19"/>
              </w:rPr>
              <w:t>Execution</w:t>
            </w:r>
          </w:p>
        </w:tc>
        <w:tc>
          <w:tcPr>
            <w:tcW w:type="dxa" w:w="1098"/>
            <w:shd w:fill="D9E2F3"/>
          </w:tcPr>
          <w:p>
            <w:pPr>
              <w:jc w:val="center"/>
            </w:pPr>
            <w:r/>
            <w:r>
              <w:rPr>
                <w:rFonts w:ascii="Times New Roman" w:hAnsi="Times New Roman"/>
                <w:b/>
                <w:sz w:val="19"/>
              </w:rPr>
              <w:t>Fault response</w:t>
            </w:r>
          </w:p>
        </w:tc>
        <w:tc>
          <w:tcPr>
            <w:tcW w:type="dxa" w:w="1098"/>
            <w:shd w:fill="D9E2F3"/>
          </w:tcPr>
          <w:p>
            <w:pPr>
              <w:jc w:val="center"/>
            </w:pPr>
            <w:r/>
            <w:r>
              <w:rPr>
                <w:rFonts w:ascii="Times New Roman" w:hAnsi="Times New Roman"/>
                <w:b/>
                <w:sz w:val="19"/>
              </w:rPr>
              <w:t>Human role</w:t>
            </w:r>
          </w:p>
        </w:tc>
        <w:tc>
          <w:tcPr>
            <w:tcW w:type="dxa" w:w="1098"/>
            <w:shd w:fill="D9E2F3"/>
          </w:tcPr>
          <w:p>
            <w:pPr>
              <w:jc w:val="center"/>
            </w:pPr>
            <w:r/>
            <w:r>
              <w:rPr>
                <w:rFonts w:ascii="Times New Roman" w:hAnsi="Times New Roman"/>
                <w:b/>
                <w:sz w:val="19"/>
              </w:rPr>
              <w:t>MAS configuration</w:t>
            </w:r>
          </w:p>
        </w:tc>
      </w:tr>
      <w:tr>
        <w:tc>
          <w:tcPr>
            <w:tcW w:type="dxa" w:w="1098"/>
          </w:tcPr>
          <w:p>
            <w:pPr>
              <w:jc w:val="center"/>
            </w:pPr>
            <w:r/>
            <w:r>
              <w:rPr>
                <w:rFonts w:ascii="Times New Roman" w:hAnsi="Times New Roman"/>
                <w:b w:val="0"/>
                <w:sz w:val="19"/>
              </w:rPr>
              <w:t>L0</w:t>
            </w:r>
          </w:p>
        </w:tc>
        <w:tc>
          <w:tcPr>
            <w:tcW w:type="dxa" w:w="1098"/>
          </w:tcPr>
          <w:p>
            <w:r/>
            <w:r>
              <w:rPr>
                <w:rFonts w:ascii="Times New Roman" w:hAnsi="Times New Roman"/>
                <w:b w:val="0"/>
                <w:sz w:val="19"/>
              </w:rPr>
              <w:t>Manual</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Full responsibility</w:t>
            </w:r>
          </w:p>
        </w:tc>
        <w:tc>
          <w:tcPr>
            <w:tcW w:type="dxa" w:w="1098"/>
          </w:tcPr>
          <w:p>
            <w:r/>
            <w:r>
              <w:rPr>
                <w:rFonts w:ascii="Times New Roman" w:hAnsi="Times New Roman"/>
                <w:b w:val="0"/>
                <w:sz w:val="19"/>
              </w:rPr>
              <w:t>None</w:t>
            </w:r>
          </w:p>
        </w:tc>
      </w:tr>
      <w:tr>
        <w:tc>
          <w:tcPr>
            <w:tcW w:type="dxa" w:w="1098"/>
          </w:tcPr>
          <w:p>
            <w:pPr>
              <w:jc w:val="center"/>
            </w:pPr>
            <w:r/>
            <w:r>
              <w:rPr>
                <w:rFonts w:ascii="Times New Roman" w:hAnsi="Times New Roman"/>
                <w:b w:val="0"/>
                <w:sz w:val="19"/>
              </w:rPr>
              <w:t>L1</w:t>
            </w:r>
          </w:p>
        </w:tc>
        <w:tc>
          <w:tcPr>
            <w:tcW w:type="dxa" w:w="1098"/>
          </w:tcPr>
          <w:p>
            <w:r/>
            <w:r>
              <w:rPr>
                <w:rFonts w:ascii="Times New Roman" w:hAnsi="Times New Roman"/>
                <w:b w:val="0"/>
                <w:sz w:val="19"/>
              </w:rPr>
              <w:t>Assisted</w:t>
            </w:r>
          </w:p>
        </w:tc>
        <w:tc>
          <w:tcPr>
            <w:tcW w:type="dxa" w:w="1098"/>
          </w:tcPr>
          <w:p>
            <w:r/>
            <w:r>
              <w:rPr>
                <w:rFonts w:ascii="Times New Roman" w:hAnsi="Times New Roman"/>
                <w:b w:val="0"/>
                <w:sz w:val="19"/>
              </w:rPr>
              <w:t>Human+System</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Decision-maker</w:t>
            </w:r>
          </w:p>
        </w:tc>
        <w:tc>
          <w:tcPr>
            <w:tcW w:type="dxa" w:w="1098"/>
          </w:tcPr>
          <w:p>
            <w:r/>
            <w:r>
              <w:rPr>
                <w:rFonts w:ascii="Times New Roman" w:hAnsi="Times New Roman"/>
                <w:b w:val="0"/>
                <w:sz w:val="19"/>
              </w:rPr>
              <w:t>Cloud advisory</w:t>
            </w:r>
          </w:p>
        </w:tc>
      </w:tr>
      <w:tr>
        <w:tc>
          <w:tcPr>
            <w:tcW w:type="dxa" w:w="1098"/>
          </w:tcPr>
          <w:p>
            <w:pPr>
              <w:jc w:val="center"/>
            </w:pPr>
            <w:r/>
            <w:r>
              <w:rPr>
                <w:rFonts w:ascii="Times New Roman" w:hAnsi="Times New Roman"/>
                <w:b w:val="0"/>
                <w:sz w:val="19"/>
              </w:rPr>
              <w:t>L2</w:t>
            </w:r>
          </w:p>
        </w:tc>
        <w:tc>
          <w:tcPr>
            <w:tcW w:type="dxa" w:w="1098"/>
          </w:tcPr>
          <w:p>
            <w:r/>
            <w:r>
              <w:rPr>
                <w:rFonts w:ascii="Times New Roman" w:hAnsi="Times New Roman"/>
                <w:b w:val="0"/>
                <w:sz w:val="19"/>
              </w:rPr>
              <w:t>Partial automation</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Human</w:t>
            </w:r>
          </w:p>
        </w:tc>
        <w:tc>
          <w:tcPr>
            <w:tcW w:type="dxa" w:w="1098"/>
          </w:tcPr>
          <w:p>
            <w:r/>
            <w:r>
              <w:rPr>
                <w:rFonts w:ascii="Times New Roman" w:hAnsi="Times New Roman"/>
                <w:b w:val="0"/>
                <w:sz w:val="19"/>
              </w:rPr>
              <w:t>Supervisor</w:t>
            </w:r>
          </w:p>
        </w:tc>
        <w:tc>
          <w:tcPr>
            <w:tcW w:type="dxa" w:w="1098"/>
          </w:tcPr>
          <w:p>
            <w:r/>
            <w:r>
              <w:rPr>
                <w:rFonts w:ascii="Times New Roman" w:hAnsi="Times New Roman"/>
                <w:b w:val="0"/>
                <w:sz w:val="19"/>
              </w:rPr>
              <w:t>Edge closed-loop</w:t>
            </w:r>
          </w:p>
        </w:tc>
      </w:tr>
      <w:tr>
        <w:tc>
          <w:tcPr>
            <w:tcW w:type="dxa" w:w="1098"/>
          </w:tcPr>
          <w:p>
            <w:pPr>
              <w:jc w:val="center"/>
            </w:pPr>
            <w:r/>
            <w:r>
              <w:rPr>
                <w:rFonts w:ascii="Times New Roman" w:hAnsi="Times New Roman"/>
                <w:b w:val="0"/>
                <w:sz w:val="19"/>
              </w:rPr>
              <w:t>L3</w:t>
            </w:r>
          </w:p>
        </w:tc>
        <w:tc>
          <w:tcPr>
            <w:tcW w:type="dxa" w:w="1098"/>
          </w:tcPr>
          <w:p>
            <w:r/>
            <w:r>
              <w:rPr>
                <w:rFonts w:ascii="Times New Roman" w:hAnsi="Times New Roman"/>
                <w:b w:val="0"/>
                <w:sz w:val="19"/>
              </w:rPr>
              <w:t>Conditional autonomy</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System→Human</w:t>
            </w:r>
          </w:p>
        </w:tc>
        <w:tc>
          <w:tcPr>
            <w:tcW w:type="dxa" w:w="1098"/>
          </w:tcPr>
          <w:p>
            <w:r/>
            <w:r>
              <w:rPr>
                <w:rFonts w:ascii="Times New Roman" w:hAnsi="Times New Roman"/>
                <w:b w:val="0"/>
                <w:sz w:val="19"/>
              </w:rPr>
              <w:t>Fallback takeover</w:t>
            </w:r>
          </w:p>
        </w:tc>
        <w:tc>
          <w:tcPr>
            <w:tcW w:type="dxa" w:w="1098"/>
          </w:tcPr>
          <w:p>
            <w:r/>
            <w:r>
              <w:rPr>
                <w:rFonts w:ascii="Times New Roman" w:hAnsi="Times New Roman"/>
                <w:b w:val="0"/>
                <w:sz w:val="19"/>
              </w:rPr>
              <w:t>Edge + Area</w:t>
            </w:r>
          </w:p>
        </w:tc>
      </w:tr>
      <w:tr>
        <w:tc>
          <w:tcPr>
            <w:tcW w:type="dxa" w:w="1098"/>
          </w:tcPr>
          <w:p>
            <w:pPr>
              <w:jc w:val="center"/>
            </w:pPr>
            <w:r/>
            <w:r>
              <w:rPr>
                <w:rFonts w:ascii="Times New Roman" w:hAnsi="Times New Roman"/>
                <w:b w:val="0"/>
                <w:sz w:val="19"/>
              </w:rPr>
              <w:t>L4</w:t>
            </w:r>
          </w:p>
        </w:tc>
        <w:tc>
          <w:tcPr>
            <w:tcW w:type="dxa" w:w="1098"/>
          </w:tcPr>
          <w:p>
            <w:r/>
            <w:r>
              <w:rPr>
                <w:rFonts w:ascii="Times New Roman" w:hAnsi="Times New Roman"/>
                <w:b w:val="0"/>
                <w:sz w:val="19"/>
              </w:rPr>
              <w:t>High autonomy</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Exception handler</w:t>
            </w:r>
          </w:p>
        </w:tc>
        <w:tc>
          <w:tcPr>
            <w:tcW w:type="dxa" w:w="1098"/>
          </w:tcPr>
          <w:p>
            <w:r/>
            <w:r>
              <w:rPr>
                <w:rFonts w:ascii="Times New Roman" w:hAnsi="Times New Roman"/>
                <w:b w:val="0"/>
                <w:sz w:val="19"/>
              </w:rPr>
              <w:t>Full-tier coordination</w:t>
            </w:r>
          </w:p>
        </w:tc>
      </w:tr>
      <w:tr>
        <w:tc>
          <w:tcPr>
            <w:tcW w:type="dxa" w:w="1098"/>
          </w:tcPr>
          <w:p>
            <w:pPr>
              <w:jc w:val="center"/>
            </w:pPr>
            <w:r/>
            <w:r>
              <w:rPr>
                <w:rFonts w:ascii="Times New Roman" w:hAnsi="Times New Roman"/>
                <w:b w:val="0"/>
                <w:sz w:val="19"/>
              </w:rPr>
              <w:t>L5</w:t>
            </w:r>
          </w:p>
        </w:tc>
        <w:tc>
          <w:tcPr>
            <w:tcW w:type="dxa" w:w="1098"/>
          </w:tcPr>
          <w:p>
            <w:r/>
            <w:r>
              <w:rPr>
                <w:rFonts w:ascii="Times New Roman" w:hAnsi="Times New Roman"/>
                <w:b w:val="0"/>
                <w:sz w:val="19"/>
              </w:rPr>
              <w:t>Full autonomy</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System</w:t>
            </w:r>
          </w:p>
        </w:tc>
        <w:tc>
          <w:tcPr>
            <w:tcW w:type="dxa" w:w="1098"/>
          </w:tcPr>
          <w:p>
            <w:r/>
            <w:r>
              <w:rPr>
                <w:rFonts w:ascii="Times New Roman" w:hAnsi="Times New Roman"/>
                <w:b w:val="0"/>
                <w:sz w:val="19"/>
              </w:rPr>
              <w:t>Not required</w:t>
            </w:r>
          </w:p>
        </w:tc>
        <w:tc>
          <w:tcPr>
            <w:tcW w:type="dxa" w:w="1098"/>
          </w:tcPr>
          <w:p>
            <w:r/>
            <w:r>
              <w:rPr>
                <w:rFonts w:ascii="Times New Roman" w:hAnsi="Times New Roman"/>
                <w:b w:val="0"/>
                <w:sz w:val="19"/>
              </w:rPr>
              <w:t>Full-tier coordination</w:t>
            </w:r>
          </w:p>
        </w:tc>
      </w:tr>
    </w:tbl>
    <w:p>
      <w:pPr>
        <w:pStyle w:val="Heading2"/>
      </w:pPr>
      <w:r>
        <w:t>6.2   Level determination rules</w:t>
      </w:r>
    </w:p>
    <w:p>
      <w:r>
        <w:rPr>
          <w:rFonts w:ascii="Times New Roman" w:hAnsi="Times New Roman"/>
          <w:b w:val="0"/>
          <w:i w:val="0"/>
          <w:sz w:val="22"/>
        </w:rPr>
        <w:t>The autonomy level of a system shall be determined according to the “bucket principle”: the level shall be set by the lowest-performing dimension among perception, decision, execution, and fault response.</w:t>
      </w:r>
    </w:p>
    <w:p>
      <w:pPr>
        <w:ind w:left="567"/>
      </w:pPr>
      <w:r>
        <w:rPr>
          <w:rFonts w:ascii="Times New Roman" w:hAnsi="Times New Roman"/>
          <w:sz w:val="20"/>
        </w:rPr>
        <w:t>EXAMPLE   If decision-making and execution have both achieved automation but fault response still relies on human intervention, the system level shall be determined as L2, not L3.</w:t>
      </w:r>
    </w:p>
    <w:p>
      <w:pPr>
        <w:pStyle w:val="Heading2"/>
      </w:pPr>
      <w:r>
        <w:t>6.3   Level declaration requirements</w:t>
      </w:r>
    </w:p>
    <w:p>
      <w:r>
        <w:rPr>
          <w:rFonts w:ascii="Times New Roman" w:hAnsi="Times New Roman"/>
          <w:b w:val="0"/>
          <w:i w:val="0"/>
          <w:sz w:val="22"/>
        </w:rPr>
        <w:t>At system delivery, the constructor shall explicitly declare the system’s autonomy level and provide supporting evidence. The declaration shall include:</w:t>
      </w:r>
    </w:p>
    <w:p>
      <w:pPr>
        <w:pStyle w:val="ListBullet"/>
      </w:pPr>
      <w:r>
        <w:rPr>
          <w:rFonts w:ascii="Times New Roman" w:hAnsi="Times New Roman"/>
          <w:sz w:val="22"/>
        </w:rPr>
        <w:t>the declared autonomy level (L0–L5);</w:t>
      </w:r>
    </w:p>
    <w:p>
      <w:pPr>
        <w:pStyle w:val="ListBullet"/>
      </w:pPr>
      <w:r>
        <w:rPr>
          <w:rFonts w:ascii="Times New Roman" w:hAnsi="Times New Roman"/>
          <w:sz w:val="22"/>
        </w:rPr>
        <w:t>a complete ODD description corresponding to the declared level;</w:t>
      </w:r>
    </w:p>
    <w:p>
      <w:pPr>
        <w:pStyle w:val="ListBullet"/>
      </w:pPr>
      <w:r>
        <w:rPr>
          <w:rFonts w:ascii="Times New Roman" w:hAnsi="Times New Roman"/>
          <w:sz w:val="22"/>
        </w:rPr>
        <w:t>implementation details for each dimension (perception, decision, execution, fault response), including the corresponding MAS deployment configuration;</w:t>
      </w:r>
    </w:p>
    <w:p>
      <w:pPr>
        <w:pStyle w:val="ListBullet"/>
      </w:pPr>
      <w:r>
        <w:rPr>
          <w:rFonts w:ascii="Times New Roman" w:hAnsi="Times New Roman"/>
          <w:sz w:val="22"/>
        </w:rPr>
        <w:t>the degradation strategy when the ODD is exceeded, including the MAS-to-SCADA control authority reversion plan.</w:t>
      </w:r>
    </w:p>
    <w:p>
      <w:pPr>
        <w:pStyle w:val="Heading1"/>
      </w:pPr>
      <w:r>
        <w:t>7   Operational design domain (ODD)</w:t>
      </w:r>
    </w:p>
    <w:p>
      <w:pPr>
        <w:pStyle w:val="Heading2"/>
      </w:pPr>
      <w:r>
        <w:t>7.1   ODD definition requirements</w:t>
      </w:r>
    </w:p>
    <w:p>
      <w:r>
        <w:rPr>
          <w:rFonts w:ascii="Times New Roman" w:hAnsi="Times New Roman"/>
          <w:b w:val="0"/>
          <w:i w:val="0"/>
          <w:sz w:val="22"/>
        </w:rPr>
        <w:t>Each intelligent regulation and control system shall clearly define its operational design domain. The ODD shall be defined as a computable mathematical set and shall not be expressed solely in natural language. The ODD shall cover at least the dimensions specified in Table 3.</w:t>
      </w:r>
    </w:p>
    <w:p>
      <w:pPr>
        <w:jc w:val="center"/>
      </w:pPr>
      <w:r>
        <w:rPr>
          <w:rFonts w:ascii="Times New Roman" w:hAnsi="Times New Roman"/>
          <w:b/>
          <w:i w:val="0"/>
          <w:sz w:val="22"/>
        </w:rPr>
        <w:t>Table 3 — ODD parameter dimensions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19"/>
              </w:rPr>
              <w:t>Dimension</w:t>
            </w:r>
          </w:p>
        </w:tc>
        <w:tc>
          <w:tcPr>
            <w:tcW w:type="dxa" w:w="2929"/>
            <w:shd w:fill="D9E2F3"/>
          </w:tcPr>
          <w:p>
            <w:pPr>
              <w:jc w:val="center"/>
            </w:pPr>
            <w:r/>
            <w:r>
              <w:rPr>
                <w:rFonts w:ascii="Times New Roman" w:hAnsi="Times New Roman"/>
                <w:b/>
                <w:sz w:val="19"/>
              </w:rPr>
              <w:t>Name</w:t>
            </w:r>
          </w:p>
        </w:tc>
        <w:tc>
          <w:tcPr>
            <w:tcW w:type="dxa" w:w="2929"/>
            <w:shd w:fill="D9E2F3"/>
          </w:tcPr>
          <w:p>
            <w:pPr>
              <w:jc w:val="center"/>
            </w:pPr>
            <w:r/>
            <w:r>
              <w:rPr>
                <w:rFonts w:ascii="Times New Roman" w:hAnsi="Times New Roman"/>
                <w:b/>
                <w:sz w:val="19"/>
              </w:rPr>
              <w:t>Example parameters</w:t>
            </w:r>
          </w:p>
        </w:tc>
      </w:tr>
      <w:tr>
        <w:tc>
          <w:tcPr>
            <w:tcW w:type="dxa" w:w="2929"/>
          </w:tcPr>
          <w:p>
            <w:pPr>
              <w:jc w:val="center"/>
            </w:pPr>
            <w:r/>
            <w:r>
              <w:rPr>
                <w:rFonts w:ascii="Times New Roman" w:hAnsi="Times New Roman"/>
                <w:b w:val="0"/>
                <w:sz w:val="19"/>
              </w:rPr>
              <w:t>D1</w:t>
            </w:r>
          </w:p>
        </w:tc>
        <w:tc>
          <w:tcPr>
            <w:tcW w:type="dxa" w:w="2929"/>
          </w:tcPr>
          <w:p>
            <w:r/>
            <w:r>
              <w:rPr>
                <w:rFonts w:ascii="Times New Roman" w:hAnsi="Times New Roman"/>
                <w:b w:val="0"/>
                <w:sz w:val="19"/>
              </w:rPr>
              <w:t>Hydraulic boundary</w:t>
            </w:r>
          </w:p>
        </w:tc>
        <w:tc>
          <w:tcPr>
            <w:tcW w:type="dxa" w:w="2929"/>
          </w:tcPr>
          <w:p>
            <w:r/>
            <w:r>
              <w:rPr>
                <w:rFonts w:ascii="Times New Roman" w:hAnsi="Times New Roman"/>
                <w:b w:val="0"/>
                <w:sz w:val="19"/>
              </w:rPr>
              <w:t>Upstream inflow range, downstream water level range, initial reservoir storage, channel roughness range</w:t>
            </w:r>
          </w:p>
        </w:tc>
      </w:tr>
      <w:tr>
        <w:tc>
          <w:tcPr>
            <w:tcW w:type="dxa" w:w="2929"/>
          </w:tcPr>
          <w:p>
            <w:pPr>
              <w:jc w:val="center"/>
            </w:pPr>
            <w:r/>
            <w:r>
              <w:rPr>
                <w:rFonts w:ascii="Times New Roman" w:hAnsi="Times New Roman"/>
                <w:b w:val="0"/>
                <w:sz w:val="19"/>
              </w:rPr>
              <w:t>D2</w:t>
            </w:r>
          </w:p>
        </w:tc>
        <w:tc>
          <w:tcPr>
            <w:tcW w:type="dxa" w:w="2929"/>
          </w:tcPr>
          <w:p>
            <w:r/>
            <w:r>
              <w:rPr>
                <w:rFonts w:ascii="Times New Roman" w:hAnsi="Times New Roman"/>
                <w:b w:val="0"/>
                <w:sz w:val="19"/>
              </w:rPr>
              <w:t>Meteorology and environment</w:t>
            </w:r>
          </w:p>
        </w:tc>
        <w:tc>
          <w:tcPr>
            <w:tcW w:type="dxa" w:w="2929"/>
          </w:tcPr>
          <w:p>
            <w:r/>
            <w:r>
              <w:rPr>
                <w:rFonts w:ascii="Times New Roman" w:hAnsi="Times New Roman"/>
                <w:b w:val="0"/>
                <w:sz w:val="19"/>
              </w:rPr>
              <w:t>Temperature range, rainfall intensity, ice-period support, wind speed limits</w:t>
            </w:r>
          </w:p>
        </w:tc>
      </w:tr>
      <w:tr>
        <w:tc>
          <w:tcPr>
            <w:tcW w:type="dxa" w:w="2929"/>
          </w:tcPr>
          <w:p>
            <w:pPr>
              <w:jc w:val="center"/>
            </w:pPr>
            <w:r/>
            <w:r>
              <w:rPr>
                <w:rFonts w:ascii="Times New Roman" w:hAnsi="Times New Roman"/>
                <w:b w:val="0"/>
                <w:sz w:val="19"/>
              </w:rPr>
              <w:t>D3</w:t>
            </w:r>
          </w:p>
        </w:tc>
        <w:tc>
          <w:tcPr>
            <w:tcW w:type="dxa" w:w="2929"/>
          </w:tcPr>
          <w:p>
            <w:r/>
            <w:r>
              <w:rPr>
                <w:rFonts w:ascii="Times New Roman" w:hAnsi="Times New Roman"/>
                <w:b w:val="0"/>
                <w:sz w:val="19"/>
              </w:rPr>
              <w:t>Sensor configuration</w:t>
            </w:r>
          </w:p>
        </w:tc>
        <w:tc>
          <w:tcPr>
            <w:tcW w:type="dxa" w:w="2929"/>
          </w:tcPr>
          <w:p>
            <w:r/>
            <w:r>
              <w:rPr>
                <w:rFonts w:ascii="Times New Roman" w:hAnsi="Times New Roman"/>
                <w:b w:val="0"/>
                <w:sz w:val="19"/>
              </w:rPr>
              <w:t>Available sensor types and quantities, sampling frequency, maximum tolerable failed sensors</w:t>
            </w:r>
          </w:p>
        </w:tc>
      </w:tr>
      <w:tr>
        <w:tc>
          <w:tcPr>
            <w:tcW w:type="dxa" w:w="2929"/>
          </w:tcPr>
          <w:p>
            <w:pPr>
              <w:jc w:val="center"/>
            </w:pPr>
            <w:r/>
            <w:r>
              <w:rPr>
                <w:rFonts w:ascii="Times New Roman" w:hAnsi="Times New Roman"/>
                <w:b w:val="0"/>
                <w:sz w:val="19"/>
              </w:rPr>
              <w:t>D4</w:t>
            </w:r>
          </w:p>
        </w:tc>
        <w:tc>
          <w:tcPr>
            <w:tcW w:type="dxa" w:w="2929"/>
          </w:tcPr>
          <w:p>
            <w:r/>
            <w:r>
              <w:rPr>
                <w:rFonts w:ascii="Times New Roman" w:hAnsi="Times New Roman"/>
                <w:b w:val="0"/>
                <w:sz w:val="19"/>
              </w:rPr>
              <w:t>Communication state</w:t>
            </w:r>
          </w:p>
        </w:tc>
        <w:tc>
          <w:tcPr>
            <w:tcW w:type="dxa" w:w="2929"/>
          </w:tcPr>
          <w:p>
            <w:r/>
            <w:r>
              <w:rPr>
                <w:rFonts w:ascii="Times New Roman" w:hAnsi="Times New Roman"/>
                <w:b w:val="0"/>
                <w:sz w:val="19"/>
              </w:rPr>
              <w:t>Network latency upper bound, allowable packet loss rate, minimum bandwidth, OT–IT link availability</w:t>
            </w:r>
          </w:p>
        </w:tc>
      </w:tr>
      <w:tr>
        <w:tc>
          <w:tcPr>
            <w:tcW w:type="dxa" w:w="2929"/>
          </w:tcPr>
          <w:p>
            <w:pPr>
              <w:jc w:val="center"/>
            </w:pPr>
            <w:r/>
            <w:r>
              <w:rPr>
                <w:rFonts w:ascii="Times New Roman" w:hAnsi="Times New Roman"/>
                <w:b w:val="0"/>
                <w:sz w:val="19"/>
              </w:rPr>
              <w:t>D5</w:t>
            </w:r>
          </w:p>
        </w:tc>
        <w:tc>
          <w:tcPr>
            <w:tcW w:type="dxa" w:w="2929"/>
          </w:tcPr>
          <w:p>
            <w:r/>
            <w:r>
              <w:rPr>
                <w:rFonts w:ascii="Times New Roman" w:hAnsi="Times New Roman"/>
                <w:b w:val="0"/>
                <w:sz w:val="19"/>
              </w:rPr>
              <w:t>Actuator state</w:t>
            </w:r>
          </w:p>
        </w:tc>
        <w:tc>
          <w:tcPr>
            <w:tcW w:type="dxa" w:w="2929"/>
          </w:tcPr>
          <w:p>
            <w:r/>
            <w:r>
              <w:rPr>
                <w:rFonts w:ascii="Times New Roman" w:hAnsi="Times New Roman"/>
                <w:b w:val="0"/>
                <w:sz w:val="19"/>
              </w:rPr>
              <w:t>Gate/pump availability ratio, response time upper bound, maximum simultaneous failed actuators</w:t>
            </w:r>
          </w:p>
        </w:tc>
      </w:tr>
      <w:tr>
        <w:tc>
          <w:tcPr>
            <w:tcW w:type="dxa" w:w="2929"/>
          </w:tcPr>
          <w:p>
            <w:pPr>
              <w:jc w:val="center"/>
            </w:pPr>
            <w:r/>
            <w:r>
              <w:rPr>
                <w:rFonts w:ascii="Times New Roman" w:hAnsi="Times New Roman"/>
                <w:b w:val="0"/>
                <w:sz w:val="19"/>
              </w:rPr>
              <w:t>D6</w:t>
            </w:r>
          </w:p>
        </w:tc>
        <w:tc>
          <w:tcPr>
            <w:tcW w:type="dxa" w:w="2929"/>
          </w:tcPr>
          <w:p>
            <w:r/>
            <w:r>
              <w:rPr>
                <w:rFonts w:ascii="Times New Roman" w:hAnsi="Times New Roman"/>
                <w:b w:val="0"/>
                <w:sz w:val="19"/>
              </w:rPr>
              <w:t>Demand and dispatch</w:t>
            </w:r>
          </w:p>
        </w:tc>
        <w:tc>
          <w:tcPr>
            <w:tcW w:type="dxa" w:w="2929"/>
          </w:tcPr>
          <w:p>
            <w:r/>
            <w:r>
              <w:rPr>
                <w:rFonts w:ascii="Times New Roman" w:hAnsi="Times New Roman"/>
                <w:b w:val="0"/>
                <w:sz w:val="19"/>
              </w:rPr>
              <w:t>Downstream water demand range, dispatch regulation constraints, joint dispatch protocols</w:t>
            </w:r>
          </w:p>
        </w:tc>
      </w:tr>
    </w:tbl>
    <w:p>
      <w:pPr>
        <w:pStyle w:val="Heading2"/>
      </w:pPr>
      <w:r>
        <w:t>7.2   ODD boundary monitoring</w:t>
      </w:r>
    </w:p>
    <w:p>
      <w:r>
        <w:rPr>
          <w:rFonts w:ascii="Times New Roman" w:hAnsi="Times New Roman"/>
          <w:b w:val="0"/>
          <w:i w:val="0"/>
          <w:sz w:val="22"/>
        </w:rPr>
        <w:t>The system shall be capable of real-time monitoring of whether current operating conditions are within the ODD. When any dimension parameter is detected to exceed the ODD boundary, the system shall execute the degradation strategy within a specified time. The degradation strategy shall define:</w:t>
      </w:r>
    </w:p>
    <w:p>
      <w:pPr>
        <w:pStyle w:val="ListBullet"/>
      </w:pPr>
      <w:r>
        <w:rPr>
          <w:rFonts w:ascii="Times New Roman" w:hAnsi="Times New Roman"/>
          <w:sz w:val="22"/>
        </w:rPr>
        <w:t>trigger conditions (which parameters exceeding which thresholds);</w:t>
      </w:r>
    </w:p>
    <w:p>
      <w:pPr>
        <w:pStyle w:val="ListBullet"/>
      </w:pPr>
      <w:r>
        <w:rPr>
          <w:rFonts w:ascii="Times New Roman" w:hAnsi="Times New Roman"/>
          <w:sz w:val="22"/>
        </w:rPr>
        <w:t>target degradation level and corresponding MAS control authority changes (e.g., Cloud MAS → Edge MAS → SCADA local control);</w:t>
      </w:r>
    </w:p>
    <w:p>
      <w:pPr>
        <w:pStyle w:val="ListBullet"/>
      </w:pPr>
      <w:r>
        <w:rPr>
          <w:rFonts w:ascii="Times New Roman" w:hAnsi="Times New Roman"/>
          <w:sz w:val="22"/>
        </w:rPr>
        <w:t>degradation transition time window;</w:t>
      </w:r>
    </w:p>
    <w:p>
      <w:pPr>
        <w:pStyle w:val="ListBullet"/>
      </w:pPr>
      <w:r>
        <w:rPr>
          <w:rFonts w:ascii="Times New Roman" w:hAnsi="Times New Roman"/>
          <w:sz w:val="22"/>
        </w:rPr>
        <w:t>control strategy during degradation;</w:t>
      </w:r>
    </w:p>
    <w:p>
      <w:pPr>
        <w:pStyle w:val="ListBullet"/>
      </w:pPr>
      <w:r>
        <w:rPr>
          <w:rFonts w:ascii="Times New Roman" w:hAnsi="Times New Roman"/>
          <w:sz w:val="22"/>
        </w:rPr>
        <w:t>operator alerting method and information content.</w:t>
      </w:r>
    </w:p>
    <w:p>
      <w:pPr>
        <w:pStyle w:val="Heading2"/>
      </w:pPr>
      <w:r>
        <w:t>7.3   ODD expansion and modification</w:t>
      </w:r>
    </w:p>
    <w:p>
      <w:r>
        <w:rPr>
          <w:rFonts w:ascii="Times New Roman" w:hAnsi="Times New Roman"/>
          <w:b w:val="0"/>
          <w:i w:val="0"/>
          <w:sz w:val="22"/>
        </w:rPr>
        <w:t>After system commissioning, any ODD expansion (e.g., adding ice-period operation capability, expanding flow range) shall be classified as a Class A change and shall require complete XIL retesting and third-party review before deployment. ODD changes shall produce complete change audit records.</w:t>
      </w:r>
    </w:p>
    <w:p>
      <w:pPr>
        <w:pStyle w:val="Heading1"/>
      </w:pPr>
      <w:r>
        <w:t>8   Multi-network coordinated security</w:t>
      </w:r>
    </w:p>
    <w:p>
      <w:pPr>
        <w:pStyle w:val="Heading2"/>
      </w:pPr>
      <w:r>
        <w:t>8.1   Network zoning</w:t>
      </w:r>
    </w:p>
    <w:p>
      <w:r>
        <w:rPr>
          <w:rFonts w:ascii="Times New Roman" w:hAnsi="Times New Roman"/>
          <w:b w:val="0"/>
          <w:i w:val="0"/>
          <w:sz w:val="22"/>
        </w:rPr>
        <w:t>Following the zoning principles of IEC 62443, the water network shall be divided into the security zones specified in Table 4, with MAS component deployment rules defined for each zone.</w:t>
      </w:r>
    </w:p>
    <w:p>
      <w:pPr>
        <w:jc w:val="center"/>
      </w:pPr>
      <w:r>
        <w:rPr>
          <w:rFonts w:ascii="Times New Roman" w:hAnsi="Times New Roman"/>
          <w:b/>
          <w:i w:val="0"/>
          <w:sz w:val="22"/>
        </w:rPr>
        <w:t>Table 4 — Network security zone definitions and MAS deployment rules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
              <w:rPr>
                <w:rFonts w:ascii="Times New Roman" w:hAnsi="Times New Roman"/>
                <w:b/>
                <w:sz w:val="19"/>
              </w:rPr>
              <w:t>Zone</w:t>
            </w:r>
          </w:p>
        </w:tc>
        <w:tc>
          <w:tcPr>
            <w:tcW w:type="dxa" w:w="2197"/>
            <w:shd w:fill="D9E2F3"/>
          </w:tcPr>
          <w:p>
            <w:pPr>
              <w:jc w:val="center"/>
            </w:pPr>
            <w:r/>
            <w:r>
              <w:rPr>
                <w:rFonts w:ascii="Times New Roman" w:hAnsi="Times New Roman"/>
                <w:b/>
                <w:sz w:val="19"/>
              </w:rPr>
              <w:t>Name</w:t>
            </w:r>
          </w:p>
        </w:tc>
        <w:tc>
          <w:tcPr>
            <w:tcW w:type="dxa" w:w="2197"/>
            <w:shd w:fill="D9E2F3"/>
          </w:tcPr>
          <w:p>
            <w:pPr>
              <w:jc w:val="center"/>
            </w:pPr>
            <w:r/>
            <w:r>
              <w:rPr>
                <w:rFonts w:ascii="Times New Roman" w:hAnsi="Times New Roman"/>
                <w:b/>
                <w:sz w:val="19"/>
              </w:rPr>
              <w:t>Deployed components</w:t>
            </w:r>
          </w:p>
        </w:tc>
        <w:tc>
          <w:tcPr>
            <w:tcW w:type="dxa" w:w="2197"/>
            <w:shd w:fill="D9E2F3"/>
          </w:tcPr>
          <w:p>
            <w:pPr>
              <w:jc w:val="center"/>
            </w:pPr>
            <w:r/>
            <w:r>
              <w:rPr>
                <w:rFonts w:ascii="Times New Roman" w:hAnsi="Times New Roman"/>
                <w:b/>
                <w:sz w:val="19"/>
              </w:rPr>
              <w:t>Security requirements</w:t>
            </w:r>
          </w:p>
        </w:tc>
      </w:tr>
      <w:tr>
        <w:tc>
          <w:tcPr>
            <w:tcW w:type="dxa" w:w="2197"/>
          </w:tcPr>
          <w:p>
            <w:pPr>
              <w:jc w:val="center"/>
            </w:pPr>
            <w:r/>
            <w:r>
              <w:rPr>
                <w:rFonts w:ascii="Times New Roman" w:hAnsi="Times New Roman"/>
                <w:b w:val="0"/>
                <w:sz w:val="19"/>
              </w:rPr>
              <w:t>Zone 0/1</w:t>
            </w:r>
          </w:p>
        </w:tc>
        <w:tc>
          <w:tcPr>
            <w:tcW w:type="dxa" w:w="2197"/>
          </w:tcPr>
          <w:p>
            <w:r/>
            <w:r>
              <w:rPr>
                <w:rFonts w:ascii="Times New Roman" w:hAnsi="Times New Roman"/>
                <w:b w:val="0"/>
                <w:sz w:val="19"/>
              </w:rPr>
              <w:t>Field control zone</w:t>
            </w:r>
          </w:p>
        </w:tc>
        <w:tc>
          <w:tcPr>
            <w:tcW w:type="dxa" w:w="2197"/>
          </w:tcPr>
          <w:p>
            <w:r/>
            <w:r>
              <w:rPr>
                <w:rFonts w:ascii="Times New Roman" w:hAnsi="Times New Roman"/>
                <w:b w:val="0"/>
                <w:sz w:val="19"/>
              </w:rPr>
              <w:t>PLCs, sensors, RTUs</w:t>
            </w:r>
          </w:p>
        </w:tc>
        <w:tc>
          <w:tcPr>
            <w:tcW w:type="dxa" w:w="2197"/>
          </w:tcPr>
          <w:p>
            <w:r/>
            <w:r>
              <w:rPr>
                <w:rFonts w:ascii="Times New Roman" w:hAnsi="Times New Roman"/>
                <w:b w:val="0"/>
                <w:sz w:val="19"/>
              </w:rPr>
              <w:t>MAS shall not directly access this zone; all access shall be through SCADA gateways</w:t>
            </w:r>
          </w:p>
        </w:tc>
      </w:tr>
      <w:tr>
        <w:tc>
          <w:tcPr>
            <w:tcW w:type="dxa" w:w="2197"/>
          </w:tcPr>
          <w:p>
            <w:pPr>
              <w:jc w:val="center"/>
            </w:pPr>
            <w:r/>
            <w:r>
              <w:rPr>
                <w:rFonts w:ascii="Times New Roman" w:hAnsi="Times New Roman"/>
                <w:b w:val="0"/>
                <w:sz w:val="19"/>
              </w:rPr>
              <w:t>Zone 2</w:t>
            </w:r>
          </w:p>
        </w:tc>
        <w:tc>
          <w:tcPr>
            <w:tcW w:type="dxa" w:w="2197"/>
          </w:tcPr>
          <w:p>
            <w:r/>
            <w:r>
              <w:rPr>
                <w:rFonts w:ascii="Times New Roman" w:hAnsi="Times New Roman"/>
                <w:b w:val="0"/>
                <w:sz w:val="19"/>
              </w:rPr>
              <w:t>Process monitoring zone</w:t>
              <w:br/>
              <w:t>(OT network)</w:t>
            </w:r>
          </w:p>
        </w:tc>
        <w:tc>
          <w:tcPr>
            <w:tcW w:type="dxa" w:w="2197"/>
          </w:tcPr>
          <w:p>
            <w:r/>
            <w:r>
              <w:rPr>
                <w:rFonts w:ascii="Times New Roman" w:hAnsi="Times New Roman"/>
                <w:b w:val="0"/>
                <w:sz w:val="19"/>
              </w:rPr>
              <w:t>Edge agents,</w:t>
              <w:br/>
              <w:t>Area agents</w:t>
            </w:r>
          </w:p>
        </w:tc>
        <w:tc>
          <w:tcPr>
            <w:tcW w:type="dxa" w:w="2197"/>
          </w:tcPr>
          <w:p>
            <w:r/>
            <w:r>
              <w:rPr>
                <w:rFonts w:ascii="Times New Roman" w:hAnsi="Times New Roman"/>
                <w:b w:val="0"/>
                <w:sz w:val="19"/>
              </w:rPr>
              <w:t>Fibre-optic ring network, physically isolated, internet connection strictly prohibited. Carries MAS–SCADA command exchange and inter-agent DMPC negotiation</w:t>
            </w:r>
          </w:p>
        </w:tc>
      </w:tr>
      <w:tr>
        <w:tc>
          <w:tcPr>
            <w:tcW w:type="dxa" w:w="2197"/>
          </w:tcPr>
          <w:p>
            <w:pPr>
              <w:jc w:val="center"/>
            </w:pPr>
            <w:r/>
            <w:r>
              <w:rPr>
                <w:rFonts w:ascii="Times New Roman" w:hAnsi="Times New Roman"/>
                <w:b w:val="0"/>
                <w:sz w:val="19"/>
              </w:rPr>
              <w:t>Zone 3</w:t>
            </w:r>
          </w:p>
        </w:tc>
        <w:tc>
          <w:tcPr>
            <w:tcW w:type="dxa" w:w="2197"/>
          </w:tcPr>
          <w:p>
            <w:r/>
            <w:r>
              <w:rPr>
                <w:rFonts w:ascii="Times New Roman" w:hAnsi="Times New Roman"/>
                <w:b w:val="0"/>
                <w:sz w:val="19"/>
              </w:rPr>
              <w:t>Production management</w:t>
              <w:br/>
              <w:t>zone (DMZ)</w:t>
            </w:r>
          </w:p>
        </w:tc>
        <w:tc>
          <w:tcPr>
            <w:tcW w:type="dxa" w:w="2197"/>
          </w:tcPr>
          <w:p>
            <w:r/>
            <w:r>
              <w:rPr>
                <w:rFonts w:ascii="Times New Roman" w:hAnsi="Times New Roman"/>
                <w:b w:val="0"/>
                <w:sz w:val="19"/>
              </w:rPr>
              <w:t>Data gateways,</w:t>
              <w:br/>
              <w:t>isolation devices</w:t>
            </w:r>
          </w:p>
        </w:tc>
        <w:tc>
          <w:tcPr>
            <w:tcW w:type="dxa" w:w="2197"/>
          </w:tcPr>
          <w:p>
            <w:r/>
            <w:r>
              <w:rPr>
                <w:rFonts w:ascii="Times New Roman" w:hAnsi="Times New Roman"/>
                <w:b w:val="0"/>
                <w:sz w:val="19"/>
              </w:rPr>
              <w:t>Security filtering and audit for cross-network data exchange</w:t>
            </w:r>
          </w:p>
        </w:tc>
      </w:tr>
      <w:tr>
        <w:tc>
          <w:tcPr>
            <w:tcW w:type="dxa" w:w="2197"/>
          </w:tcPr>
          <w:p>
            <w:pPr>
              <w:jc w:val="center"/>
            </w:pPr>
            <w:r/>
            <w:r>
              <w:rPr>
                <w:rFonts w:ascii="Times New Roman" w:hAnsi="Times New Roman"/>
                <w:b w:val="0"/>
                <w:sz w:val="19"/>
              </w:rPr>
              <w:t>Zone 4</w:t>
            </w:r>
          </w:p>
        </w:tc>
        <w:tc>
          <w:tcPr>
            <w:tcW w:type="dxa" w:w="2197"/>
          </w:tcPr>
          <w:p>
            <w:r/>
            <w:r>
              <w:rPr>
                <w:rFonts w:ascii="Times New Roman" w:hAnsi="Times New Roman"/>
                <w:b w:val="0"/>
                <w:sz w:val="19"/>
              </w:rPr>
              <w:t>Enterprise zone</w:t>
              <w:br/>
              <w:t>(IT network)</w:t>
            </w:r>
          </w:p>
        </w:tc>
        <w:tc>
          <w:tcPr>
            <w:tcW w:type="dxa" w:w="2197"/>
          </w:tcPr>
          <w:p>
            <w:r/>
            <w:r>
              <w:rPr>
                <w:rFonts w:ascii="Times New Roman" w:hAnsi="Times New Roman"/>
                <w:b w:val="0"/>
                <w:sz w:val="19"/>
              </w:rPr>
              <w:t>Cloud agents,</w:t>
              <w:br/>
              <w:t>digital twin platform</w:t>
            </w:r>
          </w:p>
        </w:tc>
        <w:tc>
          <w:tcPr>
            <w:tcW w:type="dxa" w:w="2197"/>
          </w:tcPr>
          <w:p>
            <w:r/>
            <w:r>
              <w:rPr>
                <w:rFonts w:ascii="Times New Roman" w:hAnsi="Times New Roman"/>
                <w:b w:val="0"/>
                <w:sz w:val="19"/>
              </w:rPr>
              <w:t>May connect to internet. Carries global dispatch optimization and external data acquisition</w:t>
            </w:r>
          </w:p>
        </w:tc>
      </w:tr>
    </w:tbl>
    <w:p>
      <w:pPr>
        <w:pStyle w:val="Heading2"/>
      </w:pPr>
      <w:r>
        <w:t>8.2   Cross-network data exchange</w:t>
      </w:r>
    </w:p>
    <w:p>
      <w:pPr>
        <w:pStyle w:val="Heading3"/>
      </w:pPr>
      <w:r>
        <w:t>8.2.1   Data uplink (OT → IT): State snapshot push</w:t>
      </w:r>
    </w:p>
    <w:p>
      <w:r>
        <w:rPr>
          <w:rFonts w:ascii="Times New Roman" w:hAnsi="Times New Roman"/>
          <w:b w:val="0"/>
          <w:i w:val="0"/>
          <w:sz w:val="22"/>
        </w:rPr>
        <w:t>Edge agents shall serialize real-time operational state (state vectors) into standard formats (JSON/Protobuf) and transmit them via reverse isolation devices (unidirectional data diodes) to cloud agents. Uplink data shall include timestamps, data quality flags, and source identifiers.</w:t>
      </w:r>
    </w:p>
    <w:p>
      <w:pPr>
        <w:pStyle w:val="Heading3"/>
      </w:pPr>
      <w:r>
        <w:t>8.2.2   Command downlink (IT → OT): Dispatch recommendation mechanism</w:t>
      </w:r>
    </w:p>
    <w:p>
      <w:r>
        <w:rPr>
          <w:rFonts w:ascii="Times New Roman" w:hAnsi="Times New Roman"/>
          <w:b w:val="0"/>
          <w:i w:val="0"/>
          <w:sz w:val="22"/>
        </w:rPr>
        <w:t>Cloud agents shall not issue direct control commands. Cloud MAS shall only issue “dispatch recommendations” (reference trajectories) or “macro objectives” (goals). A security gateway at the OT network boundary shall process these as follows:</w:t>
      </w:r>
    </w:p>
    <w:p>
      <w:pPr>
        <w:pStyle w:val="ListBullet"/>
      </w:pPr>
      <w:r>
        <w:rPr>
          <w:rFonts w:ascii="Times New Roman" w:hAnsi="Times New Roman"/>
          <w:sz w:val="22"/>
        </w:rPr>
        <w:t>receive the dispatch recommendation from the cloud;</w:t>
      </w:r>
    </w:p>
    <w:p>
      <w:pPr>
        <w:pStyle w:val="ListBullet"/>
      </w:pPr>
      <w:r>
        <w:rPr>
          <w:rFonts w:ascii="Times New Roman" w:hAnsi="Times New Roman"/>
          <w:sz w:val="22"/>
        </w:rPr>
        <w:t>verify the digital signature;</w:t>
      </w:r>
    </w:p>
    <w:p>
      <w:pPr>
        <w:pStyle w:val="ListBullet"/>
      </w:pPr>
      <w:r>
        <w:rPr>
          <w:rFonts w:ascii="Times New Roman" w:hAnsi="Times New Roman"/>
          <w:sz w:val="22"/>
        </w:rPr>
        <w:t>perform ODD boundary secondary validation (verify that recommendation parameters are within the ODD-permitted range);</w:t>
      </w:r>
    </w:p>
    <w:p>
      <w:pPr>
        <w:pStyle w:val="ListBullet"/>
      </w:pPr>
      <w:r>
        <w:rPr>
          <w:rFonts w:ascii="Times New Roman" w:hAnsi="Times New Roman"/>
          <w:sz w:val="22"/>
        </w:rPr>
        <w:t>upon successful validation, forward to the edge agent, which converts recommendations into specific control commands.</w:t>
      </w:r>
    </w:p>
    <w:p>
      <w:r>
        <w:rPr>
          <w:rFonts w:ascii="Times New Roman" w:hAnsi="Times New Roman"/>
          <w:b w:val="0"/>
          <w:i w:val="0"/>
          <w:sz w:val="22"/>
        </w:rPr>
        <w:t>Core principle: Control authority shall always reside on the OT side (edge); the cloud shall provide recommendations only.</w:t>
      </w:r>
    </w:p>
    <w:p>
      <w:pPr>
        <w:pStyle w:val="Heading2"/>
      </w:pPr>
      <w:r>
        <w:t>8.3   Disconnection autonomy capability</w:t>
      </w:r>
    </w:p>
    <w:p>
      <w:r>
        <w:rPr>
          <w:rFonts w:ascii="Times New Roman" w:hAnsi="Times New Roman"/>
          <w:b w:val="0"/>
          <w:i w:val="0"/>
          <w:sz w:val="22"/>
        </w:rPr>
        <w:t>When the communication link between the OT and IT networks is interrupted (Zone 2–Zone 4 disconnection), edge agents shall detect the disconnection within 1 second and automatically switch to island autonomy mode:</w:t>
      </w:r>
    </w:p>
    <w:p>
      <w:pPr>
        <w:pStyle w:val="ListBullet"/>
      </w:pPr>
      <w:r>
        <w:rPr>
          <w:rFonts w:ascii="Times New Roman" w:hAnsi="Times New Roman"/>
          <w:sz w:val="22"/>
        </w:rPr>
        <w:t>edge agents shall cease waiting for cloud instructions and autonomously maintain operations based on local objectives and local sensor data;</w:t>
      </w:r>
    </w:p>
    <w:p>
      <w:pPr>
        <w:pStyle w:val="ListBullet"/>
      </w:pPr>
      <w:r>
        <w:rPr>
          <w:rFonts w:ascii="Times New Roman" w:hAnsi="Times New Roman"/>
          <w:sz w:val="22"/>
        </w:rPr>
        <w:t>if the internal OT fibre-optic network remains operational, edge agents shall continue distributed coordinated control via DDS;</w:t>
      </w:r>
    </w:p>
    <w:p>
      <w:pPr>
        <w:pStyle w:val="ListBullet"/>
      </w:pPr>
      <w:r>
        <w:rPr>
          <w:rFonts w:ascii="Times New Roman" w:hAnsi="Times New Roman"/>
          <w:sz w:val="22"/>
        </w:rPr>
        <w:t>the system shall log the operational state at the moment of disconnection and subsequent control decision records for synchronization after communication restoration;</w:t>
      </w:r>
    </w:p>
    <w:p>
      <w:pPr>
        <w:pStyle w:val="ListBullet"/>
      </w:pPr>
      <w:r>
        <w:rPr>
          <w:rFonts w:ascii="Times New Roman" w:hAnsi="Times New Roman"/>
          <w:sz w:val="22"/>
        </w:rPr>
        <w:t>upon communication restoration, the system shall automatically perform state alignment and parameter synchronization for a smooth transition back to normal coordinated mode.</w:t>
      </w:r>
    </w:p>
    <w:p>
      <w:pPr>
        <w:pStyle w:val="Heading2"/>
      </w:pPr>
      <w:r>
        <w:t>8.4   Cybersecurity requirements</w:t>
      </w:r>
    </w:p>
    <w:p>
      <w:r>
        <w:rPr>
          <w:rFonts w:ascii="Times New Roman" w:hAnsi="Times New Roman"/>
          <w:b w:val="0"/>
          <w:i w:val="0"/>
          <w:sz w:val="22"/>
        </w:rPr>
        <w:t>Cybersecurity of the water network intelligent control system shall comply with IEC 62443. The OT control network and the IT enterprise network shall be physically or logically isolated. Remote access shall employ encrypted communications and multi-factor authentication. OTA update channels shall have independent security verification mechanisms.</w:t>
      </w:r>
    </w:p>
    <w:p>
      <w:pPr>
        <w:pStyle w:val="Heading1"/>
      </w:pPr>
      <w:r>
        <w:t>9   Water network common information model (Water-CIM)</w:t>
      </w:r>
    </w:p>
    <w:p>
      <w:pPr>
        <w:pStyle w:val="Heading2"/>
      </w:pPr>
      <w:r>
        <w:t>9.1   Architecture</w:t>
      </w:r>
    </w:p>
    <w:p>
      <w:r>
        <w:rPr>
          <w:rFonts w:ascii="Times New Roman" w:hAnsi="Times New Roman"/>
          <w:b w:val="0"/>
          <w:i w:val="0"/>
          <w:sz w:val="22"/>
        </w:rPr>
        <w:t>Water-CIM shall adopt a package-based structure inspired by the IEC 61970 CIM layered architecture, reconstructed for water network characteristics. To support the SCADA+MAS integration architecture, an Agent Package and a Control Package are added as core increments beyond power-sector CIM. The six-package structure is specified in Table 5.</w:t>
      </w:r>
    </w:p>
    <w:p>
      <w:pPr>
        <w:jc w:val="center"/>
      </w:pPr>
      <w:r>
        <w:rPr>
          <w:rFonts w:ascii="Times New Roman" w:hAnsi="Times New Roman"/>
          <w:b/>
          <w:i w:val="0"/>
          <w:sz w:val="22"/>
        </w:rPr>
        <w:t>Table 5 — Water-CIM package structure</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19"/>
              </w:rPr>
              <w:t>Package</w:t>
            </w:r>
          </w:p>
        </w:tc>
        <w:tc>
          <w:tcPr>
            <w:tcW w:type="dxa" w:w="2929"/>
            <w:shd w:fill="D9E2F3"/>
          </w:tcPr>
          <w:p>
            <w:pPr>
              <w:jc w:val="center"/>
            </w:pPr>
            <w:r/>
            <w:r>
              <w:rPr>
                <w:rFonts w:ascii="Times New Roman" w:hAnsi="Times New Roman"/>
                <w:b/>
                <w:sz w:val="19"/>
              </w:rPr>
              <w:t>Name</w:t>
            </w:r>
          </w:p>
        </w:tc>
        <w:tc>
          <w:tcPr>
            <w:tcW w:type="dxa" w:w="2929"/>
            <w:shd w:fill="D9E2F3"/>
          </w:tcPr>
          <w:p>
            <w:pPr>
              <w:jc w:val="center"/>
            </w:pPr>
            <w:r/>
            <w:r>
              <w:rPr>
                <w:rFonts w:ascii="Times New Roman" w:hAnsi="Times New Roman"/>
                <w:b/>
                <w:sz w:val="19"/>
              </w:rPr>
              <w:t>Description and core elements</w:t>
            </w:r>
          </w:p>
        </w:tc>
      </w:tr>
      <w:tr>
        <w:tc>
          <w:tcPr>
            <w:tcW w:type="dxa" w:w="2929"/>
          </w:tcPr>
          <w:p>
            <w:pPr>
              <w:jc w:val="center"/>
            </w:pPr>
            <w:r/>
            <w:r>
              <w:rPr>
                <w:rFonts w:ascii="Times New Roman" w:hAnsi="Times New Roman"/>
                <w:b w:val="0"/>
                <w:sz w:val="19"/>
              </w:rPr>
              <w:t>P01</w:t>
            </w:r>
          </w:p>
        </w:tc>
        <w:tc>
          <w:tcPr>
            <w:tcW w:type="dxa" w:w="2929"/>
          </w:tcPr>
          <w:p>
            <w:r/>
            <w:r>
              <w:rPr>
                <w:rFonts w:ascii="Times New Roman" w:hAnsi="Times New Roman"/>
                <w:b w:val="0"/>
                <w:sz w:val="19"/>
              </w:rPr>
              <w:t>Core</w:t>
            </w:r>
          </w:p>
        </w:tc>
        <w:tc>
          <w:tcPr>
            <w:tcW w:type="dxa" w:w="2929"/>
          </w:tcPr>
          <w:p>
            <w:r/>
            <w:r>
              <w:rPr>
                <w:rFonts w:ascii="Times New Roman" w:hAnsi="Times New Roman"/>
                <w:b w:val="0"/>
                <w:sz w:val="19"/>
              </w:rPr>
              <w:t>Base package defining IdentifiedObject base class (mRID[UUID], name, aliasName, description) for global unique identification and administrative code mapping</w:t>
            </w:r>
          </w:p>
        </w:tc>
      </w:tr>
      <w:tr>
        <w:tc>
          <w:tcPr>
            <w:tcW w:type="dxa" w:w="2929"/>
          </w:tcPr>
          <w:p>
            <w:pPr>
              <w:jc w:val="center"/>
            </w:pPr>
            <w:r/>
            <w:r>
              <w:rPr>
                <w:rFonts w:ascii="Times New Roman" w:hAnsi="Times New Roman"/>
                <w:b w:val="0"/>
                <w:sz w:val="19"/>
              </w:rPr>
              <w:t>P02</w:t>
            </w:r>
          </w:p>
        </w:tc>
        <w:tc>
          <w:tcPr>
            <w:tcW w:type="dxa" w:w="2929"/>
          </w:tcPr>
          <w:p>
            <w:r/>
            <w:r>
              <w:rPr>
                <w:rFonts w:ascii="Times New Roman" w:hAnsi="Times New Roman"/>
                <w:b w:val="0"/>
                <w:sz w:val="19"/>
              </w:rPr>
              <w:t>Topology</w:t>
            </w:r>
          </w:p>
        </w:tc>
        <w:tc>
          <w:tcPr>
            <w:tcW w:type="dxa" w:w="2929"/>
          </w:tcPr>
          <w:p>
            <w:r/>
            <w:r>
              <w:rPr>
                <w:rFonts w:ascii="Times New Roman" w:hAnsi="Times New Roman"/>
                <w:b w:val="0"/>
                <w:sz w:val="19"/>
              </w:rPr>
              <w:t>Defines ConnectivityNode, Terminal, and connection relationships. Supports automatic adjacency matrix generation via graph search</w:t>
            </w:r>
          </w:p>
        </w:tc>
      </w:tr>
      <w:tr>
        <w:tc>
          <w:tcPr>
            <w:tcW w:type="dxa" w:w="2929"/>
          </w:tcPr>
          <w:p>
            <w:pPr>
              <w:jc w:val="center"/>
            </w:pPr>
            <w:r/>
            <w:r>
              <w:rPr>
                <w:rFonts w:ascii="Times New Roman" w:hAnsi="Times New Roman"/>
                <w:b w:val="0"/>
                <w:sz w:val="19"/>
              </w:rPr>
              <w:t>P03</w:t>
            </w:r>
          </w:p>
        </w:tc>
        <w:tc>
          <w:tcPr>
            <w:tcW w:type="dxa" w:w="2929"/>
          </w:tcPr>
          <w:p>
            <w:r/>
            <w:r>
              <w:rPr>
                <w:rFonts w:ascii="Times New Roman" w:hAnsi="Times New Roman"/>
                <w:b w:val="0"/>
                <w:sz w:val="19"/>
              </w:rPr>
              <w:t>Asset</w:t>
            </w:r>
          </w:p>
        </w:tc>
        <w:tc>
          <w:tcPr>
            <w:tcW w:type="dxa" w:w="2929"/>
          </w:tcPr>
          <w:p>
            <w:r/>
            <w:r>
              <w:rPr>
                <w:rFonts w:ascii="Times New Roman" w:hAnsi="Times New Roman"/>
                <w:b w:val="0"/>
                <w:sz w:val="19"/>
              </w:rPr>
              <w:t>Defines Gate, Pump, Reservoir, Channel, Pipeline and other hydraulic assets with physical parameters</w:t>
            </w:r>
          </w:p>
        </w:tc>
      </w:tr>
      <w:tr>
        <w:tc>
          <w:tcPr>
            <w:tcW w:type="dxa" w:w="2929"/>
          </w:tcPr>
          <w:p>
            <w:pPr>
              <w:jc w:val="center"/>
            </w:pPr>
            <w:r/>
            <w:r>
              <w:rPr>
                <w:rFonts w:ascii="Times New Roman" w:hAnsi="Times New Roman"/>
                <w:b w:val="0"/>
                <w:sz w:val="19"/>
              </w:rPr>
              <w:t>P04</w:t>
            </w:r>
          </w:p>
        </w:tc>
        <w:tc>
          <w:tcPr>
            <w:tcW w:type="dxa" w:w="2929"/>
          </w:tcPr>
          <w:p>
            <w:r/>
            <w:r>
              <w:rPr>
                <w:rFonts w:ascii="Times New Roman" w:hAnsi="Times New Roman"/>
                <w:b w:val="0"/>
                <w:sz w:val="19"/>
              </w:rPr>
              <w:t>Measurement</w:t>
            </w:r>
          </w:p>
        </w:tc>
        <w:tc>
          <w:tcPr>
            <w:tcW w:type="dxa" w:w="2929"/>
          </w:tcPr>
          <w:p>
            <w:r/>
            <w:r>
              <w:rPr>
                <w:rFonts w:ascii="Times New Roman" w:hAnsi="Times New Roman"/>
                <w:b w:val="0"/>
                <w:sz w:val="19"/>
              </w:rPr>
              <w:t>References OGC WaterML 2.0 for time-series encoding and OGC SensorThings API for sensor access</w:t>
            </w:r>
          </w:p>
        </w:tc>
      </w:tr>
      <w:tr>
        <w:tc>
          <w:tcPr>
            <w:tcW w:type="dxa" w:w="2929"/>
          </w:tcPr>
          <w:p>
            <w:pPr>
              <w:jc w:val="center"/>
            </w:pPr>
            <w:r/>
            <w:r>
              <w:rPr>
                <w:rFonts w:ascii="Times New Roman" w:hAnsi="Times New Roman"/>
                <w:b w:val="0"/>
                <w:sz w:val="19"/>
              </w:rPr>
              <w:t>P05</w:t>
            </w:r>
          </w:p>
        </w:tc>
        <w:tc>
          <w:tcPr>
            <w:tcW w:type="dxa" w:w="2929"/>
          </w:tcPr>
          <w:p>
            <w:r/>
            <w:r>
              <w:rPr>
                <w:rFonts w:ascii="Times New Roman" w:hAnsi="Times New Roman"/>
                <w:b w:val="0"/>
                <w:sz w:val="19"/>
              </w:rPr>
              <w:t>Control</w:t>
            </w:r>
          </w:p>
        </w:tc>
        <w:tc>
          <w:tcPr>
            <w:tcW w:type="dxa" w:w="2929"/>
          </w:tcPr>
          <w:p>
            <w:r/>
            <w:r>
              <w:rPr>
                <w:rFonts w:ascii="Times New Roman" w:hAnsi="Times New Roman"/>
                <w:b w:val="0"/>
                <w:sz w:val="19"/>
              </w:rPr>
              <w:t>Core increment: defines ControlMode (L0–L5), HardConstraint, SoftConstraint, ODD, FallbackStrategy objects</w:t>
            </w:r>
          </w:p>
        </w:tc>
      </w:tr>
      <w:tr>
        <w:tc>
          <w:tcPr>
            <w:tcW w:type="dxa" w:w="2929"/>
          </w:tcPr>
          <w:p>
            <w:pPr>
              <w:jc w:val="center"/>
            </w:pPr>
            <w:r/>
            <w:r>
              <w:rPr>
                <w:rFonts w:ascii="Times New Roman" w:hAnsi="Times New Roman"/>
                <w:b w:val="0"/>
                <w:sz w:val="19"/>
              </w:rPr>
              <w:t>P06</w:t>
            </w:r>
          </w:p>
        </w:tc>
        <w:tc>
          <w:tcPr>
            <w:tcW w:type="dxa" w:w="2929"/>
          </w:tcPr>
          <w:p>
            <w:r/>
            <w:r>
              <w:rPr>
                <w:rFonts w:ascii="Times New Roman" w:hAnsi="Times New Roman"/>
                <w:b w:val="0"/>
                <w:sz w:val="19"/>
              </w:rPr>
              <w:t>Agent</w:t>
            </w:r>
          </w:p>
        </w:tc>
        <w:tc>
          <w:tcPr>
            <w:tcW w:type="dxa" w:w="2929"/>
          </w:tcPr>
          <w:p>
            <w:r/>
            <w:r>
              <w:rPr>
                <w:rFonts w:ascii="Times New Roman" w:hAnsi="Times New Roman"/>
                <w:b w:val="0"/>
                <w:sz w:val="19"/>
              </w:rPr>
              <w:t>Core increment: defines AgentID, AgentType (Edge/Area/Cloud), Zone, ControlAuthority, HeartbeatConfig for MAS semantic objects</w:t>
            </w:r>
          </w:p>
        </w:tc>
      </w:tr>
    </w:tbl>
    <w:p>
      <w:pPr>
        <w:pStyle w:val="Heading2"/>
      </w:pPr>
      <w:r>
        <w:t>9.2   Agent Package requirements</w:t>
      </w:r>
    </w:p>
    <w:p>
      <w:r>
        <w:rPr>
          <w:rFonts w:ascii="Times New Roman" w:hAnsi="Times New Roman"/>
          <w:b w:val="0"/>
          <w:i w:val="0"/>
          <w:sz w:val="22"/>
        </w:rPr>
        <w:t>Each agent instance shall be registered as an Agent object in Water-CIM with the following mandatory attributes:</w:t>
      </w:r>
    </w:p>
    <w:p>
      <w:pPr>
        <w:pStyle w:val="ListBullet"/>
      </w:pPr>
      <w:r>
        <w:rPr>
          <w:rFonts w:ascii="Times New Roman" w:hAnsi="Times New Roman"/>
          <w:sz w:val="22"/>
        </w:rPr>
        <w:t>AgentID: globally unique identifier (UUID);</w:t>
      </w:r>
    </w:p>
    <w:p>
      <w:pPr>
        <w:pStyle w:val="ListBullet"/>
      </w:pPr>
      <w:r>
        <w:rPr>
          <w:rFonts w:ascii="Times New Roman" w:hAnsi="Times New Roman"/>
          <w:sz w:val="22"/>
        </w:rPr>
        <w:t>AgentType: enumeration taking one of Edge, Area, or Cloud;</w:t>
      </w:r>
    </w:p>
    <w:p>
      <w:pPr>
        <w:pStyle w:val="ListBullet"/>
      </w:pPr>
      <w:r>
        <w:rPr>
          <w:rFonts w:ascii="Times New Roman" w:hAnsi="Times New Roman"/>
          <w:sz w:val="22"/>
        </w:rPr>
        <w:t>Zone: the network security zone in which the agent is deployed (Zone 2 or Zone 4);</w:t>
      </w:r>
    </w:p>
    <w:p>
      <w:pPr>
        <w:pStyle w:val="ListBullet"/>
      </w:pPr>
      <w:r>
        <w:rPr>
          <w:rFonts w:ascii="Times New Roman" w:hAnsi="Times New Roman"/>
          <w:sz w:val="22"/>
        </w:rPr>
        <w:t>ControlAuthority: current control authority assignment (local manual / edge automatic / cloud advisory);</w:t>
      </w:r>
    </w:p>
    <w:p>
      <w:pPr>
        <w:pStyle w:val="ListBullet"/>
      </w:pPr>
      <w:r>
        <w:rPr>
          <w:rFonts w:ascii="Times New Roman" w:hAnsi="Times New Roman"/>
          <w:sz w:val="22"/>
        </w:rPr>
        <w:t>HeartbeatConfig: heartbeat configuration including period, timeout threshold, and degradation target upon timeout;</w:t>
      </w:r>
    </w:p>
    <w:p>
      <w:pPr>
        <w:pStyle w:val="ListBullet"/>
      </w:pPr>
      <w:r>
        <w:rPr>
          <w:rFonts w:ascii="Times New Roman" w:hAnsi="Times New Roman"/>
          <w:sz w:val="22"/>
        </w:rPr>
        <w:t>ManagedAssets: list of assets under the agent’s jurisdiction (referencing Asset Package objects);</w:t>
      </w:r>
    </w:p>
    <w:p>
      <w:pPr>
        <w:pStyle w:val="ListBullet"/>
      </w:pPr>
      <w:r>
        <w:rPr>
          <w:rFonts w:ascii="Times New Roman" w:hAnsi="Times New Roman"/>
          <w:sz w:val="22"/>
        </w:rPr>
        <w:t>LocalTopology: identifier of the local topology subgraph loaded by the agent.</w:t>
      </w:r>
    </w:p>
    <w:p>
      <w:pPr>
        <w:pStyle w:val="Heading2"/>
      </w:pPr>
      <w:r>
        <w:t>9.3   Control Package requirements</w:t>
      </w:r>
    </w:p>
    <w:p>
      <w:r>
        <w:rPr>
          <w:rFonts w:ascii="Times New Roman" w:hAnsi="Times New Roman"/>
          <w:b w:val="0"/>
          <w:i w:val="0"/>
          <w:sz w:val="22"/>
        </w:rPr>
        <w:t>HardConstraint objects shall include the constraint variable identifier, upper/lower bounds, and the response action upon violation (e.g., trigger circuit breaker, emergency shutdown). SoftConstraint objects shall include the target variable, target value, weight, and allowable deviation range. Formalizing safety boundaries as model objects enables MBD compilers to automatically generate underlying safety verification code.</w:t>
      </w:r>
    </w:p>
    <w:p>
      <w:pPr>
        <w:pStyle w:val="Heading2"/>
      </w:pPr>
      <w:r>
        <w:t>9.4   SCADA tags semantic mapping</w:t>
      </w:r>
    </w:p>
    <w:p>
      <w:r>
        <w:rPr>
          <w:rFonts w:ascii="Times New Roman" w:hAnsi="Times New Roman"/>
          <w:b w:val="0"/>
          <w:i w:val="0"/>
          <w:sz w:val="22"/>
        </w:rPr>
        <w:t>At engineering delivery, a machine-readable mapping table from SCADA tags to Water-CIM objects shall be provided (e.g., Register_4001 → Gate.Opening). The mapping table shall be delivered in a standard format (CSV or JSON) and shall be subject to version management.</w:t>
      </w:r>
    </w:p>
    <w:p>
      <w:pPr>
        <w:pStyle w:val="Heading2"/>
      </w:pPr>
      <w:r>
        <w:t>9.5   Data exchange format</w:t>
      </w:r>
    </w:p>
    <w:p>
      <w:r>
        <w:rPr>
          <w:rFonts w:ascii="Times New Roman" w:hAnsi="Times New Roman"/>
          <w:b w:val="0"/>
          <w:i w:val="0"/>
          <w:sz w:val="22"/>
        </w:rPr>
        <w:t>Water-CIM XML exchange shall use RDF/XML encoding with the namespace prefix “wcim”. For RESTful API scenarios, an equivalent JSON-LD encoding shall be provided. Time-series data shall be compatible with OGC WaterML 2.0 JSON encoding. Sensor access shall be compatible with OGC SensorThings API.</w:t>
      </w:r>
    </w:p>
    <w:p>
      <w:pPr>
        <w:pStyle w:val="Heading1"/>
      </w:pPr>
      <w:r>
        <w:t>10   Interoperability protocol stack</w:t>
      </w:r>
    </w:p>
    <w:p>
      <w:r>
        <w:rPr>
          <w:rFonts w:ascii="Times New Roman" w:hAnsi="Times New Roman"/>
          <w:b w:val="0"/>
          <w:i w:val="0"/>
          <w:sz w:val="22"/>
        </w:rPr>
        <w:t>Under the SCADA+MAS integration architecture, a strict distinction shall be made between “computation standards” and “communication standards.” OpenMI/FMI are model computation interfaces, not network protocols, and shall not be used for distributed communication. This clause defines the applicable scope of three protocol layers, as specified in Table 6.</w:t>
      </w:r>
    </w:p>
    <w:p>
      <w:pPr>
        <w:jc w:val="center"/>
      </w:pPr>
      <w:r>
        <w:rPr>
          <w:rFonts w:ascii="Times New Roman" w:hAnsi="Times New Roman"/>
          <w:b/>
          <w:i w:val="0"/>
          <w:sz w:val="22"/>
        </w:rPr>
        <w:t>Table 6 — Interoperability protocol stack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
              <w:rPr>
                <w:rFonts w:ascii="Times New Roman" w:hAnsi="Times New Roman"/>
                <w:b/>
                <w:sz w:val="19"/>
              </w:rPr>
              <w:t>Protocol layer</w:t>
            </w:r>
          </w:p>
        </w:tc>
        <w:tc>
          <w:tcPr>
            <w:tcW w:type="dxa" w:w="2197"/>
            <w:shd w:fill="D9E2F3"/>
          </w:tcPr>
          <w:p>
            <w:pPr>
              <w:jc w:val="center"/>
            </w:pPr>
            <w:r/>
            <w:r>
              <w:rPr>
                <w:rFonts w:ascii="Times New Roman" w:hAnsi="Times New Roman"/>
                <w:b/>
                <w:sz w:val="19"/>
              </w:rPr>
              <w:t>Standard</w:t>
            </w:r>
          </w:p>
        </w:tc>
        <w:tc>
          <w:tcPr>
            <w:tcW w:type="dxa" w:w="2197"/>
            <w:shd w:fill="D9E2F3"/>
          </w:tcPr>
          <w:p>
            <w:pPr>
              <w:jc w:val="center"/>
            </w:pPr>
            <w:r/>
            <w:r>
              <w:rPr>
                <w:rFonts w:ascii="Times New Roman" w:hAnsi="Times New Roman"/>
                <w:b/>
                <w:sz w:val="19"/>
              </w:rPr>
              <w:t>Applicable scope</w:t>
            </w:r>
          </w:p>
        </w:tc>
        <w:tc>
          <w:tcPr>
            <w:tcW w:type="dxa" w:w="2197"/>
            <w:shd w:fill="D9E2F3"/>
          </w:tcPr>
          <w:p>
            <w:pPr>
              <w:jc w:val="center"/>
            </w:pPr>
            <w:r/>
            <w:r>
              <w:rPr>
                <w:rFonts w:ascii="Times New Roman" w:hAnsi="Times New Roman"/>
                <w:b/>
                <w:sz w:val="19"/>
              </w:rPr>
              <w:t>Typical scenario</w:t>
            </w:r>
          </w:p>
        </w:tc>
      </w:tr>
      <w:tr>
        <w:tc>
          <w:tcPr>
            <w:tcW w:type="dxa" w:w="2197"/>
          </w:tcPr>
          <w:p>
            <w:r/>
            <w:r>
              <w:rPr>
                <w:rFonts w:ascii="Times New Roman" w:hAnsi="Times New Roman"/>
                <w:b w:val="0"/>
                <w:sz w:val="19"/>
              </w:rPr>
              <w:t>Computation kernel</w:t>
              <w:br/>
              <w:t>(how to compute)</w:t>
            </w:r>
          </w:p>
        </w:tc>
        <w:tc>
          <w:tcPr>
            <w:tcW w:type="dxa" w:w="2197"/>
          </w:tcPr>
          <w:p>
            <w:r/>
            <w:r>
              <w:rPr>
                <w:rFonts w:ascii="Times New Roman" w:hAnsi="Times New Roman"/>
                <w:b w:val="0"/>
                <w:sz w:val="19"/>
              </w:rPr>
              <w:t>FMI 3.0 /</w:t>
              <w:br/>
              <w:t>OpenMI 2.0</w:t>
            </w:r>
          </w:p>
        </w:tc>
        <w:tc>
          <w:tcPr>
            <w:tcW w:type="dxa" w:w="2197"/>
          </w:tcPr>
          <w:p>
            <w:r/>
            <w:r>
              <w:rPr>
                <w:rFonts w:ascii="Times New Roman" w:hAnsi="Times New Roman"/>
                <w:b w:val="0"/>
                <w:sz w:val="19"/>
              </w:rPr>
              <w:t>Intra-agent model</w:t>
              <w:br/>
              <w:t>coupling</w:t>
            </w:r>
          </w:p>
        </w:tc>
        <w:tc>
          <w:tcPr>
            <w:tcW w:type="dxa" w:w="2197"/>
          </w:tcPr>
          <w:p>
            <w:r/>
            <w:r>
              <w:rPr>
                <w:rFonts w:ascii="Times New Roman" w:hAnsi="Times New Roman"/>
                <w:b w:val="0"/>
                <w:sz w:val="19"/>
              </w:rPr>
              <w:t>MPC algorithm calling hydraulic FMU for water level prediction — in-memory high-frequency calls</w:t>
            </w:r>
          </w:p>
        </w:tc>
      </w:tr>
      <w:tr>
        <w:tc>
          <w:tcPr>
            <w:tcW w:type="dxa" w:w="2197"/>
          </w:tcPr>
          <w:p>
            <w:r/>
            <w:r>
              <w:rPr>
                <w:rFonts w:ascii="Times New Roman" w:hAnsi="Times New Roman"/>
                <w:b w:val="0"/>
                <w:sz w:val="19"/>
              </w:rPr>
              <w:t>Distributed bus</w:t>
              <w:br/>
              <w:t>(how to connect)</w:t>
            </w:r>
          </w:p>
        </w:tc>
        <w:tc>
          <w:tcPr>
            <w:tcW w:type="dxa" w:w="2197"/>
          </w:tcPr>
          <w:p>
            <w:r/>
            <w:r>
              <w:rPr>
                <w:rFonts w:ascii="Times New Roman" w:hAnsi="Times New Roman"/>
                <w:b w:val="0"/>
                <w:sz w:val="19"/>
              </w:rPr>
              <w:t>DDS</w:t>
              <w:br/>
              <w:t>(OMG standard)</w:t>
            </w:r>
          </w:p>
        </w:tc>
        <w:tc>
          <w:tcPr>
            <w:tcW w:type="dxa" w:w="2197"/>
          </w:tcPr>
          <w:p>
            <w:r/>
            <w:r>
              <w:rPr>
                <w:rFonts w:ascii="Times New Roman" w:hAnsi="Times New Roman"/>
                <w:b w:val="0"/>
                <w:sz w:val="19"/>
              </w:rPr>
              <w:t>Inter-agent real-time</w:t>
              <w:br/>
              <w:t>coordination</w:t>
            </w:r>
          </w:p>
        </w:tc>
        <w:tc>
          <w:tcPr>
            <w:tcW w:type="dxa" w:w="2197"/>
          </w:tcPr>
          <w:p>
            <w:r/>
            <w:r>
              <w:rPr>
                <w:rFonts w:ascii="Times New Roman" w:hAnsi="Times New Roman"/>
                <w:b w:val="0"/>
                <w:sz w:val="19"/>
              </w:rPr>
              <w:t>Upstream agent notifying downstream agent of flow changes — millisecond-level fibre-optic communication</w:t>
            </w:r>
          </w:p>
        </w:tc>
      </w:tr>
      <w:tr>
        <w:tc>
          <w:tcPr>
            <w:tcW w:type="dxa" w:w="2197"/>
          </w:tcPr>
          <w:p>
            <w:r/>
            <w:r>
              <w:rPr>
                <w:rFonts w:ascii="Times New Roman" w:hAnsi="Times New Roman"/>
                <w:b w:val="0"/>
                <w:sz w:val="19"/>
              </w:rPr>
              <w:t>Device interface</w:t>
              <w:br/>
              <w:t>(how to ground)</w:t>
            </w:r>
          </w:p>
        </w:tc>
        <w:tc>
          <w:tcPr>
            <w:tcW w:type="dxa" w:w="2197"/>
          </w:tcPr>
          <w:p>
            <w:r/>
            <w:r>
              <w:rPr>
                <w:rFonts w:ascii="Times New Roman" w:hAnsi="Times New Roman"/>
                <w:b w:val="0"/>
                <w:sz w:val="19"/>
              </w:rPr>
              <w:t>OPC UA</w:t>
              <w:br/>
              <w:t>(IEC 62541)</w:t>
            </w:r>
          </w:p>
        </w:tc>
        <w:tc>
          <w:tcPr>
            <w:tcW w:type="dxa" w:w="2197"/>
          </w:tcPr>
          <w:p>
            <w:r/>
            <w:r>
              <w:rPr>
                <w:rFonts w:ascii="Times New Roman" w:hAnsi="Times New Roman"/>
                <w:b w:val="0"/>
                <w:sz w:val="19"/>
              </w:rPr>
              <w:t>MAS–SCADA</w:t>
              <w:br/>
              <w:t>interaction</w:t>
            </w:r>
          </w:p>
        </w:tc>
        <w:tc>
          <w:tcPr>
            <w:tcW w:type="dxa" w:w="2197"/>
          </w:tcPr>
          <w:p>
            <w:r/>
            <w:r>
              <w:rPr>
                <w:rFonts w:ascii="Times New Roman" w:hAnsi="Times New Roman"/>
                <w:b w:val="0"/>
                <w:sz w:val="19"/>
              </w:rPr>
              <w:t>MAS reading gate opening / issuing water level set-points — OT/IT integration bridge</w:t>
            </w:r>
          </w:p>
        </w:tc>
      </w:tr>
    </w:tbl>
    <w:p>
      <w:pPr>
        <w:pStyle w:val="Heading2"/>
      </w:pPr>
      <w:r>
        <w:t>10.1   Computation kernel layer: FMI and OpenMI</w:t>
      </w:r>
    </w:p>
    <w:p>
      <w:pPr>
        <w:pStyle w:val="Heading3"/>
      </w:pPr>
      <w:r>
        <w:t>10.1.1   FMI 3.0 execution container</w:t>
      </w:r>
    </w:p>
    <w:p>
      <w:r>
        <w:rPr>
          <w:rFonts w:ascii="Times New Roman" w:hAnsi="Times New Roman"/>
          <w:b w:val="0"/>
          <w:i w:val="0"/>
          <w:sz w:val="22"/>
        </w:rPr>
        <w:t>Model components participating in MPC optimization shall be packaged as FMI 3.0-compliant Functional Mock-up Units (FMUs). Requirements:</w:t>
      </w:r>
    </w:p>
    <w:p>
      <w:pPr>
        <w:pStyle w:val="ListBullet"/>
      </w:pPr>
      <w:r>
        <w:rPr>
          <w:rFonts w:ascii="Times New Roman" w:hAnsi="Times New Roman"/>
          <w:sz w:val="22"/>
        </w:rPr>
        <w:t>support Co-Simulation mode;</w:t>
      </w:r>
    </w:p>
    <w:p>
      <w:pPr>
        <w:pStyle w:val="ListBullet"/>
      </w:pPr>
      <w:r>
        <w:rPr>
          <w:rFonts w:ascii="Times New Roman" w:hAnsi="Times New Roman"/>
          <w:sz w:val="22"/>
        </w:rPr>
        <w:t>implement state save and restore interfaces (fmi3GetFMUState/fmi3SetFMUState) to support multiple forward simulations by MPC optimizers;</w:t>
      </w:r>
    </w:p>
    <w:p>
      <w:pPr>
        <w:pStyle w:val="ListBullet"/>
      </w:pPr>
      <w:r>
        <w:rPr>
          <w:rFonts w:ascii="Times New Roman" w:hAnsi="Times New Roman"/>
          <w:sz w:val="22"/>
        </w:rPr>
        <w:t>provide modelDescription.xml with variable naming compliant with Water-CIM semantics;</w:t>
      </w:r>
    </w:p>
    <w:p>
      <w:pPr>
        <w:pStyle w:val="ListBullet"/>
      </w:pPr>
      <w:r>
        <w:rPr>
          <w:rFonts w:ascii="Times New Roman" w:hAnsi="Times New Roman"/>
          <w:sz w:val="22"/>
        </w:rPr>
        <w:t>declare numerical stability ranges (reasonable value domains for inputs and outputs) for health monitoring.</w:t>
      </w:r>
    </w:p>
    <w:p>
      <w:pPr>
        <w:ind w:left="567"/>
      </w:pPr>
      <w:r>
        <w:rPr>
          <w:rFonts w:ascii="Times New Roman" w:hAnsi="Times New Roman"/>
          <w:i w:val="0"/>
          <w:sz w:val="20"/>
        </w:rPr>
        <w:t>NOTE   FMI is a computation component interface used within an agent’s process memory. It does not involve network communication.</w:t>
      </w:r>
    </w:p>
    <w:p>
      <w:pPr>
        <w:pStyle w:val="Heading3"/>
      </w:pPr>
      <w:r>
        <w:t>10.1.2   OpenMI 2.0 semantic layer</w:t>
      </w:r>
    </w:p>
    <w:p>
      <w:r>
        <w:rPr>
          <w:rFonts w:ascii="Times New Roman" w:hAnsi="Times New Roman"/>
          <w:b w:val="0"/>
          <w:i w:val="0"/>
          <w:sz w:val="22"/>
        </w:rPr>
        <w:t>The OpenMI 2.0 interface definitions (IIdentifiable, ITimeSpaceComponent, IExchangeItem) shall be reused to ensure compatibility with the existing water modelling ecosystem. OpenMI serves as a higher-level cross-physics orchestration standard (e.g., hydrological + hydraulic model coupling).</w:t>
      </w:r>
    </w:p>
    <w:p>
      <w:pPr>
        <w:pStyle w:val="Heading3"/>
      </w:pPr>
      <w:r>
        <w:t>10.1.3   Model health monitoring and version audit</w:t>
      </w:r>
    </w:p>
    <w:p>
      <w:r>
        <w:rPr>
          <w:rFonts w:ascii="Times New Roman" w:hAnsi="Times New Roman"/>
          <w:b w:val="0"/>
          <w:i w:val="0"/>
          <w:sz w:val="22"/>
        </w:rPr>
        <w:t>An IHealthMonitor interface shall be implemented (checkState, getQualityFlag, triggerCircuitBreak) along with an IAuditTrail interface (getModelVersion, getVerificationHash, getDeploymentTimestamp) to ensure that model runtime anomalies are detectable and that online model versions are auditable.</w:t>
      </w:r>
    </w:p>
    <w:p>
      <w:pPr>
        <w:pStyle w:val="Heading2"/>
      </w:pPr>
      <w:r>
        <w:t>10.2   Distributed bus layer: DDS</w:t>
      </w:r>
    </w:p>
    <w:p>
      <w:pPr>
        <w:pStyle w:val="Heading3"/>
      </w:pPr>
      <w:r>
        <w:t>10.2.1   Selection rationale</w:t>
      </w:r>
    </w:p>
    <w:p>
      <w:r>
        <w:rPr>
          <w:rFonts w:ascii="Times New Roman" w:hAnsi="Times New Roman"/>
          <w:b w:val="0"/>
          <w:i w:val="0"/>
          <w:sz w:val="22"/>
        </w:rPr>
        <w:t>Real-time east–west communication between distributed MAS nodes shall use DDS (Data Distribution Service) as the communication bus. The rationale for selecting DDS:</w:t>
      </w:r>
    </w:p>
    <w:p>
      <w:pPr>
        <w:pStyle w:val="ListBullet"/>
      </w:pPr>
      <w:r>
        <w:rPr>
          <w:rFonts w:ascii="Times New Roman" w:hAnsi="Times New Roman"/>
          <w:sz w:val="22"/>
        </w:rPr>
        <w:t>OpenMI is not applicable: it uses a synchronous blocking call model that cannot handle network latency or disconnection;</w:t>
      </w:r>
    </w:p>
    <w:p>
      <w:pPr>
        <w:pStyle w:val="ListBullet"/>
      </w:pPr>
      <w:r>
        <w:rPr>
          <w:rFonts w:ascii="Times New Roman" w:hAnsi="Times New Roman"/>
          <w:sz w:val="22"/>
        </w:rPr>
        <w:t>MQTT is not applicable: it requires a central broker (single point of failure) and offers insufficient QoS real-time guarantees;</w:t>
      </w:r>
    </w:p>
    <w:p>
      <w:pPr>
        <w:pStyle w:val="ListBullet"/>
      </w:pPr>
      <w:r>
        <w:rPr>
          <w:rFonts w:ascii="Times New Roman" w:hAnsi="Times New Roman"/>
          <w:sz w:val="22"/>
        </w:rPr>
        <w:t>DDS advantages: decentralized (brokerless), peer-to-peer connectivity between nodes, QoS contracts (e.g., DEADLINE of 100 ms). Even if the cloud is down, DDS guarantees continued distributed control as long as the OT fibre-optic links remain operational — natively supporting island autonomy.</w:t>
      </w:r>
    </w:p>
    <w:p>
      <w:pPr>
        <w:pStyle w:val="Heading3"/>
      </w:pPr>
      <w:r>
        <w:t>10.2.2   DDS configuration requirements</w:t>
      </w:r>
    </w:p>
    <w:p>
      <w:pPr>
        <w:pStyle w:val="ListBullet"/>
      </w:pPr>
      <w:r>
        <w:rPr>
          <w:rFonts w:ascii="Times New Roman" w:hAnsi="Times New Roman"/>
          <w:sz w:val="22"/>
        </w:rPr>
        <w:t>DDS Domain allocation: each Area MAS jurisdiction shall be assigned an independent DDS Domain ID;</w:t>
      </w:r>
    </w:p>
    <w:p>
      <w:pPr>
        <w:pStyle w:val="ListBullet"/>
      </w:pPr>
      <w:r>
        <w:rPr>
          <w:rFonts w:ascii="Times New Roman" w:hAnsi="Times New Roman"/>
          <w:sz w:val="22"/>
        </w:rPr>
        <w:t>Topic definition: DDS Topics shall align with Water-CIM semantics (e.g., wcim/Gate/Opening);</w:t>
      </w:r>
    </w:p>
    <w:p>
      <w:pPr>
        <w:pStyle w:val="ListBullet"/>
      </w:pPr>
      <w:r>
        <w:rPr>
          <w:rFonts w:ascii="Times New Roman" w:hAnsi="Times New Roman"/>
          <w:sz w:val="22"/>
        </w:rPr>
        <w:t>QoS configuration: safety-critical messages shall use RELIABLE + DEADLINE policies (default 100 ms threshold); general status messages may use BEST_EFFORT;</w:t>
      </w:r>
    </w:p>
    <w:p>
      <w:pPr>
        <w:pStyle w:val="ListBullet"/>
      </w:pPr>
      <w:r>
        <w:rPr>
          <w:rFonts w:ascii="Times New Roman" w:hAnsi="Times New Roman"/>
          <w:sz w:val="22"/>
        </w:rPr>
        <w:t>Security: DDS Security plugins shall be enabled, supporting authentication, access control, and data encryption.</w:t>
      </w:r>
    </w:p>
    <w:p>
      <w:pPr>
        <w:pStyle w:val="Heading2"/>
      </w:pPr>
      <w:r>
        <w:t>10.3   Device interface layer: OPC UA</w:t>
      </w:r>
    </w:p>
    <w:p>
      <w:r>
        <w:rPr>
          <w:rFonts w:ascii="Times New Roman" w:hAnsi="Times New Roman"/>
          <w:b w:val="0"/>
          <w:i w:val="0"/>
          <w:sz w:val="22"/>
        </w:rPr>
        <w:t>North–south communication between MAS and SCADA shall use OPC UA (IEC 62541) as the device interface layer. A companion specification, “Water Network OPC UA Information Model,” shall be developed to establish standard mapping between Water-CIM objects and OPC UA nodes.</w:t>
      </w:r>
    </w:p>
    <w:p>
      <w:pPr>
        <w:pStyle w:val="Heading2"/>
      </w:pPr>
      <w:r>
        <w:t>10.4   Legacy model minimum compliance: BMI</w:t>
      </w:r>
    </w:p>
    <w:p>
      <w:r>
        <w:rPr>
          <w:rFonts w:ascii="Times New Roman" w:hAnsi="Times New Roman"/>
          <w:b w:val="0"/>
          <w:i w:val="0"/>
          <w:sz w:val="22"/>
        </w:rPr>
        <w:t>For the large number of legacy Fortran/C++ models existing in water networks, this document establishes BMI (Basic Model Interface) as the minimum compliance threshold for model integration. Any legacy model intended for integration with a water network control platform shall, at minimum, implement BMI’s initialize(), update(), update_until(time), and finalize() standard functions plus necessary input/output variable access interfaces.</w:t>
      </w:r>
    </w:p>
    <w:p>
      <w:pPr>
        <w:pStyle w:val="Heading1"/>
      </w:pPr>
      <w:r>
        <w:t>11   Scenario-based testing and verification</w:t>
      </w:r>
    </w:p>
    <w:p>
      <w:pPr>
        <w:pStyle w:val="Heading2"/>
      </w:pPr>
      <w:r>
        <w:t>11.1   Six-dimensional scenario space</w:t>
      </w:r>
    </w:p>
    <w:p>
      <w:r>
        <w:rPr>
          <w:rFonts w:ascii="Times New Roman" w:hAnsi="Times New Roman"/>
          <w:b w:val="0"/>
          <w:i w:val="0"/>
          <w:sz w:val="22"/>
        </w:rPr>
        <w:t>Water network control scenarios shall be defined by six-dimensional parameter combinations, following the ISO 21448 (SOTIF) framework, as specified in Table 7.</w:t>
      </w:r>
    </w:p>
    <w:p>
      <w:pPr>
        <w:jc w:val="center"/>
      </w:pPr>
      <w:r>
        <w:rPr>
          <w:rFonts w:ascii="Times New Roman" w:hAnsi="Times New Roman"/>
          <w:b/>
          <w:i w:val="0"/>
          <w:sz w:val="22"/>
        </w:rPr>
        <w:t>Table 7 — Six-dimensional scenario space</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19"/>
              </w:rPr>
              <w:t>Dim.</w:t>
            </w:r>
          </w:p>
        </w:tc>
        <w:tc>
          <w:tcPr>
            <w:tcW w:type="dxa" w:w="2929"/>
            <w:shd w:fill="D9E2F3"/>
          </w:tcPr>
          <w:p>
            <w:pPr>
              <w:jc w:val="center"/>
            </w:pPr>
            <w:r/>
            <w:r>
              <w:rPr>
                <w:rFonts w:ascii="Times New Roman" w:hAnsi="Times New Roman"/>
                <w:b/>
                <w:sz w:val="19"/>
              </w:rPr>
              <w:t>Name</w:t>
            </w:r>
          </w:p>
        </w:tc>
        <w:tc>
          <w:tcPr>
            <w:tcW w:type="dxa" w:w="2929"/>
            <w:shd w:fill="D9E2F3"/>
          </w:tcPr>
          <w:p>
            <w:pPr>
              <w:jc w:val="center"/>
            </w:pPr>
            <w:r/>
            <w:r>
              <w:rPr>
                <w:rFonts w:ascii="Times New Roman" w:hAnsi="Times New Roman"/>
                <w:b/>
                <w:sz w:val="19"/>
              </w:rPr>
              <w:t>Example parameters</w:t>
            </w:r>
          </w:p>
        </w:tc>
      </w:tr>
      <w:tr>
        <w:tc>
          <w:tcPr>
            <w:tcW w:type="dxa" w:w="2929"/>
          </w:tcPr>
          <w:p>
            <w:pPr>
              <w:jc w:val="center"/>
            </w:pPr>
            <w:r/>
            <w:r>
              <w:rPr>
                <w:rFonts w:ascii="Times New Roman" w:hAnsi="Times New Roman"/>
                <w:b w:val="0"/>
                <w:sz w:val="19"/>
              </w:rPr>
              <w:t>D1</w:t>
            </w:r>
          </w:p>
        </w:tc>
        <w:tc>
          <w:tcPr>
            <w:tcW w:type="dxa" w:w="2929"/>
          </w:tcPr>
          <w:p>
            <w:r/>
            <w:r>
              <w:rPr>
                <w:rFonts w:ascii="Times New Roman" w:hAnsi="Times New Roman"/>
                <w:b w:val="0"/>
                <w:sz w:val="19"/>
              </w:rPr>
              <w:t>Topology</w:t>
            </w:r>
          </w:p>
        </w:tc>
        <w:tc>
          <w:tcPr>
            <w:tcW w:type="dxa" w:w="2929"/>
          </w:tcPr>
          <w:p>
            <w:r/>
            <w:r>
              <w:rPr>
                <w:rFonts w:ascii="Times New Roman" w:hAnsi="Times New Roman"/>
                <w:b w:val="0"/>
                <w:sz w:val="19"/>
              </w:rPr>
              <w:t>Network scale, parallel/series structure, branch count, ring networks, topology changes</w:t>
            </w:r>
          </w:p>
        </w:tc>
      </w:tr>
      <w:tr>
        <w:tc>
          <w:tcPr>
            <w:tcW w:type="dxa" w:w="2929"/>
          </w:tcPr>
          <w:p>
            <w:pPr>
              <w:jc w:val="center"/>
            </w:pPr>
            <w:r/>
            <w:r>
              <w:rPr>
                <w:rFonts w:ascii="Times New Roman" w:hAnsi="Times New Roman"/>
                <w:b w:val="0"/>
                <w:sz w:val="19"/>
              </w:rPr>
              <w:t>D2</w:t>
            </w:r>
          </w:p>
        </w:tc>
        <w:tc>
          <w:tcPr>
            <w:tcW w:type="dxa" w:w="2929"/>
          </w:tcPr>
          <w:p>
            <w:r/>
            <w:r>
              <w:rPr>
                <w:rFonts w:ascii="Times New Roman" w:hAnsi="Times New Roman"/>
                <w:b w:val="0"/>
                <w:sz w:val="19"/>
              </w:rPr>
              <w:t>Hydraulics</w:t>
            </w:r>
          </w:p>
        </w:tc>
        <w:tc>
          <w:tcPr>
            <w:tcW w:type="dxa" w:w="2929"/>
          </w:tcPr>
          <w:p>
            <w:r/>
            <w:r>
              <w:rPr>
                <w:rFonts w:ascii="Times New Roman" w:hAnsi="Times New Roman"/>
                <w:b w:val="0"/>
                <w:sz w:val="19"/>
              </w:rPr>
              <w:t>Initial water levels, flow ranges, boundary condition types, water hammer, open-channel unsteady flow</w:t>
            </w:r>
          </w:p>
        </w:tc>
      </w:tr>
      <w:tr>
        <w:tc>
          <w:tcPr>
            <w:tcW w:type="dxa" w:w="2929"/>
          </w:tcPr>
          <w:p>
            <w:pPr>
              <w:jc w:val="center"/>
            </w:pPr>
            <w:r/>
            <w:r>
              <w:rPr>
                <w:rFonts w:ascii="Times New Roman" w:hAnsi="Times New Roman"/>
                <w:b w:val="0"/>
                <w:sz w:val="19"/>
              </w:rPr>
              <w:t>D3</w:t>
            </w:r>
          </w:p>
        </w:tc>
        <w:tc>
          <w:tcPr>
            <w:tcW w:type="dxa" w:w="2929"/>
          </w:tcPr>
          <w:p>
            <w:r/>
            <w:r>
              <w:rPr>
                <w:rFonts w:ascii="Times New Roman" w:hAnsi="Times New Roman"/>
                <w:b w:val="0"/>
                <w:sz w:val="19"/>
              </w:rPr>
              <w:t>Environment</w:t>
            </w:r>
          </w:p>
        </w:tc>
        <w:tc>
          <w:tcPr>
            <w:tcW w:type="dxa" w:w="2929"/>
          </w:tcPr>
          <w:p>
            <w:r/>
            <w:r>
              <w:rPr>
                <w:rFonts w:ascii="Times New Roman" w:hAnsi="Times New Roman"/>
                <w:b w:val="0"/>
                <w:sz w:val="19"/>
              </w:rPr>
              <w:t>Rainfall processes, temperature ranges, ice-period conditions, evaporation periods</w:t>
            </w:r>
          </w:p>
        </w:tc>
      </w:tr>
      <w:tr>
        <w:tc>
          <w:tcPr>
            <w:tcW w:type="dxa" w:w="2929"/>
          </w:tcPr>
          <w:p>
            <w:pPr>
              <w:jc w:val="center"/>
            </w:pPr>
            <w:r/>
            <w:r>
              <w:rPr>
                <w:rFonts w:ascii="Times New Roman" w:hAnsi="Times New Roman"/>
                <w:b w:val="0"/>
                <w:sz w:val="19"/>
              </w:rPr>
              <w:t>D4</w:t>
            </w:r>
          </w:p>
        </w:tc>
        <w:tc>
          <w:tcPr>
            <w:tcW w:type="dxa" w:w="2929"/>
          </w:tcPr>
          <w:p>
            <w:r/>
            <w:r>
              <w:rPr>
                <w:rFonts w:ascii="Times New Roman" w:hAnsi="Times New Roman"/>
                <w:b w:val="0"/>
                <w:sz w:val="19"/>
              </w:rPr>
              <w:t>Perception</w:t>
            </w:r>
          </w:p>
        </w:tc>
        <w:tc>
          <w:tcPr>
            <w:tcW w:type="dxa" w:w="2929"/>
          </w:tcPr>
          <w:p>
            <w:r/>
            <w:r>
              <w:rPr>
                <w:rFonts w:ascii="Times New Roman" w:hAnsi="Times New Roman"/>
                <w:b w:val="0"/>
                <w:sz w:val="19"/>
              </w:rPr>
              <w:t>Sensor types/accuracy, sampling frequency, single/multiple sensor failures, data drift</w:t>
            </w:r>
          </w:p>
        </w:tc>
      </w:tr>
      <w:tr>
        <w:tc>
          <w:tcPr>
            <w:tcW w:type="dxa" w:w="2929"/>
          </w:tcPr>
          <w:p>
            <w:pPr>
              <w:jc w:val="center"/>
            </w:pPr>
            <w:r/>
            <w:r>
              <w:rPr>
                <w:rFonts w:ascii="Times New Roman" w:hAnsi="Times New Roman"/>
                <w:b w:val="0"/>
                <w:sz w:val="19"/>
              </w:rPr>
              <w:t>D5</w:t>
            </w:r>
          </w:p>
        </w:tc>
        <w:tc>
          <w:tcPr>
            <w:tcW w:type="dxa" w:w="2929"/>
          </w:tcPr>
          <w:p>
            <w:r/>
            <w:r>
              <w:rPr>
                <w:rFonts w:ascii="Times New Roman" w:hAnsi="Times New Roman"/>
                <w:b w:val="0"/>
                <w:sz w:val="19"/>
              </w:rPr>
              <w:t>Communication</w:t>
            </w:r>
          </w:p>
        </w:tc>
        <w:tc>
          <w:tcPr>
            <w:tcW w:type="dxa" w:w="2929"/>
          </w:tcPr>
          <w:p>
            <w:r/>
            <w:r>
              <w:rPr>
                <w:rFonts w:ascii="Times New Roman" w:hAnsi="Times New Roman"/>
                <w:b w:val="0"/>
                <w:sz w:val="19"/>
              </w:rPr>
              <w:t>Network latency, packet loss, bandwidth limits, OT–IT link interruption, DDS partition isolation</w:t>
            </w:r>
          </w:p>
        </w:tc>
      </w:tr>
      <w:tr>
        <w:tc>
          <w:tcPr>
            <w:tcW w:type="dxa" w:w="2929"/>
          </w:tcPr>
          <w:p>
            <w:pPr>
              <w:jc w:val="center"/>
            </w:pPr>
            <w:r/>
            <w:r>
              <w:rPr>
                <w:rFonts w:ascii="Times New Roman" w:hAnsi="Times New Roman"/>
                <w:b w:val="0"/>
                <w:sz w:val="19"/>
              </w:rPr>
              <w:t>D6</w:t>
            </w:r>
          </w:p>
        </w:tc>
        <w:tc>
          <w:tcPr>
            <w:tcW w:type="dxa" w:w="2929"/>
          </w:tcPr>
          <w:p>
            <w:r/>
            <w:r>
              <w:rPr>
                <w:rFonts w:ascii="Times New Roman" w:hAnsi="Times New Roman"/>
                <w:b w:val="0"/>
                <w:sz w:val="19"/>
              </w:rPr>
              <w:t>Fault</w:t>
            </w:r>
          </w:p>
        </w:tc>
        <w:tc>
          <w:tcPr>
            <w:tcW w:type="dxa" w:w="2929"/>
          </w:tcPr>
          <w:p>
            <w:r/>
            <w:r>
              <w:rPr>
                <w:rFonts w:ascii="Times New Roman" w:hAnsi="Times New Roman"/>
                <w:b w:val="0"/>
                <w:sz w:val="19"/>
              </w:rPr>
              <w:t>Actuator faults, sensor faults, algorithm divergence, MAS crash, multi-type coupled faults</w:t>
            </w:r>
          </w:p>
        </w:tc>
      </w:tr>
    </w:tbl>
    <w:p>
      <w:pPr>
        <w:pStyle w:val="Heading2"/>
      </w:pPr>
      <w:r>
        <w:t>11.2   Scenario classification and priority</w:t>
      </w:r>
    </w:p>
    <w:p>
      <w:r>
        <w:rPr>
          <w:rFonts w:ascii="Times New Roman" w:hAnsi="Times New Roman"/>
          <w:b w:val="0"/>
          <w:i w:val="0"/>
          <w:sz w:val="22"/>
        </w:rPr>
        <w:t>Scenarios shall be classified by function (normal dispatch, emergency, degradation, boundary) and by priority:</w:t>
      </w:r>
    </w:p>
    <w:p>
      <w:pPr>
        <w:pStyle w:val="ListBullet"/>
      </w:pPr>
      <w:r>
        <w:rPr>
          <w:rFonts w:ascii="Times New Roman" w:hAnsi="Times New Roman"/>
          <w:sz w:val="22"/>
        </w:rPr>
        <w:t>P0 (mandatory): Safety-critical scenarios involving hard constraints — 100 % coverage required;</w:t>
      </w:r>
    </w:p>
    <w:p>
      <w:pPr>
        <w:pStyle w:val="ListBullet"/>
      </w:pPr>
      <w:r>
        <w:rPr>
          <w:rFonts w:ascii="Times New Roman" w:hAnsi="Times New Roman"/>
          <w:sz w:val="22"/>
        </w:rPr>
        <w:t>P1 (important): Common scenarios covering &gt;90 % of daily operations, including OT–IT disconnection with island autonomy — ≥95 % coverage required;</w:t>
      </w:r>
    </w:p>
    <w:p>
      <w:pPr>
        <w:pStyle w:val="ListBullet"/>
      </w:pPr>
      <w:r>
        <w:rPr>
          <w:rFonts w:ascii="Times New Roman" w:hAnsi="Times New Roman"/>
          <w:sz w:val="22"/>
        </w:rPr>
        <w:t>P2 (recommended): Rare conditions for robustness enhancement — ≥80 % coverage.</w:t>
      </w:r>
    </w:p>
    <w:p>
      <w:pPr>
        <w:pStyle w:val="Heading2"/>
      </w:pPr>
      <w:r>
        <w:t>11.3   XIL testing levels</w:t>
      </w:r>
    </w:p>
    <w:p>
      <w:pPr>
        <w:jc w:val="center"/>
      </w:pPr>
      <w:r>
        <w:rPr>
          <w:rFonts w:ascii="Times New Roman" w:hAnsi="Times New Roman"/>
          <w:b/>
          <w:i w:val="0"/>
          <w:sz w:val="22"/>
        </w:rPr>
        <w:t>Table 8 — XIL testing level requirements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D9E2F3"/>
          </w:tcPr>
          <w:p>
            <w:pPr>
              <w:jc w:val="center"/>
            </w:pPr>
            <w:r/>
            <w:r>
              <w:rPr>
                <w:rFonts w:ascii="Times New Roman" w:hAnsi="Times New Roman"/>
                <w:b/>
                <w:sz w:val="19"/>
              </w:rPr>
              <w:t>Level</w:t>
            </w:r>
          </w:p>
        </w:tc>
        <w:tc>
          <w:tcPr>
            <w:tcW w:type="dxa" w:w="1758"/>
            <w:shd w:fill="D9E2F3"/>
          </w:tcPr>
          <w:p>
            <w:pPr>
              <w:jc w:val="center"/>
            </w:pPr>
            <w:r/>
            <w:r>
              <w:rPr>
                <w:rFonts w:ascii="Times New Roman" w:hAnsi="Times New Roman"/>
                <w:b/>
                <w:sz w:val="19"/>
              </w:rPr>
              <w:t>Control algorithm form</w:t>
            </w:r>
          </w:p>
        </w:tc>
        <w:tc>
          <w:tcPr>
            <w:tcW w:type="dxa" w:w="1758"/>
            <w:shd w:fill="D9E2F3"/>
          </w:tcPr>
          <w:p>
            <w:pPr>
              <w:jc w:val="center"/>
            </w:pPr>
            <w:r/>
            <w:r>
              <w:rPr>
                <w:rFonts w:ascii="Times New Roman" w:hAnsi="Times New Roman"/>
                <w:b/>
                <w:sz w:val="19"/>
              </w:rPr>
              <w:t>Plant form</w:t>
            </w:r>
          </w:p>
        </w:tc>
        <w:tc>
          <w:tcPr>
            <w:tcW w:type="dxa" w:w="1758"/>
            <w:shd w:fill="D9E2F3"/>
          </w:tcPr>
          <w:p>
            <w:pPr>
              <w:jc w:val="center"/>
            </w:pPr>
            <w:r/>
            <w:r>
              <w:rPr>
                <w:rFonts w:ascii="Times New Roman" w:hAnsi="Times New Roman"/>
                <w:b/>
                <w:sz w:val="19"/>
              </w:rPr>
              <w:t>Verification objective</w:t>
            </w:r>
          </w:p>
        </w:tc>
        <w:tc>
          <w:tcPr>
            <w:tcW w:type="dxa" w:w="1758"/>
            <w:shd w:fill="D9E2F3"/>
          </w:tcPr>
          <w:p>
            <w:pPr>
              <w:jc w:val="center"/>
            </w:pPr>
            <w:r/>
            <w:r>
              <w:rPr>
                <w:rFonts w:ascii="Times New Roman" w:hAnsi="Times New Roman"/>
                <w:b/>
                <w:sz w:val="19"/>
              </w:rPr>
              <w:t>Acceptance criterion</w:t>
            </w:r>
          </w:p>
        </w:tc>
      </w:tr>
      <w:tr>
        <w:tc>
          <w:tcPr>
            <w:tcW w:type="dxa" w:w="1758"/>
          </w:tcPr>
          <w:p>
            <w:pPr>
              <w:jc w:val="center"/>
            </w:pPr>
            <w:r/>
            <w:r>
              <w:rPr>
                <w:rFonts w:ascii="Times New Roman" w:hAnsi="Times New Roman"/>
                <w:b w:val="0"/>
                <w:sz w:val="19"/>
              </w:rPr>
              <w:t>MIL</w:t>
            </w:r>
          </w:p>
        </w:tc>
        <w:tc>
          <w:tcPr>
            <w:tcW w:type="dxa" w:w="1758"/>
          </w:tcPr>
          <w:p>
            <w:r/>
            <w:r>
              <w:rPr>
                <w:rFonts w:ascii="Times New Roman" w:hAnsi="Times New Roman"/>
                <w:b w:val="0"/>
                <w:sz w:val="19"/>
              </w:rPr>
              <w:t>Mathematical model</w:t>
            </w:r>
          </w:p>
        </w:tc>
        <w:tc>
          <w:tcPr>
            <w:tcW w:type="dxa" w:w="1758"/>
          </w:tcPr>
          <w:p>
            <w:r/>
            <w:r>
              <w:rPr>
                <w:rFonts w:ascii="Times New Roman" w:hAnsi="Times New Roman"/>
                <w:b w:val="0"/>
                <w:sz w:val="19"/>
              </w:rPr>
              <w:t>Mathematical model</w:t>
            </w:r>
          </w:p>
        </w:tc>
        <w:tc>
          <w:tcPr>
            <w:tcW w:type="dxa" w:w="1758"/>
          </w:tcPr>
          <w:p>
            <w:r/>
            <w:r>
              <w:rPr>
                <w:rFonts w:ascii="Times New Roman" w:hAnsi="Times New Roman"/>
                <w:b w:val="0"/>
                <w:sz w:val="19"/>
              </w:rPr>
              <w:t>Algorithm logic correctness</w:t>
            </w:r>
          </w:p>
        </w:tc>
        <w:tc>
          <w:tcPr>
            <w:tcW w:type="dxa" w:w="1758"/>
          </w:tcPr>
          <w:p>
            <w:r/>
            <w:r>
              <w:rPr>
                <w:rFonts w:ascii="Times New Roman" w:hAnsi="Times New Roman"/>
                <w:b w:val="0"/>
                <w:sz w:val="19"/>
              </w:rPr>
              <w:t>Zero hard constraint violations; all P0 passed</w:t>
            </w:r>
          </w:p>
        </w:tc>
      </w:tr>
      <w:tr>
        <w:tc>
          <w:tcPr>
            <w:tcW w:type="dxa" w:w="1758"/>
          </w:tcPr>
          <w:p>
            <w:pPr>
              <w:jc w:val="center"/>
            </w:pPr>
            <w:r/>
            <w:r>
              <w:rPr>
                <w:rFonts w:ascii="Times New Roman" w:hAnsi="Times New Roman"/>
                <w:b w:val="0"/>
                <w:sz w:val="19"/>
              </w:rPr>
              <w:t>SIL</w:t>
            </w:r>
          </w:p>
        </w:tc>
        <w:tc>
          <w:tcPr>
            <w:tcW w:type="dxa" w:w="1758"/>
          </w:tcPr>
          <w:p>
            <w:r/>
            <w:r>
              <w:rPr>
                <w:rFonts w:ascii="Times New Roman" w:hAnsi="Times New Roman"/>
                <w:b w:val="0"/>
                <w:sz w:val="19"/>
              </w:rPr>
              <w:t>Auto-generated code</w:t>
            </w:r>
          </w:p>
        </w:tc>
        <w:tc>
          <w:tcPr>
            <w:tcW w:type="dxa" w:w="1758"/>
          </w:tcPr>
          <w:p>
            <w:r/>
            <w:r>
              <w:rPr>
                <w:rFonts w:ascii="Times New Roman" w:hAnsi="Times New Roman"/>
                <w:b w:val="0"/>
                <w:sz w:val="19"/>
              </w:rPr>
              <w:t>Mathematical model</w:t>
            </w:r>
          </w:p>
        </w:tc>
        <w:tc>
          <w:tcPr>
            <w:tcW w:type="dxa" w:w="1758"/>
          </w:tcPr>
          <w:p>
            <w:r/>
            <w:r>
              <w:rPr>
                <w:rFonts w:ascii="Times New Roman" w:hAnsi="Times New Roman"/>
                <w:b w:val="0"/>
                <w:sz w:val="19"/>
              </w:rPr>
              <w:t>Code–model consistency</w:t>
            </w:r>
          </w:p>
        </w:tc>
        <w:tc>
          <w:tcPr>
            <w:tcW w:type="dxa" w:w="1758"/>
          </w:tcPr>
          <w:p>
            <w:r/>
            <w:r>
              <w:rPr>
                <w:rFonts w:ascii="Times New Roman" w:hAnsi="Times New Roman"/>
                <w:b w:val="0"/>
                <w:sz w:val="19"/>
              </w:rPr>
              <w:t>Control output deviation ≤1 %</w:t>
            </w:r>
          </w:p>
        </w:tc>
      </w:tr>
      <w:tr>
        <w:tc>
          <w:tcPr>
            <w:tcW w:type="dxa" w:w="1758"/>
          </w:tcPr>
          <w:p>
            <w:pPr>
              <w:jc w:val="center"/>
            </w:pPr>
            <w:r/>
            <w:r>
              <w:rPr>
                <w:rFonts w:ascii="Times New Roman" w:hAnsi="Times New Roman"/>
                <w:b w:val="0"/>
                <w:sz w:val="19"/>
              </w:rPr>
              <w:t>HIL</w:t>
            </w:r>
          </w:p>
        </w:tc>
        <w:tc>
          <w:tcPr>
            <w:tcW w:type="dxa" w:w="1758"/>
          </w:tcPr>
          <w:p>
            <w:r/>
            <w:r>
              <w:rPr>
                <w:rFonts w:ascii="Times New Roman" w:hAnsi="Times New Roman"/>
                <w:b w:val="0"/>
                <w:sz w:val="19"/>
              </w:rPr>
              <w:t>Real controller +</w:t>
              <w:br/>
              <w:t>Edge MAS</w:t>
            </w:r>
          </w:p>
        </w:tc>
        <w:tc>
          <w:tcPr>
            <w:tcW w:type="dxa" w:w="1758"/>
          </w:tcPr>
          <w:p>
            <w:r/>
            <w:r>
              <w:rPr>
                <w:rFonts w:ascii="Times New Roman" w:hAnsi="Times New Roman"/>
                <w:b w:val="0"/>
                <w:sz w:val="19"/>
              </w:rPr>
              <w:t>Real-time simulator +</w:t>
              <w:br/>
              <w:t>SCADA emulator</w:t>
            </w:r>
          </w:p>
        </w:tc>
        <w:tc>
          <w:tcPr>
            <w:tcW w:type="dxa" w:w="1758"/>
          </w:tcPr>
          <w:p>
            <w:r/>
            <w:r>
              <w:rPr>
                <w:rFonts w:ascii="Times New Roman" w:hAnsi="Times New Roman"/>
                <w:b w:val="0"/>
                <w:sz w:val="19"/>
              </w:rPr>
              <w:t>Real-time performance,</w:t>
              <w:br/>
              <w:t>multi-network coordination</w:t>
            </w:r>
          </w:p>
        </w:tc>
        <w:tc>
          <w:tcPr>
            <w:tcW w:type="dxa" w:w="1758"/>
          </w:tcPr>
          <w:p>
            <w:r/>
            <w:r>
              <w:rPr>
                <w:rFonts w:ascii="Times New Roman" w:hAnsi="Times New Roman"/>
                <w:b w:val="0"/>
                <w:sz w:val="19"/>
              </w:rPr>
              <w:t>Circuit breaker response within spec;</w:t>
              <w:br/>
              <w:t>disconnection autonomy switch successful</w:t>
            </w:r>
          </w:p>
        </w:tc>
      </w:tr>
    </w:tbl>
    <w:p>
      <w:pPr>
        <w:pStyle w:val="Heading2"/>
      </w:pPr>
      <w:r>
        <w:t>11.4   HIL enhanced requirements</w:t>
      </w:r>
    </w:p>
    <w:p>
      <w:r>
        <w:rPr>
          <w:rFonts w:ascii="Times New Roman" w:hAnsi="Times New Roman"/>
          <w:b w:val="0"/>
          <w:i w:val="0"/>
          <w:sz w:val="22"/>
        </w:rPr>
        <w:t>In addition to all SIL requirements, HIL testing shall verify:</w:t>
      </w:r>
    </w:p>
    <w:p>
      <w:pPr>
        <w:pStyle w:val="ListBullet"/>
      </w:pPr>
      <w:r>
        <w:rPr>
          <w:rFonts w:ascii="Times New Roman" w:hAnsi="Times New Roman"/>
          <w:sz w:val="22"/>
        </w:rPr>
        <w:t>SCADA heartbeat circuit breaker: upon injecting an MAS crash fault, SCADA shall revert to local control within 500 ms;</w:t>
      </w:r>
    </w:p>
    <w:p>
      <w:pPr>
        <w:pStyle w:val="ListBullet"/>
      </w:pPr>
      <w:r>
        <w:rPr>
          <w:rFonts w:ascii="Times New Roman" w:hAnsi="Times New Roman"/>
          <w:sz w:val="22"/>
        </w:rPr>
        <w:t>disconnection autonomy switch: after physically severing the Zone 2–Zone 4 link, edge agents shall switch to island autonomy mode within 1 second;</w:t>
      </w:r>
    </w:p>
    <w:p>
      <w:pPr>
        <w:pStyle w:val="ListBullet"/>
      </w:pPr>
      <w:r>
        <w:rPr>
          <w:rFonts w:ascii="Times New Roman" w:hAnsi="Times New Roman"/>
          <w:sz w:val="22"/>
        </w:rPr>
        <w:t>human takeover effectiveness: human takeover initiated at any runtime moment shall result in smooth transition;</w:t>
      </w:r>
    </w:p>
    <w:p>
      <w:pPr>
        <w:pStyle w:val="ListBullet"/>
      </w:pPr>
      <w:r>
        <w:rPr>
          <w:rFonts w:ascii="Times New Roman" w:hAnsi="Times New Roman"/>
          <w:sz w:val="22"/>
        </w:rPr>
        <w:t>multi-fault coupled scenarios (e.g., sensor failure + MAS communication interruption simultaneously);</w:t>
      </w:r>
    </w:p>
    <w:p>
      <w:pPr>
        <w:pStyle w:val="ListBullet"/>
      </w:pPr>
      <w:r>
        <w:rPr>
          <w:rFonts w:ascii="Times New Roman" w:hAnsi="Times New Roman"/>
          <w:sz w:val="22"/>
        </w:rPr>
        <w:t>DDS communication latency and reliability under real OT network conditions.</w:t>
      </w:r>
    </w:p>
    <w:p>
      <w:pPr>
        <w:pStyle w:val="Heading2"/>
      </w:pPr>
      <w:r>
        <w:t>11.5   Coverage requirements</w:t>
      </w:r>
    </w:p>
    <w:p>
      <w:pPr>
        <w:pStyle w:val="ListBullet"/>
      </w:pPr>
      <w:r>
        <w:rPr>
          <w:rFonts w:ascii="Times New Roman" w:hAnsi="Times New Roman"/>
          <w:sz w:val="22"/>
        </w:rPr>
        <w:t>P0 (mandatory): 100 % coverage, all passed;</w:t>
      </w:r>
    </w:p>
    <w:p>
      <w:pPr>
        <w:pStyle w:val="ListBullet"/>
      </w:pPr>
      <w:r>
        <w:rPr>
          <w:rFonts w:ascii="Times New Roman" w:hAnsi="Times New Roman"/>
          <w:sz w:val="22"/>
        </w:rPr>
        <w:t>P1 (important): ≥95 % coverage, ≥98 % pass rate;</w:t>
      </w:r>
    </w:p>
    <w:p>
      <w:pPr>
        <w:pStyle w:val="ListBullet"/>
      </w:pPr>
      <w:r>
        <w:rPr>
          <w:rFonts w:ascii="Times New Roman" w:hAnsi="Times New Roman"/>
          <w:sz w:val="22"/>
        </w:rPr>
        <w:t>P2 (recommended): ≥80 % coverage.</w:t>
      </w:r>
    </w:p>
    <w:p>
      <w:pPr>
        <w:pStyle w:val="Heading1"/>
      </w:pPr>
      <w:r>
        <w:t>12   Engineering acceptance</w:t>
      </w:r>
    </w:p>
    <w:p>
      <w:pPr>
        <w:pStyle w:val="Heading2"/>
      </w:pPr>
      <w:r>
        <w:t>12.1   Acceptance package composition</w:t>
      </w:r>
    </w:p>
    <w:p>
      <w:r>
        <w:rPr>
          <w:rFonts w:ascii="Times New Roman" w:hAnsi="Times New Roman"/>
          <w:b w:val="0"/>
          <w:i w:val="0"/>
          <w:sz w:val="22"/>
        </w:rPr>
        <w:t>At engineering acceptance, the constructor shall submit an engineering acceptance package. For the SCADA+MAS integration architecture, the package shall contain the documents specified in Table 9.</w:t>
      </w:r>
    </w:p>
    <w:p>
      <w:pPr>
        <w:jc w:val="center"/>
      </w:pPr>
      <w:r>
        <w:rPr>
          <w:rFonts w:ascii="Times New Roman" w:hAnsi="Times New Roman"/>
          <w:b/>
          <w:i w:val="0"/>
          <w:sz w:val="22"/>
        </w:rPr>
        <w:t>Table 9 — Engineering acceptance package composition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19"/>
              </w:rPr>
              <w:t>No.</w:t>
            </w:r>
          </w:p>
        </w:tc>
        <w:tc>
          <w:tcPr>
            <w:tcW w:type="dxa" w:w="2929"/>
            <w:shd w:fill="D9E2F3"/>
          </w:tcPr>
          <w:p>
            <w:pPr>
              <w:jc w:val="center"/>
            </w:pPr>
            <w:r/>
            <w:r>
              <w:rPr>
                <w:rFonts w:ascii="Times New Roman" w:hAnsi="Times New Roman"/>
                <w:b/>
                <w:sz w:val="19"/>
              </w:rPr>
              <w:t>Document</w:t>
            </w:r>
          </w:p>
        </w:tc>
        <w:tc>
          <w:tcPr>
            <w:tcW w:type="dxa" w:w="2929"/>
            <w:shd w:fill="D9E2F3"/>
          </w:tcPr>
          <w:p>
            <w:pPr>
              <w:jc w:val="center"/>
            </w:pPr>
            <w:r/>
            <w:r>
              <w:rPr>
                <w:rFonts w:ascii="Times New Roman" w:hAnsi="Times New Roman"/>
                <w:b/>
                <w:sz w:val="19"/>
              </w:rPr>
              <w:t>Content requirements</w:t>
            </w:r>
          </w:p>
        </w:tc>
      </w:tr>
      <w:tr>
        <w:tc>
          <w:tcPr>
            <w:tcW w:type="dxa" w:w="2929"/>
          </w:tcPr>
          <w:p>
            <w:pPr>
              <w:jc w:val="center"/>
            </w:pPr>
            <w:r/>
            <w:r>
              <w:rPr>
                <w:rFonts w:ascii="Times New Roman" w:hAnsi="Times New Roman"/>
                <w:b w:val="0"/>
                <w:sz w:val="19"/>
              </w:rPr>
              <w:t>1</w:t>
            </w:r>
          </w:p>
        </w:tc>
        <w:tc>
          <w:tcPr>
            <w:tcW w:type="dxa" w:w="2929"/>
          </w:tcPr>
          <w:p>
            <w:r/>
            <w:r>
              <w:rPr>
                <w:rFonts w:ascii="Times New Roman" w:hAnsi="Times New Roman"/>
                <w:b w:val="0"/>
                <w:sz w:val="19"/>
              </w:rPr>
              <w:t>ODD declaration</w:t>
            </w:r>
          </w:p>
        </w:tc>
        <w:tc>
          <w:tcPr>
            <w:tcW w:type="dxa" w:w="2929"/>
          </w:tcPr>
          <w:p>
            <w:r/>
            <w:r>
              <w:rPr>
                <w:rFonts w:ascii="Times New Roman" w:hAnsi="Times New Roman"/>
                <w:b w:val="0"/>
                <w:sz w:val="19"/>
              </w:rPr>
              <w:t>Complete ODD parameter ranges and degradation strategies, including OT–IT disconnection degradation plan</w:t>
            </w:r>
          </w:p>
        </w:tc>
      </w:tr>
      <w:tr>
        <w:tc>
          <w:tcPr>
            <w:tcW w:type="dxa" w:w="2929"/>
          </w:tcPr>
          <w:p>
            <w:pPr>
              <w:jc w:val="center"/>
            </w:pPr>
            <w:r/>
            <w:r>
              <w:rPr>
                <w:rFonts w:ascii="Times New Roman" w:hAnsi="Times New Roman"/>
                <w:b w:val="0"/>
                <w:sz w:val="19"/>
              </w:rPr>
              <w:t>2</w:t>
            </w:r>
          </w:p>
        </w:tc>
        <w:tc>
          <w:tcPr>
            <w:tcW w:type="dxa" w:w="2929"/>
          </w:tcPr>
          <w:p>
            <w:r/>
            <w:r>
              <w:rPr>
                <w:rFonts w:ascii="Times New Roman" w:hAnsi="Times New Roman"/>
                <w:b w:val="0"/>
                <w:sz w:val="19"/>
              </w:rPr>
              <w:t>Constraint template</w:t>
            </w:r>
          </w:p>
        </w:tc>
        <w:tc>
          <w:tcPr>
            <w:tcW w:type="dxa" w:w="2929"/>
          </w:tcPr>
          <w:p>
            <w:r/>
            <w:r>
              <w:rPr>
                <w:rFonts w:ascii="Times New Roman" w:hAnsi="Times New Roman"/>
                <w:b w:val="0"/>
                <w:sz w:val="19"/>
              </w:rPr>
              <w:t>Formalized definitions of all hard/soft constraints using Water-CIM Control Package format</w:t>
            </w:r>
          </w:p>
        </w:tc>
      </w:tr>
      <w:tr>
        <w:tc>
          <w:tcPr>
            <w:tcW w:type="dxa" w:w="2929"/>
          </w:tcPr>
          <w:p>
            <w:pPr>
              <w:jc w:val="center"/>
            </w:pPr>
            <w:r/>
            <w:r>
              <w:rPr>
                <w:rFonts w:ascii="Times New Roman" w:hAnsi="Times New Roman"/>
                <w:b w:val="0"/>
                <w:sz w:val="19"/>
              </w:rPr>
              <w:t>3</w:t>
            </w:r>
          </w:p>
        </w:tc>
        <w:tc>
          <w:tcPr>
            <w:tcW w:type="dxa" w:w="2929"/>
          </w:tcPr>
          <w:p>
            <w:r/>
            <w:r>
              <w:rPr>
                <w:rFonts w:ascii="Times New Roman" w:hAnsi="Times New Roman"/>
                <w:b w:val="0"/>
                <w:sz w:val="19"/>
              </w:rPr>
              <w:t>Scenario coverage report</w:t>
            </w:r>
          </w:p>
        </w:tc>
        <w:tc>
          <w:tcPr>
            <w:tcW w:type="dxa" w:w="2929"/>
          </w:tcPr>
          <w:p>
            <w:r/>
            <w:r>
              <w:rPr>
                <w:rFonts w:ascii="Times New Roman" w:hAnsi="Times New Roman"/>
                <w:b w:val="0"/>
                <w:sz w:val="19"/>
              </w:rPr>
              <w:t>P0/P1/P2 coverage statistics and scenario execution result matrix</w:t>
            </w:r>
          </w:p>
        </w:tc>
      </w:tr>
      <w:tr>
        <w:tc>
          <w:tcPr>
            <w:tcW w:type="dxa" w:w="2929"/>
          </w:tcPr>
          <w:p>
            <w:pPr>
              <w:jc w:val="center"/>
            </w:pPr>
            <w:r/>
            <w:r>
              <w:rPr>
                <w:rFonts w:ascii="Times New Roman" w:hAnsi="Times New Roman"/>
                <w:b w:val="0"/>
                <w:sz w:val="19"/>
              </w:rPr>
              <w:t>4</w:t>
            </w:r>
          </w:p>
        </w:tc>
        <w:tc>
          <w:tcPr>
            <w:tcW w:type="dxa" w:w="2929"/>
          </w:tcPr>
          <w:p>
            <w:r/>
            <w:r>
              <w:rPr>
                <w:rFonts w:ascii="Times New Roman" w:hAnsi="Times New Roman"/>
                <w:b w:val="0"/>
                <w:sz w:val="19"/>
              </w:rPr>
              <w:t>XIL test reports</w:t>
            </w:r>
          </w:p>
        </w:tc>
        <w:tc>
          <w:tcPr>
            <w:tcW w:type="dxa" w:w="2929"/>
          </w:tcPr>
          <w:p>
            <w:r/>
            <w:r>
              <w:rPr>
                <w:rFonts w:ascii="Times New Roman" w:hAnsi="Times New Roman"/>
                <w:b w:val="0"/>
                <w:sz w:val="19"/>
              </w:rPr>
              <w:t>MIL, SIL, HIL phase reports including DDS/OPC UA communication test results</w:t>
            </w:r>
          </w:p>
        </w:tc>
      </w:tr>
      <w:tr>
        <w:tc>
          <w:tcPr>
            <w:tcW w:type="dxa" w:w="2929"/>
          </w:tcPr>
          <w:p>
            <w:pPr>
              <w:jc w:val="center"/>
            </w:pPr>
            <w:r/>
            <w:r>
              <w:rPr>
                <w:rFonts w:ascii="Times New Roman" w:hAnsi="Times New Roman"/>
                <w:b w:val="0"/>
                <w:sz w:val="19"/>
              </w:rPr>
              <w:t>5</w:t>
            </w:r>
          </w:p>
        </w:tc>
        <w:tc>
          <w:tcPr>
            <w:tcW w:type="dxa" w:w="2929"/>
          </w:tcPr>
          <w:p>
            <w:r/>
            <w:r>
              <w:rPr>
                <w:rFonts w:ascii="Times New Roman" w:hAnsi="Times New Roman"/>
                <w:b w:val="0"/>
                <w:sz w:val="19"/>
              </w:rPr>
              <w:t>Safety case</w:t>
            </w:r>
          </w:p>
        </w:tc>
        <w:tc>
          <w:tcPr>
            <w:tcW w:type="dxa" w:w="2929"/>
          </w:tcPr>
          <w:p>
            <w:r/>
            <w:r>
              <w:rPr>
                <w:rFonts w:ascii="Times New Roman" w:hAnsi="Times New Roman"/>
                <w:b w:val="0"/>
                <w:sz w:val="19"/>
              </w:rPr>
              <w:t>Structured safety argument using GSN or CAE framework, covering MAS crash and disconnection scenarios</w:t>
            </w:r>
          </w:p>
        </w:tc>
      </w:tr>
      <w:tr>
        <w:tc>
          <w:tcPr>
            <w:tcW w:type="dxa" w:w="2929"/>
          </w:tcPr>
          <w:p>
            <w:pPr>
              <w:jc w:val="center"/>
            </w:pPr>
            <w:r/>
            <w:r>
              <w:rPr>
                <w:rFonts w:ascii="Times New Roman" w:hAnsi="Times New Roman"/>
                <w:b w:val="0"/>
                <w:sz w:val="19"/>
              </w:rPr>
              <w:t>6</w:t>
            </w:r>
          </w:p>
        </w:tc>
        <w:tc>
          <w:tcPr>
            <w:tcW w:type="dxa" w:w="2929"/>
          </w:tcPr>
          <w:p>
            <w:r/>
            <w:r>
              <w:rPr>
                <w:rFonts w:ascii="Times New Roman" w:hAnsi="Times New Roman"/>
                <w:b w:val="0"/>
                <w:sz w:val="19"/>
              </w:rPr>
              <w:t>Model version audit record</w:t>
            </w:r>
          </w:p>
        </w:tc>
        <w:tc>
          <w:tcPr>
            <w:tcW w:type="dxa" w:w="2929"/>
          </w:tcPr>
          <w:p>
            <w:r/>
            <w:r>
              <w:rPr>
                <w:rFonts w:ascii="Times New Roman" w:hAnsi="Times New Roman"/>
                <w:b w:val="0"/>
                <w:sz w:val="19"/>
              </w:rPr>
              <w:t>Hash comparison proving online model/code matches SIL-verified version</w:t>
            </w:r>
          </w:p>
        </w:tc>
      </w:tr>
      <w:tr>
        <w:tc>
          <w:tcPr>
            <w:tcW w:type="dxa" w:w="2929"/>
          </w:tcPr>
          <w:p>
            <w:pPr>
              <w:jc w:val="center"/>
            </w:pPr>
            <w:r/>
            <w:r>
              <w:rPr>
                <w:rFonts w:ascii="Times New Roman" w:hAnsi="Times New Roman"/>
                <w:b w:val="0"/>
                <w:sz w:val="19"/>
              </w:rPr>
              <w:t>7</w:t>
            </w:r>
          </w:p>
        </w:tc>
        <w:tc>
          <w:tcPr>
            <w:tcW w:type="dxa" w:w="2929"/>
          </w:tcPr>
          <w:p>
            <w:r/>
            <w:r>
              <w:rPr>
                <w:rFonts w:ascii="Times New Roman" w:hAnsi="Times New Roman"/>
                <w:b w:val="0"/>
                <w:sz w:val="19"/>
              </w:rPr>
              <w:t>Distributed deployment</w:t>
              <w:br/>
              <w:t>topology file (DDT)</w:t>
            </w:r>
          </w:p>
        </w:tc>
        <w:tc>
          <w:tcPr>
            <w:tcW w:type="dxa" w:w="2929"/>
          </w:tcPr>
          <w:p>
            <w:r/>
            <w:r>
              <w:rPr>
                <w:rFonts w:ascii="Times New Roman" w:hAnsi="Times New Roman"/>
                <w:b w:val="0"/>
                <w:sz w:val="19"/>
              </w:rPr>
              <w:t>IaC script describing agent deployment locations, IPs, DDS Domain configuration; shall support one-click deployment and failover migration</w:t>
            </w:r>
          </w:p>
        </w:tc>
      </w:tr>
      <w:tr>
        <w:tc>
          <w:tcPr>
            <w:tcW w:type="dxa" w:w="2929"/>
          </w:tcPr>
          <w:p>
            <w:pPr>
              <w:jc w:val="center"/>
            </w:pPr>
            <w:r/>
            <w:r>
              <w:rPr>
                <w:rFonts w:ascii="Times New Roman" w:hAnsi="Times New Roman"/>
                <w:b w:val="0"/>
                <w:sz w:val="19"/>
              </w:rPr>
              <w:t>8</w:t>
            </w:r>
          </w:p>
        </w:tc>
        <w:tc>
          <w:tcPr>
            <w:tcW w:type="dxa" w:w="2929"/>
          </w:tcPr>
          <w:p>
            <w:r/>
            <w:r>
              <w:rPr>
                <w:rFonts w:ascii="Times New Roman" w:hAnsi="Times New Roman"/>
                <w:b w:val="0"/>
                <w:sz w:val="19"/>
              </w:rPr>
              <w:t>Multi-network security</w:t>
              <w:br/>
              <w:t>policy set</w:t>
            </w:r>
          </w:p>
        </w:tc>
        <w:tc>
          <w:tcPr>
            <w:tcW w:type="dxa" w:w="2929"/>
          </w:tcPr>
          <w:p>
            <w:r/>
            <w:r>
              <w:rPr>
                <w:rFonts w:ascii="Times New Roman" w:hAnsi="Times New Roman"/>
                <w:b w:val="0"/>
                <w:sz w:val="19"/>
              </w:rPr>
              <w:t>Zone partitioning scheme, isolation device configuration, cross-network rules. Including penetration test report</w:t>
            </w:r>
          </w:p>
        </w:tc>
      </w:tr>
      <w:tr>
        <w:tc>
          <w:tcPr>
            <w:tcW w:type="dxa" w:w="2929"/>
          </w:tcPr>
          <w:p>
            <w:pPr>
              <w:jc w:val="center"/>
            </w:pPr>
            <w:r/>
            <w:r>
              <w:rPr>
                <w:rFonts w:ascii="Times New Roman" w:hAnsi="Times New Roman"/>
                <w:b w:val="0"/>
                <w:sz w:val="19"/>
              </w:rPr>
              <w:t>9</w:t>
            </w:r>
          </w:p>
        </w:tc>
        <w:tc>
          <w:tcPr>
            <w:tcW w:type="dxa" w:w="2929"/>
          </w:tcPr>
          <w:p>
            <w:r/>
            <w:r>
              <w:rPr>
                <w:rFonts w:ascii="Times New Roman" w:hAnsi="Times New Roman"/>
                <w:b w:val="0"/>
                <w:sz w:val="19"/>
              </w:rPr>
              <w:t>Disconnection autonomy</w:t>
              <w:br/>
              <w:t>test report</w:t>
            </w:r>
          </w:p>
        </w:tc>
        <w:tc>
          <w:tcPr>
            <w:tcW w:type="dxa" w:w="2929"/>
          </w:tcPr>
          <w:p>
            <w:r/>
            <w:r>
              <w:rPr>
                <w:rFonts w:ascii="Times New Roman" w:hAnsi="Times New Roman"/>
                <w:b w:val="0"/>
                <w:sz w:val="19"/>
              </w:rPr>
              <w:t>Test record showing edge agents switching to island autonomy within 1 s after physical network severance</w:t>
            </w:r>
          </w:p>
        </w:tc>
      </w:tr>
    </w:tbl>
    <w:p>
      <w:pPr>
        <w:pStyle w:val="Heading2"/>
      </w:pPr>
      <w:r>
        <w:t>12.2   Acceptance conditions</w:t>
      </w:r>
    </w:p>
    <w:p>
      <w:pPr>
        <w:pStyle w:val="Heading3"/>
      </w:pPr>
      <w:r>
        <w:t>12.2.1   Necessary conditions</w:t>
      </w:r>
    </w:p>
    <w:p>
      <w:r>
        <w:rPr>
          <w:rFonts w:ascii="Times New Roman" w:hAnsi="Times New Roman"/>
          <w:b w:val="0"/>
          <w:i w:val="0"/>
          <w:sz w:val="22"/>
        </w:rPr>
        <w:t>Acceptance shall be granted only when all of the following conditions are satisfied:</w:t>
      </w:r>
    </w:p>
    <w:p>
      <w:pPr>
        <w:pStyle w:val="ListBullet"/>
      </w:pPr>
      <w:r>
        <w:rPr>
          <w:rFonts w:ascii="Times New Roman" w:hAnsi="Times New Roman"/>
          <w:sz w:val="22"/>
        </w:rPr>
        <w:t>P0 scenario coverage is 100 %, all passed;</w:t>
      </w:r>
    </w:p>
    <w:p>
      <w:pPr>
        <w:pStyle w:val="ListBullet"/>
      </w:pPr>
      <w:r>
        <w:rPr>
          <w:rFonts w:ascii="Times New Roman" w:hAnsi="Times New Roman"/>
          <w:sz w:val="22"/>
        </w:rPr>
        <w:t>P1 scenario coverage ≥95 %, pass rate ≥98 %;</w:t>
      </w:r>
    </w:p>
    <w:p>
      <w:pPr>
        <w:pStyle w:val="ListBullet"/>
      </w:pPr>
      <w:r>
        <w:rPr>
          <w:rFonts w:ascii="Times New Roman" w:hAnsi="Times New Roman"/>
          <w:sz w:val="22"/>
        </w:rPr>
        <w:t>zero hard constraint violations during HIL testing;</w:t>
      </w:r>
    </w:p>
    <w:p>
      <w:pPr>
        <w:pStyle w:val="ListBullet"/>
      </w:pPr>
      <w:r>
        <w:rPr>
          <w:rFonts w:ascii="Times New Roman" w:hAnsi="Times New Roman"/>
          <w:sz w:val="22"/>
        </w:rPr>
        <w:t>SIL–MIL control output numerical deviation ≤1 %;</w:t>
      </w:r>
    </w:p>
    <w:p>
      <w:pPr>
        <w:pStyle w:val="ListBullet"/>
      </w:pPr>
      <w:r>
        <w:rPr>
          <w:rFonts w:ascii="Times New Roman" w:hAnsi="Times New Roman"/>
          <w:sz w:val="22"/>
        </w:rPr>
        <w:t>SCADA heartbeat circuit breaker test passed: SCADA reverts to local control within 500 ms after MAS failure;</w:t>
      </w:r>
    </w:p>
    <w:p>
      <w:pPr>
        <w:pStyle w:val="ListBullet"/>
      </w:pPr>
      <w:r>
        <w:rPr>
          <w:rFonts w:ascii="Times New Roman" w:hAnsi="Times New Roman"/>
          <w:sz w:val="22"/>
        </w:rPr>
        <w:t>disconnection autonomy test passed: edge agents enter island autonomy within 1 s after OT–IT link interruption;</w:t>
      </w:r>
    </w:p>
    <w:p>
      <w:pPr>
        <w:pStyle w:val="ListBullet"/>
      </w:pPr>
      <w:r>
        <w:rPr>
          <w:rFonts w:ascii="Times New Roman" w:hAnsi="Times New Roman"/>
          <w:sz w:val="22"/>
        </w:rPr>
        <w:t>penetration test passed: no direct access from IT network to MAS nodes on OT network;</w:t>
      </w:r>
    </w:p>
    <w:p>
      <w:pPr>
        <w:pStyle w:val="ListBullet"/>
      </w:pPr>
      <w:r>
        <w:rPr>
          <w:rFonts w:ascii="Times New Roman" w:hAnsi="Times New Roman"/>
          <w:sz w:val="22"/>
        </w:rPr>
        <w:t>safety case passes independent third-party review (L3+) or internal review (L2).</w:t>
      </w:r>
    </w:p>
    <w:p>
      <w:pPr>
        <w:pStyle w:val="Heading3"/>
      </w:pPr>
      <w:r>
        <w:t>12.2.2   Veto conditions</w:t>
      </w:r>
    </w:p>
    <w:p>
      <w:r>
        <w:rPr>
          <w:rFonts w:ascii="Times New Roman" w:hAnsi="Times New Roman"/>
          <w:b w:val="0"/>
          <w:i w:val="0"/>
          <w:sz w:val="22"/>
        </w:rPr>
        <w:t>Acceptance shall not be granted if any of the following conditions is present:</w:t>
      </w:r>
    </w:p>
    <w:p>
      <w:pPr>
        <w:pStyle w:val="ListBullet"/>
      </w:pPr>
      <w:r>
        <w:rPr>
          <w:rFonts w:ascii="Times New Roman" w:hAnsi="Times New Roman"/>
          <w:sz w:val="22"/>
        </w:rPr>
        <w:t>P0 scenarios are uncovered or have failed items;</w:t>
      </w:r>
    </w:p>
    <w:p>
      <w:pPr>
        <w:pStyle w:val="ListBullet"/>
      </w:pPr>
      <w:r>
        <w:rPr>
          <w:rFonts w:ascii="Times New Roman" w:hAnsi="Times New Roman"/>
          <w:sz w:val="22"/>
        </w:rPr>
        <w:t>hard constraint violations occurred during HIL testing;</w:t>
      </w:r>
    </w:p>
    <w:p>
      <w:pPr>
        <w:pStyle w:val="ListBullet"/>
      </w:pPr>
      <w:r>
        <w:rPr>
          <w:rFonts w:ascii="Times New Roman" w:hAnsi="Times New Roman"/>
          <w:sz w:val="22"/>
        </w:rPr>
        <w:t>model version audit records cannot be provided, or online version does not match verified version;</w:t>
      </w:r>
    </w:p>
    <w:p>
      <w:pPr>
        <w:pStyle w:val="ListBullet"/>
      </w:pPr>
      <w:r>
        <w:rPr>
          <w:rFonts w:ascii="Times New Roman" w:hAnsi="Times New Roman"/>
          <w:sz w:val="22"/>
        </w:rPr>
        <w:t>safety case is missing or failed review;</w:t>
      </w:r>
    </w:p>
    <w:p>
      <w:pPr>
        <w:pStyle w:val="ListBullet"/>
      </w:pPr>
      <w:r>
        <w:rPr>
          <w:rFonts w:ascii="Times New Roman" w:hAnsi="Times New Roman"/>
          <w:sz w:val="22"/>
        </w:rPr>
        <w:t>disconnection autonomy or SCADA heartbeat circuit breaker tests failed.</w:t>
      </w:r>
    </w:p>
    <w:p>
      <w:pPr>
        <w:pStyle w:val="Heading2"/>
      </w:pPr>
      <w:r>
        <w:t>12.3   Tiered acceptance requirements</w:t>
      </w:r>
    </w:p>
    <w:p>
      <w:pPr>
        <w:jc w:val="center"/>
      </w:pPr>
      <w:r>
        <w:rPr>
          <w:rFonts w:ascii="Times New Roman" w:hAnsi="Times New Roman"/>
          <w:b/>
          <w:i w:val="0"/>
          <w:sz w:val="22"/>
        </w:rPr>
        <w:t>Table 10 — Tiered acceptance requirements matrix</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D9E2F3"/>
          </w:tcPr>
          <w:p>
            <w:pPr>
              <w:jc w:val="center"/>
            </w:pPr>
            <w:r/>
            <w:r>
              <w:rPr>
                <w:rFonts w:ascii="Times New Roman" w:hAnsi="Times New Roman"/>
                <w:b/>
                <w:sz w:val="19"/>
              </w:rPr>
              <w:t>Level</w:t>
            </w:r>
          </w:p>
        </w:tc>
        <w:tc>
          <w:tcPr>
            <w:tcW w:type="dxa" w:w="1098"/>
            <w:shd w:fill="D9E2F3"/>
          </w:tcPr>
          <w:p>
            <w:pPr>
              <w:jc w:val="center"/>
            </w:pPr>
            <w:r/>
            <w:r>
              <w:rPr>
                <w:rFonts w:ascii="Times New Roman" w:hAnsi="Times New Roman"/>
                <w:b/>
                <w:sz w:val="19"/>
              </w:rPr>
              <w:t>P0 coverage</w:t>
            </w:r>
          </w:p>
        </w:tc>
        <w:tc>
          <w:tcPr>
            <w:tcW w:type="dxa" w:w="1098"/>
            <w:shd w:fill="D9E2F3"/>
          </w:tcPr>
          <w:p>
            <w:pPr>
              <w:jc w:val="center"/>
            </w:pPr>
            <w:r/>
            <w:r>
              <w:rPr>
                <w:rFonts w:ascii="Times New Roman" w:hAnsi="Times New Roman"/>
                <w:b/>
                <w:sz w:val="19"/>
              </w:rPr>
              <w:t>HIL</w:t>
            </w:r>
          </w:p>
        </w:tc>
        <w:tc>
          <w:tcPr>
            <w:tcW w:type="dxa" w:w="1098"/>
            <w:shd w:fill="D9E2F3"/>
          </w:tcPr>
          <w:p>
            <w:pPr>
              <w:jc w:val="center"/>
            </w:pPr>
            <w:r/>
            <w:r>
              <w:rPr>
                <w:rFonts w:ascii="Times New Roman" w:hAnsi="Times New Roman"/>
                <w:b/>
                <w:sz w:val="19"/>
              </w:rPr>
              <w:t>Safety case</w:t>
            </w:r>
          </w:p>
        </w:tc>
        <w:tc>
          <w:tcPr>
            <w:tcW w:type="dxa" w:w="1098"/>
            <w:shd w:fill="D9E2F3"/>
          </w:tcPr>
          <w:p>
            <w:pPr>
              <w:jc w:val="center"/>
            </w:pPr>
            <w:r/>
            <w:r>
              <w:rPr>
                <w:rFonts w:ascii="Times New Roman" w:hAnsi="Times New Roman"/>
                <w:b/>
                <w:sz w:val="19"/>
              </w:rPr>
              <w:t>XIL testing</w:t>
            </w:r>
          </w:p>
        </w:tc>
        <w:tc>
          <w:tcPr>
            <w:tcW w:type="dxa" w:w="1098"/>
            <w:shd w:fill="D9E2F3"/>
          </w:tcPr>
          <w:p>
            <w:pPr>
              <w:jc w:val="center"/>
            </w:pPr>
            <w:r/>
            <w:r>
              <w:rPr>
                <w:rFonts w:ascii="Times New Roman" w:hAnsi="Times New Roman"/>
                <w:b/>
                <w:sz w:val="19"/>
              </w:rPr>
              <w:t>3rd-party review</w:t>
            </w:r>
          </w:p>
        </w:tc>
        <w:tc>
          <w:tcPr>
            <w:tcW w:type="dxa" w:w="1098"/>
            <w:shd w:fill="D9E2F3"/>
          </w:tcPr>
          <w:p>
            <w:pPr>
              <w:jc w:val="center"/>
            </w:pPr>
            <w:r/>
            <w:r>
              <w:rPr>
                <w:rFonts w:ascii="Times New Roman" w:hAnsi="Times New Roman"/>
                <w:b/>
                <w:sz w:val="19"/>
              </w:rPr>
              <w:t>Disconnection</w:t>
              <w:br/>
              <w:t>autonomy</w:t>
            </w:r>
          </w:p>
        </w:tc>
        <w:tc>
          <w:tcPr>
            <w:tcW w:type="dxa" w:w="1098"/>
            <w:shd w:fill="D9E2F3"/>
          </w:tcPr>
          <w:p>
            <w:pPr>
              <w:jc w:val="center"/>
            </w:pPr>
            <w:r/>
            <w:r>
              <w:rPr>
                <w:rFonts w:ascii="Times New Roman" w:hAnsi="Times New Roman"/>
                <w:b/>
                <w:sz w:val="19"/>
              </w:rPr>
              <w:t>Penetration</w:t>
              <w:br/>
              <w:t>test</w:t>
            </w:r>
          </w:p>
        </w:tc>
      </w:tr>
      <w:tr>
        <w:tc>
          <w:tcPr>
            <w:tcW w:type="dxa" w:w="1098"/>
          </w:tcPr>
          <w:p>
            <w:pPr>
              <w:jc w:val="center"/>
            </w:pPr>
            <w:r/>
            <w:r>
              <w:rPr>
                <w:rFonts w:ascii="Times New Roman" w:hAnsi="Times New Roman"/>
                <w:b w:val="0"/>
                <w:sz w:val="19"/>
              </w:rPr>
              <w:t>L1</w:t>
            </w:r>
          </w:p>
        </w:tc>
        <w:tc>
          <w:tcPr>
            <w:tcW w:type="dxa" w:w="1098"/>
          </w:tcPr>
          <w:p>
            <w:pPr>
              <w:jc w:val="center"/>
            </w:pPr>
            <w:r/>
            <w:r>
              <w:rPr>
                <w:rFonts w:ascii="Times New Roman" w:hAnsi="Times New Roman"/>
                <w:b w:val="0"/>
                <w:sz w:val="19"/>
              </w:rPr>
              <w:t>100 %</w:t>
            </w:r>
          </w:p>
        </w:tc>
        <w:tc>
          <w:tcPr>
            <w:tcW w:type="dxa" w:w="1098"/>
          </w:tcPr>
          <w:p>
            <w:pPr>
              <w:jc w:val="center"/>
            </w:pPr>
            <w:r/>
            <w:r>
              <w:rPr>
                <w:rFonts w:ascii="Times New Roman" w:hAnsi="Times New Roman"/>
                <w:b w:val="0"/>
                <w:sz w:val="19"/>
              </w:rPr>
              <w:t>Waivable</w:t>
            </w:r>
          </w:p>
        </w:tc>
        <w:tc>
          <w:tcPr>
            <w:tcW w:type="dxa" w:w="1098"/>
          </w:tcPr>
          <w:p>
            <w:pPr>
              <w:jc w:val="center"/>
            </w:pPr>
            <w:r/>
            <w:r>
              <w:rPr>
                <w:rFonts w:ascii="Times New Roman" w:hAnsi="Times New Roman"/>
                <w:b w:val="0"/>
                <w:sz w:val="19"/>
              </w:rPr>
              <w:t>Simplified</w:t>
            </w:r>
          </w:p>
        </w:tc>
        <w:tc>
          <w:tcPr>
            <w:tcW w:type="dxa" w:w="1098"/>
          </w:tcPr>
          <w:p>
            <w:pPr>
              <w:jc w:val="center"/>
            </w:pPr>
            <w:r/>
            <w:r>
              <w:rPr>
                <w:rFonts w:ascii="Times New Roman" w:hAnsi="Times New Roman"/>
                <w:b w:val="0"/>
                <w:sz w:val="19"/>
              </w:rPr>
              <w:t>MIL</w:t>
            </w:r>
          </w:p>
        </w:tc>
        <w:tc>
          <w:tcPr>
            <w:tcW w:type="dxa" w:w="1098"/>
          </w:tcPr>
          <w:p>
            <w:pPr>
              <w:jc w:val="center"/>
            </w:pPr>
            <w:r/>
            <w:r>
              <w:rPr>
                <w:rFonts w:ascii="Times New Roman" w:hAnsi="Times New Roman"/>
                <w:b w:val="0"/>
                <w:sz w:val="19"/>
              </w:rPr>
              <w:t>Waivable</w:t>
            </w:r>
          </w:p>
        </w:tc>
        <w:tc>
          <w:tcPr>
            <w:tcW w:type="dxa" w:w="1098"/>
          </w:tcPr>
          <w:p>
            <w:pPr>
              <w:jc w:val="center"/>
            </w:pPr>
            <w:r/>
            <w:r>
              <w:rPr>
                <w:rFonts w:ascii="Times New Roman" w:hAnsi="Times New Roman"/>
                <w:b w:val="0"/>
                <w:sz w:val="19"/>
              </w:rPr>
              <w:t>Waivable</w:t>
            </w:r>
          </w:p>
        </w:tc>
        <w:tc>
          <w:tcPr>
            <w:tcW w:type="dxa" w:w="1098"/>
          </w:tcPr>
          <w:p>
            <w:pPr>
              <w:jc w:val="center"/>
            </w:pPr>
            <w:r/>
            <w:r>
              <w:rPr>
                <w:rFonts w:ascii="Times New Roman" w:hAnsi="Times New Roman"/>
                <w:b w:val="0"/>
                <w:sz w:val="19"/>
              </w:rPr>
              <w:t>Recommended</w:t>
            </w:r>
          </w:p>
        </w:tc>
      </w:tr>
      <w:tr>
        <w:tc>
          <w:tcPr>
            <w:tcW w:type="dxa" w:w="1098"/>
          </w:tcPr>
          <w:p>
            <w:pPr>
              <w:jc w:val="center"/>
            </w:pPr>
            <w:r/>
            <w:r>
              <w:rPr>
                <w:rFonts w:ascii="Times New Roman" w:hAnsi="Times New Roman"/>
                <w:b w:val="0"/>
                <w:sz w:val="19"/>
              </w:rPr>
              <w:t>L2</w:t>
            </w:r>
          </w:p>
        </w:tc>
        <w:tc>
          <w:tcPr>
            <w:tcW w:type="dxa" w:w="1098"/>
          </w:tcPr>
          <w:p>
            <w:pPr>
              <w:jc w:val="center"/>
            </w:pPr>
            <w:r/>
            <w:r>
              <w:rPr>
                <w:rFonts w:ascii="Times New Roman" w:hAnsi="Times New Roman"/>
                <w:b w:val="0"/>
                <w:sz w:val="19"/>
              </w:rPr>
              <w:t>100 %</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Complete</w:t>
            </w:r>
          </w:p>
        </w:tc>
        <w:tc>
          <w:tcPr>
            <w:tcW w:type="dxa" w:w="1098"/>
          </w:tcPr>
          <w:p>
            <w:pPr>
              <w:jc w:val="center"/>
            </w:pPr>
            <w:r/>
            <w:r>
              <w:rPr>
                <w:rFonts w:ascii="Times New Roman" w:hAnsi="Times New Roman"/>
                <w:b w:val="0"/>
                <w:sz w:val="19"/>
              </w:rPr>
              <w:t>MIL+SIL+HIL</w:t>
            </w:r>
          </w:p>
        </w:tc>
        <w:tc>
          <w:tcPr>
            <w:tcW w:type="dxa" w:w="1098"/>
          </w:tcPr>
          <w:p>
            <w:pPr>
              <w:jc w:val="center"/>
            </w:pPr>
            <w:r/>
            <w:r>
              <w:rPr>
                <w:rFonts w:ascii="Times New Roman" w:hAnsi="Times New Roman"/>
                <w:b w:val="0"/>
                <w:sz w:val="19"/>
              </w:rPr>
              <w:t>Recommended</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Required</w:t>
            </w:r>
          </w:p>
        </w:tc>
      </w:tr>
      <w:tr>
        <w:tc>
          <w:tcPr>
            <w:tcW w:type="dxa" w:w="1098"/>
          </w:tcPr>
          <w:p>
            <w:pPr>
              <w:jc w:val="center"/>
            </w:pPr>
            <w:r/>
            <w:r>
              <w:rPr>
                <w:rFonts w:ascii="Times New Roman" w:hAnsi="Times New Roman"/>
                <w:b w:val="0"/>
                <w:sz w:val="19"/>
              </w:rPr>
              <w:t>L3</w:t>
            </w:r>
          </w:p>
        </w:tc>
        <w:tc>
          <w:tcPr>
            <w:tcW w:type="dxa" w:w="1098"/>
          </w:tcPr>
          <w:p>
            <w:pPr>
              <w:jc w:val="center"/>
            </w:pPr>
            <w:r/>
            <w:r>
              <w:rPr>
                <w:rFonts w:ascii="Times New Roman" w:hAnsi="Times New Roman"/>
                <w:b w:val="0"/>
                <w:sz w:val="19"/>
              </w:rPr>
              <w:t>100 %</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Complete</w:t>
            </w:r>
          </w:p>
        </w:tc>
        <w:tc>
          <w:tcPr>
            <w:tcW w:type="dxa" w:w="1098"/>
          </w:tcPr>
          <w:p>
            <w:pPr>
              <w:jc w:val="center"/>
            </w:pPr>
            <w:r/>
            <w:r>
              <w:rPr>
                <w:rFonts w:ascii="Times New Roman" w:hAnsi="Times New Roman"/>
                <w:b w:val="0"/>
                <w:sz w:val="19"/>
              </w:rPr>
              <w:t>MIL+SIL+HIL</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Required</w:t>
            </w:r>
          </w:p>
        </w:tc>
      </w:tr>
      <w:tr>
        <w:tc>
          <w:tcPr>
            <w:tcW w:type="dxa" w:w="1098"/>
          </w:tcPr>
          <w:p>
            <w:pPr>
              <w:jc w:val="center"/>
            </w:pPr>
            <w:r/>
            <w:r>
              <w:rPr>
                <w:rFonts w:ascii="Times New Roman" w:hAnsi="Times New Roman"/>
                <w:b w:val="0"/>
                <w:sz w:val="19"/>
              </w:rPr>
              <w:t>L4</w:t>
            </w:r>
          </w:p>
        </w:tc>
        <w:tc>
          <w:tcPr>
            <w:tcW w:type="dxa" w:w="1098"/>
          </w:tcPr>
          <w:p>
            <w:pPr>
              <w:jc w:val="center"/>
            </w:pPr>
            <w:r/>
            <w:r>
              <w:rPr>
                <w:rFonts w:ascii="Times New Roman" w:hAnsi="Times New Roman"/>
                <w:b w:val="0"/>
                <w:sz w:val="19"/>
              </w:rPr>
              <w:t>100 %</w:t>
            </w:r>
          </w:p>
        </w:tc>
        <w:tc>
          <w:tcPr>
            <w:tcW w:type="dxa" w:w="1098"/>
          </w:tcPr>
          <w:p>
            <w:pPr>
              <w:jc w:val="center"/>
            </w:pPr>
            <w:r/>
            <w:r>
              <w:rPr>
                <w:rFonts w:ascii="Times New Roman" w:hAnsi="Times New Roman"/>
                <w:b w:val="0"/>
                <w:sz w:val="19"/>
              </w:rPr>
              <w:t>Required +</w:t>
              <w:br/>
              <w:t>extended</w:t>
            </w:r>
          </w:p>
        </w:tc>
        <w:tc>
          <w:tcPr>
            <w:tcW w:type="dxa" w:w="1098"/>
          </w:tcPr>
          <w:p>
            <w:pPr>
              <w:jc w:val="center"/>
            </w:pPr>
            <w:r/>
            <w:r>
              <w:rPr>
                <w:rFonts w:ascii="Times New Roman" w:hAnsi="Times New Roman"/>
                <w:b w:val="0"/>
                <w:sz w:val="19"/>
              </w:rPr>
              <w:t>Complete +</w:t>
              <w:br/>
              <w:t>continuous</w:t>
            </w:r>
          </w:p>
        </w:tc>
        <w:tc>
          <w:tcPr>
            <w:tcW w:type="dxa" w:w="1098"/>
          </w:tcPr>
          <w:p>
            <w:pPr>
              <w:jc w:val="center"/>
            </w:pPr>
            <w:r/>
            <w:r>
              <w:rPr>
                <w:rFonts w:ascii="Times New Roman" w:hAnsi="Times New Roman"/>
                <w:b w:val="0"/>
                <w:sz w:val="19"/>
              </w:rPr>
              <w:t>MIL+SIL+HIL</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Required</w:t>
            </w:r>
          </w:p>
        </w:tc>
        <w:tc>
          <w:tcPr>
            <w:tcW w:type="dxa" w:w="1098"/>
          </w:tcPr>
          <w:p>
            <w:pPr>
              <w:jc w:val="center"/>
            </w:pPr>
            <w:r/>
            <w:r>
              <w:rPr>
                <w:rFonts w:ascii="Times New Roman" w:hAnsi="Times New Roman"/>
                <w:b w:val="0"/>
                <w:sz w:val="19"/>
              </w:rPr>
              <w:t>Required</w:t>
            </w:r>
          </w:p>
        </w:tc>
      </w:tr>
    </w:tbl>
    <w:p>
      <w:pPr>
        <w:pStyle w:val="Heading1"/>
      </w:pPr>
      <w:r>
        <w:t>13   Version management and continuous compliance</w:t>
      </w:r>
    </w:p>
    <w:p>
      <w:pPr>
        <w:pStyle w:val="Heading2"/>
      </w:pPr>
      <w:r>
        <w:t>13.1   Version numbering</w:t>
      </w:r>
    </w:p>
    <w:p>
      <w:r>
        <w:rPr>
          <w:rFonts w:ascii="Times New Roman" w:hAnsi="Times New Roman"/>
          <w:b w:val="0"/>
          <w:i w:val="0"/>
          <w:sz w:val="22"/>
        </w:rPr>
        <w:t>Semantic versioning (Major.Minor.Patch) shall be adopted. Each version shall generate a unique SHA-256 strong hash covering model files, auto-generated code, configuration parameters, and MAS deployment configuration.</w:t>
      </w:r>
    </w:p>
    <w:p>
      <w:pPr>
        <w:pStyle w:val="Heading2"/>
      </w:pPr>
      <w:r>
        <w:t>13.2   Change classification</w:t>
      </w:r>
    </w:p>
    <w:p>
      <w:pPr>
        <w:jc w:val="center"/>
      </w:pPr>
      <w:r>
        <w:rPr>
          <w:rFonts w:ascii="Times New Roman" w:hAnsi="Times New Roman"/>
          <w:b/>
          <w:i w:val="0"/>
          <w:sz w:val="22"/>
        </w:rPr>
        <w:t>Table 11 — Change classification and control requirements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
              <w:rPr>
                <w:rFonts w:ascii="Times New Roman" w:hAnsi="Times New Roman"/>
                <w:b/>
                <w:sz w:val="19"/>
              </w:rPr>
              <w:t>Change class</w:t>
            </w:r>
          </w:p>
        </w:tc>
        <w:tc>
          <w:tcPr>
            <w:tcW w:type="dxa" w:w="2197"/>
            <w:shd w:fill="D9E2F3"/>
          </w:tcPr>
          <w:p>
            <w:pPr>
              <w:jc w:val="center"/>
            </w:pPr>
            <w:r/>
            <w:r>
              <w:rPr>
                <w:rFonts w:ascii="Times New Roman" w:hAnsi="Times New Roman"/>
                <w:b/>
                <w:sz w:val="19"/>
              </w:rPr>
              <w:t>Typical scenarios</w:t>
            </w:r>
          </w:p>
        </w:tc>
        <w:tc>
          <w:tcPr>
            <w:tcW w:type="dxa" w:w="2197"/>
            <w:shd w:fill="D9E2F3"/>
          </w:tcPr>
          <w:p>
            <w:pPr>
              <w:jc w:val="center"/>
            </w:pPr>
            <w:r/>
            <w:r>
              <w:rPr>
                <w:rFonts w:ascii="Times New Roman" w:hAnsi="Times New Roman"/>
                <w:b/>
                <w:sz w:val="19"/>
              </w:rPr>
              <w:t>Regression testing</w:t>
            </w:r>
          </w:p>
        </w:tc>
        <w:tc>
          <w:tcPr>
            <w:tcW w:type="dxa" w:w="2197"/>
            <w:shd w:fill="D9E2F3"/>
          </w:tcPr>
          <w:p>
            <w:pPr>
              <w:jc w:val="center"/>
            </w:pPr>
            <w:r/>
            <w:r>
              <w:rPr>
                <w:rFonts w:ascii="Times New Roman" w:hAnsi="Times New Roman"/>
                <w:b/>
                <w:sz w:val="19"/>
              </w:rPr>
              <w:t>Approval requirements</w:t>
            </w:r>
          </w:p>
        </w:tc>
      </w:tr>
      <w:tr>
        <w:tc>
          <w:tcPr>
            <w:tcW w:type="dxa" w:w="2197"/>
          </w:tcPr>
          <w:p>
            <w:r/>
            <w:r>
              <w:rPr>
                <w:rFonts w:ascii="Times New Roman" w:hAnsi="Times New Roman"/>
                <w:b w:val="0"/>
                <w:sz w:val="19"/>
              </w:rPr>
              <w:t>Class A (major)</w:t>
            </w:r>
          </w:p>
        </w:tc>
        <w:tc>
          <w:tcPr>
            <w:tcW w:type="dxa" w:w="2197"/>
          </w:tcPr>
          <w:p>
            <w:r/>
            <w:r>
              <w:rPr>
                <w:rFonts w:ascii="Times New Roman" w:hAnsi="Times New Roman"/>
                <w:b w:val="0"/>
                <w:sz w:val="19"/>
              </w:rPr>
              <w:t>ODD expansion, control strategy</w:t>
              <w:br/>
              <w:t>reconstruction, MAS architecture change</w:t>
            </w:r>
          </w:p>
        </w:tc>
        <w:tc>
          <w:tcPr>
            <w:tcW w:type="dxa" w:w="2197"/>
          </w:tcPr>
          <w:p>
            <w:r/>
            <w:r>
              <w:rPr>
                <w:rFonts w:ascii="Times New Roman" w:hAnsi="Times New Roman"/>
                <w:b w:val="0"/>
                <w:sz w:val="19"/>
              </w:rPr>
              <w:t>Complete XIL retesting</w:t>
            </w:r>
          </w:p>
        </w:tc>
        <w:tc>
          <w:tcPr>
            <w:tcW w:type="dxa" w:w="2197"/>
          </w:tcPr>
          <w:p>
            <w:r/>
            <w:r>
              <w:rPr>
                <w:rFonts w:ascii="Times New Roman" w:hAnsi="Times New Roman"/>
                <w:b w:val="0"/>
                <w:sz w:val="19"/>
              </w:rPr>
              <w:t>Third-party review +</w:t>
              <w:br/>
              <w:t>expert evaluation</w:t>
            </w:r>
          </w:p>
        </w:tc>
      </w:tr>
      <w:tr>
        <w:tc>
          <w:tcPr>
            <w:tcW w:type="dxa" w:w="2197"/>
          </w:tcPr>
          <w:p>
            <w:r/>
            <w:r>
              <w:rPr>
                <w:rFonts w:ascii="Times New Roman" w:hAnsi="Times New Roman"/>
                <w:b w:val="0"/>
                <w:sz w:val="19"/>
              </w:rPr>
              <w:t>Class B (general)</w:t>
            </w:r>
          </w:p>
        </w:tc>
        <w:tc>
          <w:tcPr>
            <w:tcW w:type="dxa" w:w="2197"/>
          </w:tcPr>
          <w:p>
            <w:r/>
            <w:r>
              <w:rPr>
                <w:rFonts w:ascii="Times New Roman" w:hAnsi="Times New Roman"/>
                <w:b w:val="0"/>
                <w:sz w:val="19"/>
              </w:rPr>
              <w:t>Algorithm optimization, new features,</w:t>
              <w:br/>
              <w:t>DDS QoS policy adjustment</w:t>
            </w:r>
          </w:p>
        </w:tc>
        <w:tc>
          <w:tcPr>
            <w:tcW w:type="dxa" w:w="2197"/>
          </w:tcPr>
          <w:p>
            <w:r/>
            <w:r>
              <w:rPr>
                <w:rFonts w:ascii="Times New Roman" w:hAnsi="Times New Roman"/>
                <w:b w:val="0"/>
                <w:sz w:val="19"/>
              </w:rPr>
              <w:t>Affected scenarios + full P0</w:t>
            </w:r>
          </w:p>
        </w:tc>
        <w:tc>
          <w:tcPr>
            <w:tcW w:type="dxa" w:w="2197"/>
          </w:tcPr>
          <w:p>
            <w:r/>
            <w:r>
              <w:rPr>
                <w:rFonts w:ascii="Times New Roman" w:hAnsi="Times New Roman"/>
                <w:b w:val="0"/>
                <w:sz w:val="19"/>
              </w:rPr>
              <w:t>Internal approval</w:t>
            </w:r>
          </w:p>
        </w:tc>
      </w:tr>
      <w:tr>
        <w:tc>
          <w:tcPr>
            <w:tcW w:type="dxa" w:w="2197"/>
          </w:tcPr>
          <w:p>
            <w:r/>
            <w:r>
              <w:rPr>
                <w:rFonts w:ascii="Times New Roman" w:hAnsi="Times New Roman"/>
                <w:b w:val="0"/>
                <w:sz w:val="19"/>
              </w:rPr>
              <w:t>Class C (minor)</w:t>
            </w:r>
          </w:p>
        </w:tc>
        <w:tc>
          <w:tcPr>
            <w:tcW w:type="dxa" w:w="2197"/>
          </w:tcPr>
          <w:p>
            <w:r/>
            <w:r>
              <w:rPr>
                <w:rFonts w:ascii="Times New Roman" w:hAnsi="Times New Roman"/>
                <w:b w:val="0"/>
                <w:sz w:val="19"/>
              </w:rPr>
              <w:t>Parameter adjustment, bug fixes,</w:t>
              <w:br/>
              <w:t>agent configuration fine-tuning</w:t>
            </w:r>
          </w:p>
        </w:tc>
        <w:tc>
          <w:tcPr>
            <w:tcW w:type="dxa" w:w="2197"/>
          </w:tcPr>
          <w:p>
            <w:r/>
            <w:r>
              <w:rPr>
                <w:rFonts w:ascii="Times New Roman" w:hAnsi="Times New Roman"/>
                <w:b w:val="0"/>
                <w:sz w:val="19"/>
              </w:rPr>
              <w:t>Full P0 + affected scenarios</w:t>
            </w:r>
          </w:p>
        </w:tc>
        <w:tc>
          <w:tcPr>
            <w:tcW w:type="dxa" w:w="2197"/>
          </w:tcPr>
          <w:p>
            <w:r/>
            <w:r>
              <w:rPr>
                <w:rFonts w:ascii="Times New Roman" w:hAnsi="Times New Roman"/>
                <w:b w:val="0"/>
                <w:sz w:val="19"/>
              </w:rPr>
              <w:t>Internal approval</w:t>
            </w:r>
          </w:p>
        </w:tc>
      </w:tr>
    </w:tbl>
    <w:p>
      <w:pPr>
        <w:pStyle w:val="Heading2"/>
      </w:pPr>
      <w:r>
        <w:t>13.3   OTA update process</w:t>
      </w:r>
    </w:p>
    <w:p>
      <w:r>
        <w:rPr>
          <w:rFonts w:ascii="Times New Roman" w:hAnsi="Times New Roman"/>
          <w:b w:val="0"/>
          <w:i w:val="0"/>
          <w:sz w:val="22"/>
        </w:rPr>
        <w:t>Over-the-air algorithm updates shall follow this process:</w:t>
      </w:r>
    </w:p>
    <w:p>
      <w:pPr>
        <w:pStyle w:val="ListBullet"/>
      </w:pPr>
      <w:r>
        <w:rPr>
          <w:rFonts w:ascii="Times New Roman" w:hAnsi="Times New Roman"/>
          <w:sz w:val="22"/>
        </w:rPr>
        <w:t>Change request: submit change reason, impact analysis, and change classification;</w:t>
      </w:r>
    </w:p>
    <w:p>
      <w:pPr>
        <w:pStyle w:val="ListBullet"/>
      </w:pPr>
      <w:r>
        <w:rPr>
          <w:rFonts w:ascii="Times New Roman" w:hAnsi="Times New Roman"/>
          <w:sz w:val="22"/>
        </w:rPr>
        <w:t>Regression testing: execute testing appropriate to the change classification;</w:t>
      </w:r>
    </w:p>
    <w:p>
      <w:pPr>
        <w:pStyle w:val="ListBullet"/>
      </w:pPr>
      <w:r>
        <w:rPr>
          <w:rFonts w:ascii="Times New Roman" w:hAnsi="Times New Roman"/>
          <w:sz w:val="22"/>
        </w:rPr>
        <w:t>Approval and release: test reports shall be approved before release;</w:t>
      </w:r>
    </w:p>
    <w:p>
      <w:pPr>
        <w:pStyle w:val="ListBullet"/>
      </w:pPr>
      <w:r>
        <w:rPr>
          <w:rFonts w:ascii="Times New Roman" w:hAnsi="Times New Roman"/>
          <w:sz w:val="22"/>
        </w:rPr>
        <w:t>Canary deployment: the new version shall first operate in “shadow mode” (no actual control authority, compute-and-compare only). For MAS updates, per-agent canary deployment shall be supported rather than network-wide simultaneous switchover;</w:t>
      </w:r>
    </w:p>
    <w:p>
      <w:pPr>
        <w:pStyle w:val="ListBullet"/>
      </w:pPr>
      <w:r>
        <w:rPr>
          <w:rFonts w:ascii="Times New Roman" w:hAnsi="Times New Roman"/>
          <w:sz w:val="22"/>
        </w:rPr>
        <w:t>Post-release monitoring: continuously monitor system behaviour differences after release; support rapid rollback to the previous version upon anomaly detection.</w:t>
      </w:r>
    </w:p>
    <w:p>
      <w:pPr>
        <w:pStyle w:val="Heading2"/>
      </w:pPr>
      <w:r>
        <w:t>13.4   Audit and traceability</w:t>
      </w:r>
    </w:p>
    <w:p>
      <w:r>
        <w:rPr>
          <w:rFonts w:ascii="Times New Roman" w:hAnsi="Times New Roman"/>
          <w:b w:val="0"/>
          <w:i w:val="0"/>
          <w:sz w:val="22"/>
        </w:rPr>
        <w:t>A complete change audit chain shall be established, including: change request forms, regression test reports, approval records, deployment records (including old/new version hash comparison and MAS deployment topology change records), and post-release monitoring reports. The online system shall periodically auto-verify that running code hashes match audit records. All audit records shall be retained for at least 5 years after system decommissioning.</w:t>
      </w:r>
    </w:p>
    <w:p>
      <w:pPr>
        <w:pStyle w:val="Heading2"/>
      </w:pPr>
      <w:r>
        <w:t>13.5   Continuous compliance mechanism</w:t>
      </w:r>
    </w:p>
    <w:p>
      <w:r>
        <w:rPr>
          <w:rFonts w:ascii="Times New Roman" w:hAnsi="Times New Roman"/>
          <w:b w:val="0"/>
          <w:i w:val="0"/>
          <w:sz w:val="22"/>
        </w:rPr>
        <w:t>Engineering acceptance is not a one-time event. After system commissioning, a continuous compliance mechanism shall be established to ensure that any algorithm update, model upgrade, or MAS architecture adjustment undergoes sufficient verification. The constructor shall designate a dedicated version management officer responsible for full-process change control.</w:t>
      </w:r>
    </w:p>
    <w:p>
      <w:r>
        <w:br w:type="page"/>
      </w:r>
    </w:p>
    <w:p>
      <w:pPr>
        <w:pStyle w:val="Heading1"/>
      </w:pPr>
      <w:r>
        <w:t>Annex A (informative)</w:t>
      </w:r>
    </w:p>
    <w:p>
      <w:pPr>
        <w:pStyle w:val="Heading2"/>
      </w:pPr>
      <w:r>
        <w:t>Comparison with SAE J3016 driving automation levels</w:t>
      </w:r>
    </w:p>
    <w:p>
      <w:pPr>
        <w:jc w:val="center"/>
      </w:pPr>
      <w:r>
        <w:rPr>
          <w:rFonts w:ascii="Times New Roman" w:hAnsi="Times New Roman"/>
          <w:b/>
          <w:i w:val="0"/>
          <w:sz w:val="22"/>
        </w:rPr>
        <w:t>Table A.1 — Water network autonomy levels vs. SAE J3016 comparison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jc w:val="center"/>
            </w:pPr>
            <w:r/>
            <w:r>
              <w:rPr>
                <w:rFonts w:ascii="Times New Roman" w:hAnsi="Times New Roman"/>
                <w:b/>
                <w:sz w:val="19"/>
              </w:rPr>
              <w:t>Level</w:t>
            </w:r>
          </w:p>
        </w:tc>
        <w:tc>
          <w:tcPr>
            <w:tcW w:type="dxa" w:w="2197"/>
            <w:shd w:fill="D9E2F3"/>
          </w:tcPr>
          <w:p>
            <w:pPr>
              <w:jc w:val="center"/>
            </w:pPr>
            <w:r/>
            <w:r>
              <w:rPr>
                <w:rFonts w:ascii="Times New Roman" w:hAnsi="Times New Roman"/>
                <w:b/>
                <w:sz w:val="19"/>
              </w:rPr>
              <w:t>Water network</w:t>
            </w:r>
          </w:p>
        </w:tc>
        <w:tc>
          <w:tcPr>
            <w:tcW w:type="dxa" w:w="2197"/>
            <w:shd w:fill="D9E2F3"/>
          </w:tcPr>
          <w:p>
            <w:pPr>
              <w:jc w:val="center"/>
            </w:pPr>
            <w:r/>
            <w:r>
              <w:rPr>
                <w:rFonts w:ascii="Times New Roman" w:hAnsi="Times New Roman"/>
                <w:b/>
                <w:sz w:val="19"/>
              </w:rPr>
              <w:t>SAE J3016</w:t>
            </w:r>
          </w:p>
        </w:tc>
        <w:tc>
          <w:tcPr>
            <w:tcW w:type="dxa" w:w="2197"/>
            <w:shd w:fill="D9E2F3"/>
          </w:tcPr>
          <w:p>
            <w:pPr>
              <w:jc w:val="center"/>
            </w:pPr>
            <w:r/>
            <w:r>
              <w:rPr>
                <w:rFonts w:ascii="Times New Roman" w:hAnsi="Times New Roman"/>
                <w:b/>
                <w:sz w:val="19"/>
              </w:rPr>
              <w:t>Key differences</w:t>
            </w:r>
          </w:p>
        </w:tc>
      </w:tr>
      <w:tr>
        <w:tc>
          <w:tcPr>
            <w:tcW w:type="dxa" w:w="2197"/>
          </w:tcPr>
          <w:p>
            <w:pPr>
              <w:jc w:val="center"/>
            </w:pPr>
            <w:r/>
            <w:r>
              <w:rPr>
                <w:rFonts w:ascii="Times New Roman" w:hAnsi="Times New Roman"/>
                <w:b w:val="0"/>
                <w:sz w:val="19"/>
              </w:rPr>
              <w:t>L0</w:t>
            </w:r>
          </w:p>
        </w:tc>
        <w:tc>
          <w:tcPr>
            <w:tcW w:type="dxa" w:w="2197"/>
          </w:tcPr>
          <w:p>
            <w:r/>
            <w:r>
              <w:rPr>
                <w:rFonts w:ascii="Times New Roman" w:hAnsi="Times New Roman"/>
                <w:b w:val="0"/>
                <w:sz w:val="19"/>
              </w:rPr>
              <w:t>Manual operation</w:t>
            </w:r>
          </w:p>
        </w:tc>
        <w:tc>
          <w:tcPr>
            <w:tcW w:type="dxa" w:w="2197"/>
          </w:tcPr>
          <w:p>
            <w:r/>
            <w:r>
              <w:rPr>
                <w:rFonts w:ascii="Times New Roman" w:hAnsi="Times New Roman"/>
                <w:b w:val="0"/>
                <w:sz w:val="19"/>
              </w:rPr>
              <w:t>No Driving Automation</w:t>
            </w:r>
          </w:p>
        </w:tc>
        <w:tc>
          <w:tcPr>
            <w:tcW w:type="dxa" w:w="2197"/>
          </w:tcPr>
          <w:p>
            <w:r/>
            <w:r>
              <w:rPr>
                <w:rFonts w:ascii="Times New Roman" w:hAnsi="Times New Roman"/>
                <w:b w:val="0"/>
                <w:sz w:val="19"/>
              </w:rPr>
              <w:t>Essentially equivalent</w:t>
            </w:r>
          </w:p>
        </w:tc>
      </w:tr>
      <w:tr>
        <w:tc>
          <w:tcPr>
            <w:tcW w:type="dxa" w:w="2197"/>
          </w:tcPr>
          <w:p>
            <w:pPr>
              <w:jc w:val="center"/>
            </w:pPr>
            <w:r/>
            <w:r>
              <w:rPr>
                <w:rFonts w:ascii="Times New Roman" w:hAnsi="Times New Roman"/>
                <w:b w:val="0"/>
                <w:sz w:val="19"/>
              </w:rPr>
              <w:t>L1</w:t>
            </w:r>
          </w:p>
        </w:tc>
        <w:tc>
          <w:tcPr>
            <w:tcW w:type="dxa" w:w="2197"/>
          </w:tcPr>
          <w:p>
            <w:r/>
            <w:r>
              <w:rPr>
                <w:rFonts w:ascii="Times New Roman" w:hAnsi="Times New Roman"/>
                <w:b w:val="0"/>
                <w:sz w:val="19"/>
              </w:rPr>
              <w:t>Assisted operation</w:t>
            </w:r>
          </w:p>
        </w:tc>
        <w:tc>
          <w:tcPr>
            <w:tcW w:type="dxa" w:w="2197"/>
          </w:tcPr>
          <w:p>
            <w:r/>
            <w:r>
              <w:rPr>
                <w:rFonts w:ascii="Times New Roman" w:hAnsi="Times New Roman"/>
                <w:b w:val="0"/>
                <w:sz w:val="19"/>
              </w:rPr>
              <w:t>Driver Assistance</w:t>
            </w:r>
          </w:p>
        </w:tc>
        <w:tc>
          <w:tcPr>
            <w:tcW w:type="dxa" w:w="2197"/>
          </w:tcPr>
          <w:p>
            <w:r/>
            <w:r>
              <w:rPr>
                <w:rFonts w:ascii="Times New Roman" w:hAnsi="Times New Roman"/>
                <w:b w:val="0"/>
                <w:sz w:val="19"/>
              </w:rPr>
              <w:t>Water: Cloud MAS advisory; Auto: steering/acceleration assistance</w:t>
            </w:r>
          </w:p>
        </w:tc>
      </w:tr>
      <w:tr>
        <w:tc>
          <w:tcPr>
            <w:tcW w:type="dxa" w:w="2197"/>
          </w:tcPr>
          <w:p>
            <w:pPr>
              <w:jc w:val="center"/>
            </w:pPr>
            <w:r/>
            <w:r>
              <w:rPr>
                <w:rFonts w:ascii="Times New Roman" w:hAnsi="Times New Roman"/>
                <w:b w:val="0"/>
                <w:sz w:val="19"/>
              </w:rPr>
              <w:t>L2</w:t>
            </w:r>
          </w:p>
        </w:tc>
        <w:tc>
          <w:tcPr>
            <w:tcW w:type="dxa" w:w="2197"/>
          </w:tcPr>
          <w:p>
            <w:r/>
            <w:r>
              <w:rPr>
                <w:rFonts w:ascii="Times New Roman" w:hAnsi="Times New Roman"/>
                <w:b w:val="0"/>
                <w:sz w:val="19"/>
              </w:rPr>
              <w:t>Partial automation</w:t>
            </w:r>
          </w:p>
        </w:tc>
        <w:tc>
          <w:tcPr>
            <w:tcW w:type="dxa" w:w="2197"/>
          </w:tcPr>
          <w:p>
            <w:r/>
            <w:r>
              <w:rPr>
                <w:rFonts w:ascii="Times New Roman" w:hAnsi="Times New Roman"/>
                <w:b w:val="0"/>
                <w:sz w:val="19"/>
              </w:rPr>
              <w:t>Partial Driving Automation</w:t>
            </w:r>
          </w:p>
        </w:tc>
        <w:tc>
          <w:tcPr>
            <w:tcW w:type="dxa" w:w="2197"/>
          </w:tcPr>
          <w:p>
            <w:r/>
            <w:r>
              <w:rPr>
                <w:rFonts w:ascii="Times New Roman" w:hAnsi="Times New Roman"/>
                <w:b w:val="0"/>
                <w:sz w:val="19"/>
              </w:rPr>
              <w:t>Water: longer control cycles (minutes–hours), requires SCADA layer execution</w:t>
            </w:r>
          </w:p>
        </w:tc>
      </w:tr>
      <w:tr>
        <w:tc>
          <w:tcPr>
            <w:tcW w:type="dxa" w:w="2197"/>
          </w:tcPr>
          <w:p>
            <w:pPr>
              <w:jc w:val="center"/>
            </w:pPr>
            <w:r/>
            <w:r>
              <w:rPr>
                <w:rFonts w:ascii="Times New Roman" w:hAnsi="Times New Roman"/>
                <w:b w:val="0"/>
                <w:sz w:val="19"/>
              </w:rPr>
              <w:t>L3</w:t>
            </w:r>
          </w:p>
        </w:tc>
        <w:tc>
          <w:tcPr>
            <w:tcW w:type="dxa" w:w="2197"/>
          </w:tcPr>
          <w:p>
            <w:r/>
            <w:r>
              <w:rPr>
                <w:rFonts w:ascii="Times New Roman" w:hAnsi="Times New Roman"/>
                <w:b w:val="0"/>
                <w:sz w:val="19"/>
              </w:rPr>
              <w:t>Conditional autonomy</w:t>
            </w:r>
          </w:p>
        </w:tc>
        <w:tc>
          <w:tcPr>
            <w:tcW w:type="dxa" w:w="2197"/>
          </w:tcPr>
          <w:p>
            <w:r/>
            <w:r>
              <w:rPr>
                <w:rFonts w:ascii="Times New Roman" w:hAnsi="Times New Roman"/>
                <w:b w:val="0"/>
                <w:sz w:val="19"/>
              </w:rPr>
              <w:t>Conditional Driving Automation</w:t>
            </w:r>
          </w:p>
        </w:tc>
        <w:tc>
          <w:tcPr>
            <w:tcW w:type="dxa" w:w="2197"/>
          </w:tcPr>
          <w:p>
            <w:r/>
            <w:r>
              <w:rPr>
                <w:rFonts w:ascii="Times New Roman" w:hAnsi="Times New Roman"/>
                <w:b w:val="0"/>
                <w:sz w:val="19"/>
              </w:rPr>
              <w:t>Critical watershed for responsibility transfer. Water: wider takeover window, but OT/IT separation adds architectural complexity</w:t>
            </w:r>
          </w:p>
        </w:tc>
      </w:tr>
      <w:tr>
        <w:tc>
          <w:tcPr>
            <w:tcW w:type="dxa" w:w="2197"/>
          </w:tcPr>
          <w:p>
            <w:pPr>
              <w:jc w:val="center"/>
            </w:pPr>
            <w:r/>
            <w:r>
              <w:rPr>
                <w:rFonts w:ascii="Times New Roman" w:hAnsi="Times New Roman"/>
                <w:b w:val="0"/>
                <w:sz w:val="19"/>
              </w:rPr>
              <w:t>L4</w:t>
            </w:r>
          </w:p>
        </w:tc>
        <w:tc>
          <w:tcPr>
            <w:tcW w:type="dxa" w:w="2197"/>
          </w:tcPr>
          <w:p>
            <w:r/>
            <w:r>
              <w:rPr>
                <w:rFonts w:ascii="Times New Roman" w:hAnsi="Times New Roman"/>
                <w:b w:val="0"/>
                <w:sz w:val="19"/>
              </w:rPr>
              <w:t>High autonomy</w:t>
            </w:r>
          </w:p>
        </w:tc>
        <w:tc>
          <w:tcPr>
            <w:tcW w:type="dxa" w:w="2197"/>
          </w:tcPr>
          <w:p>
            <w:r/>
            <w:r>
              <w:rPr>
                <w:rFonts w:ascii="Times New Roman" w:hAnsi="Times New Roman"/>
                <w:b w:val="0"/>
                <w:sz w:val="19"/>
              </w:rPr>
              <w:t>High Driving Automation</w:t>
            </w:r>
          </w:p>
        </w:tc>
        <w:tc>
          <w:tcPr>
            <w:tcW w:type="dxa" w:w="2197"/>
          </w:tcPr>
          <w:p>
            <w:r/>
            <w:r>
              <w:rPr>
                <w:rFonts w:ascii="Times New Roman" w:hAnsi="Times New Roman"/>
                <w:b w:val="0"/>
                <w:sz w:val="19"/>
              </w:rPr>
              <w:t>Water: more complex ODD (multi-scale, multi-objective, social factors)</w:t>
            </w:r>
          </w:p>
        </w:tc>
      </w:tr>
      <w:tr>
        <w:tc>
          <w:tcPr>
            <w:tcW w:type="dxa" w:w="2197"/>
          </w:tcPr>
          <w:p>
            <w:pPr>
              <w:jc w:val="center"/>
            </w:pPr>
            <w:r/>
            <w:r>
              <w:rPr>
                <w:rFonts w:ascii="Times New Roman" w:hAnsi="Times New Roman"/>
                <w:b w:val="0"/>
                <w:sz w:val="19"/>
              </w:rPr>
              <w:t>L5</w:t>
            </w:r>
          </w:p>
        </w:tc>
        <w:tc>
          <w:tcPr>
            <w:tcW w:type="dxa" w:w="2197"/>
          </w:tcPr>
          <w:p>
            <w:r/>
            <w:r>
              <w:rPr>
                <w:rFonts w:ascii="Times New Roman" w:hAnsi="Times New Roman"/>
                <w:b w:val="0"/>
                <w:sz w:val="19"/>
              </w:rPr>
              <w:t>Full autonomy</w:t>
            </w:r>
          </w:p>
        </w:tc>
        <w:tc>
          <w:tcPr>
            <w:tcW w:type="dxa" w:w="2197"/>
          </w:tcPr>
          <w:p>
            <w:r/>
            <w:r>
              <w:rPr>
                <w:rFonts w:ascii="Times New Roman" w:hAnsi="Times New Roman"/>
                <w:b w:val="0"/>
                <w:sz w:val="19"/>
              </w:rPr>
              <w:t>Full Driving Automation</w:t>
            </w:r>
          </w:p>
        </w:tc>
        <w:tc>
          <w:tcPr>
            <w:tcW w:type="dxa" w:w="2197"/>
          </w:tcPr>
          <w:p>
            <w:r/>
            <w:r>
              <w:rPr>
                <w:rFonts w:ascii="Times New Roman" w:hAnsi="Times New Roman"/>
                <w:b w:val="0"/>
                <w:sz w:val="19"/>
              </w:rPr>
              <w:t>Both are long-term vision goals</w:t>
            </w:r>
          </w:p>
        </w:tc>
      </w:tr>
    </w:tbl>
    <w:p>
      <w:r>
        <w:rPr>
          <w:rFonts w:ascii="Times New Roman" w:hAnsi="Times New Roman"/>
          <w:b w:val="0"/>
          <w:i w:val="0"/>
          <w:sz w:val="22"/>
        </w:rPr>
        <w:t>Water network systems exhibit greater inertia (slower water flow changes), wider fault tolerance time windows (minutes to hours), but higher coupling complexity (multi-scale, multi-objective, with social factor involvement) compared to automotive systems. Furthermore, water networks must achieve distributed coordination under the constraint of physical OT/IT isolation. Therefore, while the water network classification borrows the SAE J3016 framework, it reconstructs ODD definitions, SCADA+MAS architecture requirements, multi-network security, and acceptance criteria specifically for water sector characteristics.</w:t>
      </w:r>
    </w:p>
    <w:p>
      <w:r>
        <w:br w:type="page"/>
      </w:r>
    </w:p>
    <w:p>
      <w:pPr>
        <w:pStyle w:val="Heading1"/>
      </w:pPr>
      <w:r>
        <w:t>Annex B (informative)</w:t>
      </w:r>
    </w:p>
    <w:p>
      <w:pPr>
        <w:pStyle w:val="Heading2"/>
      </w:pPr>
      <w:r>
        <w:t>Protocol selection decision matrix</w:t>
      </w:r>
    </w:p>
    <w:p>
      <w:r>
        <w:rPr>
          <w:rFonts w:ascii="Times New Roman" w:hAnsi="Times New Roman"/>
          <w:b w:val="0"/>
          <w:i w:val="0"/>
          <w:sz w:val="22"/>
        </w:rPr>
        <w:t>Table B.1 provides guidance for engineering designers to quickly determine which interoperability standard to apply for a given integration scenario.</w:t>
      </w:r>
    </w:p>
    <w:p>
      <w:pPr>
        <w:jc w:val="center"/>
      </w:pPr>
      <w:r>
        <w:rPr>
          <w:rFonts w:ascii="Times New Roman" w:hAnsi="Times New Roman"/>
          <w:b/>
          <w:i w:val="0"/>
          <w:sz w:val="22"/>
        </w:rPr>
        <w:t>Table B.1 — Protocol selection decision matrix</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19"/>
              </w:rPr>
              <w:t>Scenario</w:t>
            </w:r>
          </w:p>
        </w:tc>
        <w:tc>
          <w:tcPr>
            <w:tcW w:type="dxa" w:w="2929"/>
            <w:shd w:fill="D9E2F3"/>
          </w:tcPr>
          <w:p>
            <w:pPr>
              <w:jc w:val="center"/>
            </w:pPr>
            <w:r/>
            <w:r>
              <w:rPr>
                <w:rFonts w:ascii="Times New Roman" w:hAnsi="Times New Roman"/>
                <w:b/>
                <w:sz w:val="19"/>
              </w:rPr>
              <w:t>Recommended protocol</w:t>
            </w:r>
          </w:p>
        </w:tc>
        <w:tc>
          <w:tcPr>
            <w:tcW w:type="dxa" w:w="2929"/>
            <w:shd w:fill="D9E2F3"/>
          </w:tcPr>
          <w:p>
            <w:pPr>
              <w:jc w:val="center"/>
            </w:pPr>
            <w:r/>
            <w:r>
              <w:rPr>
                <w:rFonts w:ascii="Times New Roman" w:hAnsi="Times New Roman"/>
                <w:b/>
                <w:sz w:val="19"/>
              </w:rPr>
              <w:t>Rationale</w:t>
            </w:r>
          </w:p>
        </w:tc>
      </w:tr>
      <w:tr>
        <w:tc>
          <w:tcPr>
            <w:tcW w:type="dxa" w:w="2929"/>
          </w:tcPr>
          <w:p>
            <w:r/>
            <w:r>
              <w:rPr>
                <w:rFonts w:ascii="Times New Roman" w:hAnsi="Times New Roman"/>
                <w:b w:val="0"/>
                <w:sz w:val="19"/>
              </w:rPr>
              <w:t>Agent-internal MPC calling</w:t>
              <w:br/>
              <w:t>hydraulic model for prediction</w:t>
            </w:r>
          </w:p>
        </w:tc>
        <w:tc>
          <w:tcPr>
            <w:tcW w:type="dxa" w:w="2929"/>
          </w:tcPr>
          <w:p>
            <w:r/>
            <w:r>
              <w:rPr>
                <w:rFonts w:ascii="Times New Roman" w:hAnsi="Times New Roman"/>
                <w:b w:val="0"/>
                <w:sz w:val="19"/>
              </w:rPr>
              <w:t>FMI 3.0</w:t>
            </w:r>
          </w:p>
        </w:tc>
        <w:tc>
          <w:tcPr>
            <w:tcW w:type="dxa" w:w="2929"/>
          </w:tcPr>
          <w:p>
            <w:r/>
            <w:r>
              <w:rPr>
                <w:rFonts w:ascii="Times New Roman" w:hAnsi="Times New Roman"/>
                <w:b w:val="0"/>
                <w:sz w:val="19"/>
              </w:rPr>
              <w:t>In-process memory-level calls; state rollback needed for multiple forward simulations</w:t>
            </w:r>
          </w:p>
        </w:tc>
      </w:tr>
      <w:tr>
        <w:tc>
          <w:tcPr>
            <w:tcW w:type="dxa" w:w="2929"/>
          </w:tcPr>
          <w:p>
            <w:r/>
            <w:r>
              <w:rPr>
                <w:rFonts w:ascii="Times New Roman" w:hAnsi="Times New Roman"/>
                <w:b w:val="0"/>
                <w:sz w:val="19"/>
              </w:rPr>
              <w:t>Agent-internal cross-physics</w:t>
              <w:br/>
              <w:t>orchestration (hydrology + hydraulics)</w:t>
            </w:r>
          </w:p>
        </w:tc>
        <w:tc>
          <w:tcPr>
            <w:tcW w:type="dxa" w:w="2929"/>
          </w:tcPr>
          <w:p>
            <w:r/>
            <w:r>
              <w:rPr>
                <w:rFonts w:ascii="Times New Roman" w:hAnsi="Times New Roman"/>
                <w:b w:val="0"/>
                <w:sz w:val="19"/>
              </w:rPr>
              <w:t>OpenMI 2.0</w:t>
            </w:r>
          </w:p>
        </w:tc>
        <w:tc>
          <w:tcPr>
            <w:tcW w:type="dxa" w:w="2929"/>
          </w:tcPr>
          <w:p>
            <w:r/>
            <w:r>
              <w:rPr>
                <w:rFonts w:ascii="Times New Roman" w:hAnsi="Times New Roman"/>
                <w:b w:val="0"/>
                <w:sz w:val="19"/>
              </w:rPr>
              <w:t>Semantic-layer standard for cross-physics component orchestration</w:t>
            </w:r>
          </w:p>
        </w:tc>
      </w:tr>
      <w:tr>
        <w:tc>
          <w:tcPr>
            <w:tcW w:type="dxa" w:w="2929"/>
          </w:tcPr>
          <w:p>
            <w:r/>
            <w:r>
              <w:rPr>
                <w:rFonts w:ascii="Times New Roman" w:hAnsi="Times New Roman"/>
                <w:b w:val="0"/>
                <w:sz w:val="19"/>
              </w:rPr>
              <w:t>Upstream agent notifying</w:t>
              <w:br/>
              <w:t>downstream agent of flow change</w:t>
            </w:r>
          </w:p>
        </w:tc>
        <w:tc>
          <w:tcPr>
            <w:tcW w:type="dxa" w:w="2929"/>
          </w:tcPr>
          <w:p>
            <w:r/>
            <w:r>
              <w:rPr>
                <w:rFonts w:ascii="Times New Roman" w:hAnsi="Times New Roman"/>
                <w:b w:val="0"/>
                <w:sz w:val="19"/>
              </w:rPr>
              <w:t>DDS</w:t>
            </w:r>
          </w:p>
        </w:tc>
        <w:tc>
          <w:tcPr>
            <w:tcW w:type="dxa" w:w="2929"/>
          </w:tcPr>
          <w:p>
            <w:r/>
            <w:r>
              <w:rPr>
                <w:rFonts w:ascii="Times New Roman" w:hAnsi="Times New Roman"/>
                <w:b w:val="0"/>
                <w:sz w:val="19"/>
              </w:rPr>
              <w:t>East–west distributed real-time communication; decentralized; supports island autonomy</w:t>
            </w:r>
          </w:p>
        </w:tc>
      </w:tr>
      <w:tr>
        <w:tc>
          <w:tcPr>
            <w:tcW w:type="dxa" w:w="2929"/>
          </w:tcPr>
          <w:p>
            <w:r/>
            <w:r>
              <w:rPr>
                <w:rFonts w:ascii="Times New Roman" w:hAnsi="Times New Roman"/>
                <w:b w:val="0"/>
                <w:sz w:val="19"/>
              </w:rPr>
              <w:t>Edge MAS reading real-time</w:t>
              <w:br/>
              <w:t>gate opening from SCADA</w:t>
            </w:r>
          </w:p>
        </w:tc>
        <w:tc>
          <w:tcPr>
            <w:tcW w:type="dxa" w:w="2929"/>
          </w:tcPr>
          <w:p>
            <w:r/>
            <w:r>
              <w:rPr>
                <w:rFonts w:ascii="Times New Roman" w:hAnsi="Times New Roman"/>
                <w:b w:val="0"/>
                <w:sz w:val="19"/>
              </w:rPr>
              <w:t>OPC UA</w:t>
            </w:r>
          </w:p>
        </w:tc>
        <w:tc>
          <w:tcPr>
            <w:tcW w:type="dxa" w:w="2929"/>
          </w:tcPr>
          <w:p>
            <w:r/>
            <w:r>
              <w:rPr>
                <w:rFonts w:ascii="Times New Roman" w:hAnsi="Times New Roman"/>
                <w:b w:val="0"/>
                <w:sz w:val="19"/>
              </w:rPr>
              <w:t>North–south device interface; OT/IT integration bridge; semantic mapping</w:t>
            </w:r>
          </w:p>
        </w:tc>
      </w:tr>
      <w:tr>
        <w:tc>
          <w:tcPr>
            <w:tcW w:type="dxa" w:w="2929"/>
          </w:tcPr>
          <w:p>
            <w:r/>
            <w:r>
              <w:rPr>
                <w:rFonts w:ascii="Times New Roman" w:hAnsi="Times New Roman"/>
                <w:b w:val="0"/>
                <w:sz w:val="19"/>
              </w:rPr>
              <w:t>Edge MAS issuing water level</w:t>
              <w:br/>
              <w:t>set-point to SCADA</w:t>
            </w:r>
          </w:p>
        </w:tc>
        <w:tc>
          <w:tcPr>
            <w:tcW w:type="dxa" w:w="2929"/>
          </w:tcPr>
          <w:p>
            <w:r/>
            <w:r>
              <w:rPr>
                <w:rFonts w:ascii="Times New Roman" w:hAnsi="Times New Roman"/>
                <w:b w:val="0"/>
                <w:sz w:val="19"/>
              </w:rPr>
              <w:t>OPC UA</w:t>
            </w:r>
          </w:p>
        </w:tc>
        <w:tc>
          <w:tcPr>
            <w:tcW w:type="dxa" w:w="2929"/>
          </w:tcPr>
          <w:p>
            <w:r/>
            <w:r>
              <w:rPr>
                <w:rFonts w:ascii="Times New Roman" w:hAnsi="Times New Roman"/>
                <w:b w:val="0"/>
                <w:sz w:val="19"/>
              </w:rPr>
              <w:t>Set-point driven paradigm; MAS does not directly operate DOs</w:t>
            </w:r>
          </w:p>
        </w:tc>
      </w:tr>
      <w:tr>
        <w:tc>
          <w:tcPr>
            <w:tcW w:type="dxa" w:w="2929"/>
          </w:tcPr>
          <w:p>
            <w:r/>
            <w:r>
              <w:rPr>
                <w:rFonts w:ascii="Times New Roman" w:hAnsi="Times New Roman"/>
                <w:b w:val="0"/>
                <w:sz w:val="19"/>
              </w:rPr>
              <w:t>Cloud MAS issuing dispatch</w:t>
              <w:br/>
              <w:t>recommendation to Edge MAS</w:t>
            </w:r>
          </w:p>
        </w:tc>
        <w:tc>
          <w:tcPr>
            <w:tcW w:type="dxa" w:w="2929"/>
          </w:tcPr>
          <w:p>
            <w:r/>
            <w:r>
              <w:rPr>
                <w:rFonts w:ascii="Times New Roman" w:hAnsi="Times New Roman"/>
                <w:b w:val="0"/>
                <w:sz w:val="19"/>
              </w:rPr>
              <w:t>Cross-network</w:t>
              <w:br/>
              <w:t>security channel</w:t>
            </w:r>
          </w:p>
        </w:tc>
        <w:tc>
          <w:tcPr>
            <w:tcW w:type="dxa" w:w="2929"/>
          </w:tcPr>
          <w:p>
            <w:r/>
            <w:r>
              <w:rPr>
                <w:rFonts w:ascii="Times New Roman" w:hAnsi="Times New Roman"/>
                <w:b w:val="0"/>
                <w:sz w:val="19"/>
              </w:rPr>
              <w:t>IT→OT unidirectional penetration; requires signature verification + ODD secondary validation</w:t>
            </w:r>
          </w:p>
        </w:tc>
      </w:tr>
      <w:tr>
        <w:tc>
          <w:tcPr>
            <w:tcW w:type="dxa" w:w="2929"/>
          </w:tcPr>
          <w:p>
            <w:r/>
            <w:r>
              <w:rPr>
                <w:rFonts w:ascii="Times New Roman" w:hAnsi="Times New Roman"/>
                <w:b w:val="0"/>
                <w:sz w:val="19"/>
              </w:rPr>
              <w:t>Legacy Fortran model</w:t>
              <w:br/>
              <w:t>integration to platform</w:t>
            </w:r>
          </w:p>
        </w:tc>
        <w:tc>
          <w:tcPr>
            <w:tcW w:type="dxa" w:w="2929"/>
          </w:tcPr>
          <w:p>
            <w:r/>
            <w:r>
              <w:rPr>
                <w:rFonts w:ascii="Times New Roman" w:hAnsi="Times New Roman"/>
                <w:b w:val="0"/>
                <w:sz w:val="19"/>
              </w:rPr>
              <w:t>BMI</w:t>
            </w:r>
          </w:p>
        </w:tc>
        <w:tc>
          <w:tcPr>
            <w:tcW w:type="dxa" w:w="2929"/>
          </w:tcPr>
          <w:p>
            <w:r/>
            <w:r>
              <w:rPr>
                <w:rFonts w:ascii="Times New Roman" w:hAnsi="Times New Roman"/>
                <w:b w:val="0"/>
                <w:sz w:val="19"/>
              </w:rPr>
              <w:t>Minimum compliance threshold; implement 4 standard functions</w:t>
            </w:r>
          </w:p>
        </w:tc>
      </w:tr>
    </w:tbl>
    <w:p>
      <w:r>
        <w:br w:type="page"/>
      </w:r>
    </w:p>
    <w:p>
      <w:pPr>
        <w:pStyle w:val="Heading1"/>
      </w:pPr>
      <w:r>
        <w:t>Bibliography</w:t>
      </w:r>
    </w:p>
    <w:p>
      <w:r>
        <w:rPr>
          <w:rFonts w:ascii="Times New Roman" w:hAnsi="Times New Roman"/>
          <w:sz w:val="20"/>
        </w:rPr>
        <w:t>[1]  ISO 19156, Geographic information — Observations, measurements, and samples</w:t>
      </w:r>
    </w:p>
    <w:p>
      <w:r>
        <w:rPr>
          <w:rFonts w:ascii="Times New Roman" w:hAnsi="Times New Roman"/>
          <w:sz w:val="20"/>
        </w:rPr>
        <w:t>[2]  OGC SensorThings API, Part 1: Sensing, Version 1.1</w:t>
      </w:r>
    </w:p>
    <w:p>
      <w:r>
        <w:rPr>
          <w:rFonts w:ascii="Times New Roman" w:hAnsi="Times New Roman"/>
          <w:sz w:val="20"/>
        </w:rPr>
        <w:t>[3]  OpenGMS-IS, Open Geographic Modelling and Simulation — Integration Specification</w:t>
      </w:r>
    </w:p>
    <w:p>
      <w:r>
        <w:rPr>
          <w:rFonts w:ascii="Times New Roman" w:hAnsi="Times New Roman"/>
          <w:sz w:val="20"/>
        </w:rPr>
        <w:t>[4]  CSEF BMI, Basic Model Interface, Community Surface Dynamics Modeling System</w:t>
      </w:r>
    </w:p>
    <w:p>
      <w:r>
        <w:rPr>
          <w:rFonts w:ascii="Times New Roman" w:hAnsi="Times New Roman"/>
          <w:sz w:val="20"/>
        </w:rPr>
        <w:t>[5]  IEC 61131-3:2013, Programmable controllers — Part 3: Programming languages</w:t>
      </w:r>
    </w:p>
    <w:p>
      <w:r>
        <w:rPr>
          <w:rFonts w:ascii="Times New Roman" w:hAnsi="Times New Roman"/>
          <w:sz w:val="20"/>
        </w:rPr>
        <w:t>[6]  IEEE 2030.5, IEEE Standard for Smart Energy Profile Application Protocol</w:t>
      </w:r>
    </w:p>
    <w:p>
      <w:r>
        <w:rPr>
          <w:rFonts w:ascii="Times New Roman" w:hAnsi="Times New Roman"/>
          <w:sz w:val="20"/>
        </w:rPr>
        <w:t>[7]  ISO 19440, Enterprise integration — Constructs for enterprise modelling</w:t>
      </w:r>
    </w:p>
    <w:p>
      <w:r>
        <w:rPr>
          <w:rFonts w:ascii="Times New Roman" w:hAnsi="Times New Roman"/>
          <w:sz w:val="20"/>
        </w:rPr>
        <w:t>[8]  NIST SP 800-82 Rev. 3, Guide to Operational Technology (OT) Security</w:t>
      </w:r>
    </w:p>
    <w:p>
      <w:r>
        <w:rPr>
          <w:rFonts w:ascii="Times New Roman" w:hAnsi="Times New Roman"/>
          <w:sz w:val="20"/>
        </w:rPr>
        <w:t>[9]  SAE J3016:2021, Taxonomy and Definitions for Terms Related to Driving Automation Systems for On-Road Motor Vehicles</w:t>
      </w:r>
    </w:p>
    <w:p>
      <w:r>
        <w:rPr>
          <w:rFonts w:ascii="Times New Roman" w:hAnsi="Times New Roman"/>
          <w:sz w:val="20"/>
        </w:rPr>
        <w:t>[10] ISO/TR 4804, Road vehicles — Safety and cybersecurity for automated driving systems — Design, verification and validation</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