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48"/>
          <w:szCs w:val="48"/>
        </w:rPr>
        <w:t xml:space="preserve">Rubicon Water</w:t>
      </w:r>
    </w:p>
    <w:p>
      <w:pPr>
        <w:spacing w:after="100"/>
        <w:jc w:val="center"/>
      </w:pPr>
      <w:r>
        <w:rPr>
          <w:rFonts w:ascii="Microsoft YaHei" w:cs="Microsoft YaHei" w:eastAsia="Microsoft YaHei" w:hAnsi="Microsoft YaHei"/>
          <w:b/>
          <w:bCs/>
          <w:color w:val="1B4F72"/>
          <w:sz w:val="40"/>
          <w:szCs w:val="40"/>
        </w:rPr>
        <w:t xml:space="preserve">渠道控制算法与技术体系深度分析报告</w:t>
      </w:r>
    </w:p>
    <w:p>
      <w:pPr>
        <w:pBdr>
          <w:bottom w:val="single" w:color="2E86C1" w:sz="6" w:space="1"/>
        </w:pBdr>
        <w:spacing w:after="600"/>
        <w:jc w:val="center"/>
      </w:pPr>
      <w:r>
        <w:rPr>
          <w:rFonts w:ascii="Microsoft YaHei" w:cs="Microsoft YaHei" w:eastAsia="Microsoft YaHei" w:hAnsi="Microsoft YaHei"/>
          <w:color w:val="2E86C1"/>
          <w:sz w:val="22"/>
          <w:szCs w:val="22"/>
        </w:rPr>
        <w:t xml:space="preserve">三层TCC架构 | 专利组合 | 学术合作 | ODD分析 | 竞争定位</w:t>
      </w:r>
    </w:p>
    <w:p>
      <w:pPr>
        <w:spacing w:before="400"/>
      </w:pPr>
    </w:p>
    <w:p>
      <w:pPr>
        <w:spacing w:after="80"/>
        <w:jc w:val="center"/>
      </w:pPr>
      <w:r>
        <w:rPr>
          <w:rFonts w:ascii="Microsoft YaHei" w:cs="Microsoft YaHei" w:eastAsia="Microsoft YaHei" w:hAnsi="Microsoft YaHei"/>
          <w:color w:val="555555"/>
          <w:sz w:val="24"/>
          <w:szCs w:val="24"/>
        </w:rPr>
        <w:t xml:space="preserve">基于深度技术研究的竞争情报分析</w:t>
      </w:r>
    </w:p>
    <w:p>
      <w:pPr>
        <w:spacing w:after="80"/>
        <w:jc w:val="center"/>
      </w:pPr>
      <w:r>
        <w:rPr>
          <w:rFonts w:ascii="Microsoft YaHei" w:cs="Microsoft YaHei" w:eastAsia="Microsoft YaHei" w:hAnsi="Microsoft YaHei"/>
          <w:color w:val="777777"/>
          <w:sz w:val="22"/>
          <w:szCs w:val="22"/>
        </w:rPr>
        <w:t xml:space="preserve">2025年2月</w:t>
      </w:r>
    </w:p>
    <w:p>
      <w:pPr>
        <w:jc w:val="center"/>
      </w:pPr>
      <w:r>
        <w:rPr>
          <w:rFonts w:ascii="Microsoft YaHei" w:cs="Microsoft YaHei" w:eastAsia="Microsoft YaHei" w:hAnsi="Microsoft YaHei"/>
          <w:color w:val="999999"/>
          <w:sz w:val="20"/>
          <w:szCs w:val="20"/>
        </w:rPr>
        <w:t xml:space="preserve">内部参考 | 机密</w:t>
      </w:r>
    </w:p>
    <w:p>
      <w:r>
        <w:br w:type="page"/>
      </w:r>
    </w:p>
    <w:p>
      <w:pPr>
        <w:spacing w:after="200"/>
      </w:pPr>
      <w:r>
        <w:rPr>
          <w:rFonts w:ascii="Microsoft YaHei" w:cs="Microsoft YaHei" w:eastAsia="Microsoft YaHei" w:hAnsi="Microsoft YaHei"/>
          <w:b/>
          <w:bCs/>
          <w:color w:val="1B4F72"/>
          <w:sz w:val="32"/>
          <w:szCs w:val="32"/>
        </w:rPr>
        <w:t xml:space="preserve">目  录</w:t>
      </w:r>
    </w:p>
    <w:sdt>
      <w:sdtPr>
        <w:alias w:val="目录"/>
      </w:sdtPr>
      <w:sdtContent>
        <w:p>
          <w:r>
            <w:fldChar w:fldCharType="begin" w:dirty="true"/>
            <w:instrText xml:space="preserve">TOC \h \o "1-2"</w:instrText>
            <w:fldChar w:fldCharType="separate"/>
          </w:r>
        </w:p>
        <w:p>
          <w:r>
            <w:fldChar w:fldCharType="end"/>
          </w:r>
        </w:p>
      </w:sdtContent>
    </w:sdt>
    <w:p>
      <w:r>
        <w:br w:type="page"/>
      </w:r>
    </w:p>
    <w:p>
      <w:pPr>
        <w:pStyle w:val="Heading1"/>
        <w:spacing w:before="360" w:after="200"/>
      </w:pPr>
      <w:r>
        <w:rPr>
          <w:rFonts w:ascii="Microsoft YaHei" w:cs="Microsoft YaHei" w:eastAsia="Microsoft YaHei" w:hAnsi="Microsoft YaHei"/>
          <w:b/>
          <w:bCs/>
          <w:color w:val="1B4F72"/>
          <w:sz w:val="32"/>
          <w:szCs w:val="32"/>
        </w:rPr>
        <w:t xml:space="preserve">摘要</w:t>
      </w:r>
    </w:p>
    <w:p>
      <w:pPr>
        <w:spacing w:after="120" w:line="360"/>
        <w:ind w:firstLine="420"/>
        <w:jc w:val="both"/>
      </w:pPr>
      <w:r>
        <w:rPr>
          <w:rFonts w:ascii="Microsoft YaHei" w:cs="Microsoft YaHei" w:eastAsia="Microsoft YaHei" w:hAnsi="Microsoft YaHei"/>
          <w:sz w:val="21"/>
          <w:szCs w:val="21"/>
        </w:rPr>
        <w:t xml:space="preserve">Rubicon Water通过将可靠的PID本地控制器与监督式模型预测控制(MPC)相结合,构建了全球商业化程度最高的灌溉渠道自动化系统。其三层Total Channel Control(TCC)架构——反应式反馈层、监督MPC层和需求管理层——已在全球20余个国家部署超过35,000台设备,实现了高达90%的配水效率,97%的时间内水位偏差控制在设定值±7.5cm以内。</w:t>
      </w:r>
    </w:p>
    <w:p>
      <w:pPr>
        <w:spacing w:after="120" w:line="360"/>
        <w:ind w:firstLine="420"/>
        <w:jc w:val="both"/>
      </w:pPr>
      <w:r>
        <w:rPr>
          <w:rFonts w:ascii="Microsoft YaHei" w:cs="Microsoft YaHei" w:eastAsia="Microsoft YaHei" w:hAnsi="Microsoft YaHei"/>
          <w:sz w:val="21"/>
          <w:szCs w:val="21"/>
        </w:rPr>
        <w:t xml:space="preserve">本报告基于对Rubicon专利文献、学术论文(含墨尔本大学20年合作成果)、产品文档及最新2025年研究进展的系统性深度分析,全面剖析TCC的数学基础、软件平台架构、专利演进、运行设计域(ODD)边界以及与强化学习(RL)、分布式MPC(DMPC)等竞争方法的对标比较。</w:t>
      </w:r>
    </w:p>
    <w:p>
      <w:r>
        <w:br w:type="page"/>
      </w:r>
    </w:p>
    <w:p>
      <w:pPr>
        <w:pStyle w:val="Heading1"/>
        <w:spacing w:before="360" w:after="200"/>
      </w:pPr>
      <w:r>
        <w:rPr>
          <w:rFonts w:ascii="Microsoft YaHei" w:cs="Microsoft YaHei" w:eastAsia="Microsoft YaHei" w:hAnsi="Microsoft YaHei"/>
          <w:b/>
          <w:bCs/>
          <w:color w:val="1B4F72"/>
          <w:sz w:val="32"/>
          <w:szCs w:val="32"/>
        </w:rPr>
        <w:t xml:space="preserve">1  NeuroFlo软件平台架构</w:t>
      </w:r>
    </w:p>
    <w:p>
      <w:pPr>
        <w:spacing w:after="120" w:line="360"/>
        <w:ind w:firstLine="420"/>
        <w:jc w:val="both"/>
      </w:pPr>
      <w:r>
        <w:rPr>
          <w:rFonts w:ascii="Microsoft YaHei" w:cs="Microsoft YaHei" w:eastAsia="Microsoft YaHei" w:hAnsi="Microsoft YaHei"/>
          <w:sz w:val="21"/>
          <w:szCs w:val="21"/>
        </w:rPr>
        <w:t xml:space="preserve">Rubicon的NeuroFlo软件平台经过二十余年的迭代演进,已发展成为一个综合性水资源管理套件,提供三种部署模式:本地部署、私有云和共享云(基于AWS的多租户架构)。平台分为两个产品层级:NeuroFlo Cloud作为入门级产品,提供SCADA数据采集、趋势分析、报警配置和地理可视化功能;NeuroFlo Enterprise则增加了核心差异化能力,包括完整的Network Control(自主TCC控制)、客户交付工作流(订单、调度、计费、配额管理)、网络可视化示意图、Power BI集成、MFA/SSO支持和报表构建器。</w:t>
      </w:r>
    </w:p>
    <w:p>
      <w:pPr>
        <w:pStyle w:val="Heading2"/>
        <w:spacing w:before="280" w:after="160"/>
      </w:pPr>
      <w:r>
        <w:rPr>
          <w:rFonts w:ascii="Microsoft YaHei" w:cs="Microsoft YaHei" w:eastAsia="Microsoft YaHei" w:hAnsi="Microsoft YaHei"/>
          <w:b/>
          <w:bCs/>
          <w:color w:val="2E86C1"/>
          <w:sz w:val="26"/>
          <w:szCs w:val="26"/>
        </w:rPr>
        <w:t xml:space="preserve">1.1  SCADAConnect数据采集层</w:t>
      </w:r>
    </w:p>
    <w:p>
      <w:pPr>
        <w:spacing w:after="120" w:line="360"/>
        <w:ind w:firstLine="420"/>
        <w:jc w:val="both"/>
      </w:pPr>
      <w:r>
        <w:rPr>
          <w:rFonts w:ascii="Microsoft YaHei" w:cs="Microsoft YaHei" w:eastAsia="Microsoft YaHei" w:hAnsi="Microsoft YaHei"/>
          <w:sz w:val="21"/>
          <w:szCs w:val="21"/>
        </w:rPr>
        <w:t xml:space="preserve">SCADAConnect构成数据采集底层,通过MDLC(Motorola Data Link Communication)和Modbus协议经专用无线电网络与现场设备通信。每台FlumeGate出厂即配备集成Motorola RTU和140余个预配置数据标签,实现即插即用部署。SCADAConnect服务包括数据库接口、网关通信、设备读写和时间同步,全部运行在Windows Server基础设施上,后端为工业级关系数据库(基于其技术生态推断为Microsoft SQL Server)。2024年引入LoRaWAN通信扩展,为农场端FarmConnect平台提供低功耗广域网支持。</w:t>
      </w:r>
    </w:p>
    <w:p>
      <w:pPr>
        <w:pStyle w:val="Heading2"/>
        <w:spacing w:before="280" w:after="160"/>
      </w:pPr>
      <w:r>
        <w:rPr>
          <w:rFonts w:ascii="Microsoft YaHei" w:cs="Microsoft YaHei" w:eastAsia="Microsoft YaHei" w:hAnsi="Microsoft YaHei"/>
          <w:b/>
          <w:bCs/>
          <w:color w:val="2E86C1"/>
          <w:sz w:val="26"/>
          <w:szCs w:val="26"/>
        </w:rPr>
        <w:t xml:space="preserve">1.2  Network Control / TCC算法核心</w:t>
      </w:r>
    </w:p>
    <w:p>
      <w:pPr>
        <w:spacing w:after="120" w:line="360"/>
        <w:ind w:firstLine="420"/>
        <w:jc w:val="both"/>
      </w:pPr>
      <w:r>
        <w:rPr>
          <w:rFonts w:ascii="Microsoft YaHei" w:cs="Microsoft YaHei" w:eastAsia="Microsoft YaHei" w:hAnsi="Microsoft YaHei"/>
          <w:sz w:val="21"/>
          <w:szCs w:val="21"/>
        </w:rPr>
        <w:t xml:space="preserve">Network Control / TCC是算法核心模块。该模块从SCADAConnect获取实时水位、流量和闸门开度数据,运行由Rubicon工程师针对每个具体渠道单元校准的水力模型,并生成协调的闸门控制指令。系统支持多种控制模式:上游水位控制、下游水位控制、流量控制、位置控制和全网络协调。每台FlumeGate同时嵌入本地控制逻辑,在中央通信中断时可维持自主运行——这是一项关键的可靠性特征。</w:t>
      </w:r>
    </w:p>
    <w:p>
      <w:pPr>
        <w:pStyle w:val="Heading2"/>
        <w:spacing w:before="280" w:after="160"/>
      </w:pPr>
      <w:r>
        <w:rPr>
          <w:rFonts w:ascii="Microsoft YaHei" w:cs="Microsoft YaHei" w:eastAsia="Microsoft YaHei" w:hAnsi="Microsoft YaHei"/>
          <w:b/>
          <w:bCs/>
          <w:color w:val="2E86C1"/>
          <w:sz w:val="26"/>
          <w:szCs w:val="26"/>
        </w:rPr>
        <w:t xml:space="preserve">1.3  Confluent功能模块体系</w:t>
      </w:r>
    </w:p>
    <w:p>
      <w:pPr>
        <w:spacing w:after="120" w:line="360"/>
        <w:ind w:firstLine="420"/>
        <w:jc w:val="both"/>
      </w:pPr>
      <w:r>
        <w:rPr>
          <w:rFonts w:ascii="Microsoft YaHei" w:cs="Microsoft YaHei" w:eastAsia="Microsoft YaHei" w:hAnsi="Microsoft YaHei"/>
          <w:sz w:val="21"/>
          <w:szCs w:val="21"/>
        </w:rPr>
        <w:t xml:space="preserve">Confluent(现正向NeuroFlo品牌过渡)将系统功能组织为模块化的功能包:SCADAConnect(数据采集)、Customer Connect(自助服务门户)、Network Visualization(网络可视化)、Orders/Rotations/Scheduling(订单/轮灌/调度)、Tariffs/Rates/Invoicing(费率/计费)、Rights/Compliance(权限/合规)、Automatic Delivery(需求调度,支持计划时间自动启闭闸门)和Hydrological Data(水文数据仓库,支持政府报告)。API集成可用但无公开文档。数据库可扩展至"几乎无限"的用户和站点,新设备可在线添加而无需系统停机。</w:t>
      </w:r>
    </w:p>
    <w:p>
      <w:pPr>
        <w:pStyle w:val="Heading2"/>
        <w:spacing w:before="280" w:after="160"/>
      </w:pPr>
      <w:r>
        <w:rPr>
          <w:rFonts w:ascii="Microsoft YaHei" w:cs="Microsoft YaHei" w:eastAsia="Microsoft YaHei" w:hAnsi="Microsoft YaHei"/>
          <w:b/>
          <w:bCs/>
          <w:color w:val="2E86C1"/>
          <w:sz w:val="26"/>
          <w:szCs w:val="26"/>
        </w:rPr>
        <w:t xml:space="preserve">1.4  FarmConnect农场端平台</w:t>
      </w:r>
    </w:p>
    <w:p>
      <w:pPr>
        <w:spacing w:after="120" w:line="360"/>
        <w:ind w:firstLine="420"/>
        <w:jc w:val="both"/>
      </w:pPr>
      <w:r>
        <w:rPr>
          <w:rFonts w:ascii="Microsoft YaHei" w:cs="Microsoft YaHei" w:eastAsia="Microsoft YaHei" w:hAnsi="Microsoft YaHei"/>
          <w:sz w:val="21"/>
          <w:szCs w:val="21"/>
        </w:rPr>
        <w:t xml:space="preserve">FarmConnect是面向农场级地面灌溉的独立平台,采用LoRa无线电节点,值得注意的是引入了AI/ML预测算法,利用卫星数据和气象站集成来确定和优化最佳灌溉时间。该功能系与墨尔本大学基础设施工程系Andrew Western教授合作开发。</w:t>
      </w:r>
    </w:p>
    <w:p>
      <w:r>
        <w:br w:type="page"/>
      </w:r>
    </w:p>
    <w:p>
      <w:pPr>
        <w:pStyle w:val="Heading1"/>
        <w:spacing w:before="360" w:after="200"/>
      </w:pPr>
      <w:r>
        <w:rPr>
          <w:rFonts w:ascii="Microsoft YaHei" w:cs="Microsoft YaHei" w:eastAsia="Microsoft YaHei" w:hAnsi="Microsoft YaHei"/>
          <w:b/>
          <w:bCs/>
          <w:color w:val="1B4F72"/>
          <w:sz w:val="32"/>
          <w:szCs w:val="32"/>
        </w:rPr>
        <w:t xml:space="preserve">2  三层TCC控制架构详解</w:t>
      </w:r>
    </w:p>
    <w:p>
      <w:pPr>
        <w:spacing w:after="120" w:line="360"/>
        <w:ind w:firstLine="420"/>
        <w:jc w:val="both"/>
      </w:pPr>
      <w:r>
        <w:rPr>
          <w:rFonts w:ascii="Microsoft YaHei" w:cs="Microsoft YaHei" w:eastAsia="Microsoft YaHei" w:hAnsi="Microsoft YaHei"/>
          <w:sz w:val="21"/>
          <w:szCs w:val="21"/>
        </w:rPr>
        <w:t xml:space="preserve">TCC的基础架构定义于两项核心专利之中,构成全球水利基础设施领域最为成熟的分层控制系统之一。三层架构从底层到顶层分别为:反应式反馈控制层(Layer 1)、监督式MPC优化层(Layer 2)和需求管理调度层(Layer 3)。</w:t>
      </w:r>
    </w:p>
    <w:p>
      <w:pPr>
        <w:pStyle w:val="Heading2"/>
        <w:spacing w:before="280" w:after="160"/>
      </w:pPr>
      <w:r>
        <w:rPr>
          <w:rFonts w:ascii="Microsoft YaHei" w:cs="Microsoft YaHei" w:eastAsia="Microsoft YaHei" w:hAnsi="Microsoft YaHei"/>
          <w:b/>
          <w:bCs/>
          <w:color w:val="2E86C1"/>
          <w:sz w:val="26"/>
          <w:szCs w:val="26"/>
        </w:rPr>
        <w:t xml:space="preserve">2.1  Layer 1:反应式反馈与前馈传播</w:t>
      </w:r>
    </w:p>
    <w:p>
      <w:pPr>
        <w:spacing w:after="120" w:line="360"/>
        <w:ind w:firstLine="420"/>
        <w:jc w:val="both"/>
      </w:pPr>
      <w:r>
        <w:rPr>
          <w:rFonts w:ascii="Microsoft YaHei" w:cs="Microsoft YaHei" w:eastAsia="Microsoft YaHei" w:hAnsi="Microsoft YaHei"/>
          <w:sz w:val="21"/>
          <w:szCs w:val="21"/>
        </w:rPr>
        <w:t xml:space="preserve">Layer 1定义于美国专利7,152,001(发明人:David Aughton, Iven Mareels, Erik Weyer;优先权日2001年3月),实现分散式远端下游控制(distant-downstream control)。每个闸门控制其所在池段下游末端(即下一个闸门正上游)的水位。操纵变量为闸门上方水头,通过溢流堰公式Q = Cw·L·h^(3/2)直接关联流量。</w:t>
      </w:r>
    </w:p>
    <w:p>
      <w:pPr>
        <w:spacing w:before="200" w:after="120"/>
      </w:pPr>
      <w:r>
        <w:rPr>
          <w:rFonts w:ascii="Microsoft YaHei" w:cs="Microsoft YaHei" w:eastAsia="Microsoft YaHei" w:hAnsi="Microsoft YaHei"/>
          <w:b/>
          <w:bCs/>
          <w:color w:val="2C3E50"/>
          <w:sz w:val="24"/>
          <w:szCs w:val="24"/>
        </w:rPr>
        <w:t xml:space="preserve">2.1.1  PI控制器与低通滤波</w:t>
      </w:r>
    </w:p>
    <w:p>
      <w:pPr>
        <w:spacing w:after="120" w:line="360"/>
        <w:ind w:firstLine="420"/>
        <w:jc w:val="both"/>
      </w:pPr>
      <w:r>
        <w:rPr>
          <w:rFonts w:ascii="Microsoft YaHei" w:cs="Microsoft YaHei" w:eastAsia="Microsoft YaHei" w:hAnsi="Microsoft YaHei"/>
          <w:sz w:val="21"/>
          <w:szCs w:val="21"/>
        </w:rPr>
        <w:t xml:space="preserve">控制器为带一阶低通滤波器的PI(比例-积分)控制器,通过基于系统辨识模型的频率响应法进行参数整定。低通滤波器至关重要:它抑制池段共振波频率处的增益,防止驻波激发。这一设计体现了对渠道水力学特性的深刻理解——渠道池段本质上是波导系统,不当的控制增益会在特定频率上激发共振。</w:t>
      </w:r>
    </w:p>
    <w:p>
      <w:pPr>
        <w:spacing w:before="200" w:after="120"/>
      </w:pPr>
      <w:r>
        <w:rPr>
          <w:rFonts w:ascii="Microsoft YaHei" w:cs="Microsoft YaHei" w:eastAsia="Microsoft YaHei" w:hAnsi="Microsoft YaHei"/>
          <w:b/>
          <w:bCs/>
          <w:color w:val="2C3E50"/>
          <w:sz w:val="24"/>
          <w:szCs w:val="24"/>
        </w:rPr>
        <w:t xml:space="preserve">2.1.2  前馈传播机制</w:t>
      </w:r>
    </w:p>
    <w:p>
      <w:pPr>
        <w:spacing w:after="120" w:line="360"/>
        <w:ind w:firstLine="420"/>
        <w:jc w:val="both"/>
      </w:pPr>
      <w:r>
        <w:rPr>
          <w:rFonts w:ascii="Microsoft YaHei" w:cs="Microsoft YaHei" w:eastAsia="Microsoft YaHei" w:hAnsi="Microsoft YaHei"/>
          <w:sz w:val="21"/>
          <w:szCs w:val="21"/>
        </w:rPr>
        <w:t xml:space="preserve">前馈增强利用下游取水的实时测量值——当取水口引水时,上游闸门立即传递该测量取水量的可配置百分比(前馈比率),而非等待水位偏差触发反馈回路。该前馈信号通过分散式闸门间协调向上游传播,显著减少了响应延迟。</w:t>
      </w:r>
    </w:p>
    <w:p>
      <w:pPr>
        <w:spacing w:before="200" w:after="120"/>
      </w:pPr>
      <w:r>
        <w:rPr>
          <w:rFonts w:ascii="Microsoft YaHei" w:cs="Microsoft YaHei" w:eastAsia="Microsoft YaHei" w:hAnsi="Microsoft YaHei"/>
          <w:b/>
          <w:bCs/>
          <w:color w:val="2C3E50"/>
          <w:sz w:val="24"/>
          <w:szCs w:val="24"/>
        </w:rPr>
        <w:t xml:space="preserve">2.1.3  抗饱和机制</w:t>
      </w:r>
    </w:p>
    <w:p>
      <w:pPr>
        <w:spacing w:after="120" w:line="360"/>
        <w:ind w:firstLine="420"/>
        <w:jc w:val="both"/>
      </w:pPr>
      <w:r>
        <w:rPr>
          <w:rFonts w:ascii="Microsoft YaHei" w:cs="Microsoft YaHei" w:eastAsia="Microsoft YaHei" w:hAnsi="Microsoft YaHei"/>
          <w:sz w:val="21"/>
          <w:szCs w:val="21"/>
        </w:rPr>
        <w:t xml:space="preserve">抗饱和机制处理渠道池段固有的边际稳定性问题——由于质量守恒,池段表现为积分器动态特性。专利承认抗饱和最初"作为事后补充设计"。后由Zaccarian、Li、Weyer、Cantoni和Teel(2007)发展了基于L₂抗饱和无扰切换的正式理论框架,在昆士兰Haughton干渠上进行了验证。</w:t>
      </w:r>
    </w:p>
    <w:p>
      <w:pPr>
        <w:spacing w:before="200" w:after="120"/>
      </w:pPr>
      <w:r>
        <w:rPr>
          <w:rFonts w:ascii="Microsoft YaHei" w:cs="Microsoft YaHei" w:eastAsia="Microsoft YaHei" w:hAnsi="Microsoft YaHei"/>
          <w:b/>
          <w:bCs/>
          <w:color w:val="2C3E50"/>
          <w:sz w:val="24"/>
          <w:szCs w:val="24"/>
        </w:rPr>
        <w:t xml:space="preserve">2.1.4  Layer 1的四大已知缺陷</w:t>
      </w:r>
    </w:p>
    <w:p>
      <w:pPr>
        <w:spacing w:after="120" w:line="360"/>
        <w:ind w:firstLine="420"/>
        <w:jc w:val="both"/>
      </w:pPr>
      <w:r>
        <w:rPr>
          <w:rFonts w:ascii="Microsoft YaHei" w:cs="Microsoft YaHei" w:eastAsia="Microsoft YaHei" w:hAnsi="Microsoft YaHei"/>
          <w:sz w:val="21"/>
          <w:szCs w:val="21"/>
        </w:rPr>
        <w:t xml:space="preserve">Layer 1专利文献中明确承认了四项局限性,这也构成了对其技术的潜在攻击点: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426"/>
      </w:tblGrid>
      <w:tr>
        <w:tc>
          <w:tcPr>
            <w:tcW w:type="dxa" w:w="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19"/>
                <w:szCs w:val="19"/>
              </w:rPr>
              <w:t xml:space="preserve">序号</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FFFFFF"/>
                <w:sz w:val="19"/>
                <w:szCs w:val="19"/>
              </w:rPr>
              <w:t xml:space="preserve">缺陷类型</w:t>
            </w:r>
          </w:p>
        </w:tc>
        <w:tc>
          <w:tcPr>
            <w:tcW w:type="dxa" w:w="64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FFFFFF"/>
                <w:sz w:val="19"/>
                <w:szCs w:val="19"/>
              </w:rPr>
              <w:t xml:space="preserve">具体描述</w:t>
            </w:r>
          </w:p>
        </w:tc>
      </w:tr>
      <w:tr>
        <w:tc>
          <w:tcPr>
            <w:tcW w:type="dxa" w:w="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000000"/>
                <w:sz w:val="19"/>
                <w:szCs w:val="19"/>
              </w:rPr>
              <w:t xml:space="preserve">1</w:t>
            </w:r>
          </w:p>
        </w:tc>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9"/>
                <w:szCs w:val="19"/>
              </w:rPr>
              <w:t xml:space="preserve">瞬态流量放大</w:t>
            </w:r>
          </w:p>
        </w:tc>
        <w:tc>
          <w:tcPr>
            <w:tcW w:type="dxa" w:w="6426"/>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9"/>
                <w:szCs w:val="19"/>
              </w:rPr>
              <w:t xml:space="preserve">瞬态流量指令峰值向上游逐级放大,造成上游闸门过度调节</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000000"/>
                <w:sz w:val="19"/>
                <w:szCs w:val="19"/>
              </w:rPr>
              <w:t xml:space="preserve">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9"/>
                <w:szCs w:val="19"/>
              </w:rPr>
              <w:t xml:space="preserve">执行器饱和失控</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9"/>
                <w:szCs w:val="19"/>
              </w:rPr>
              <w:t xml:space="preserve">执行器饱和触发非线性行为,导致控制系统失去预期特性</w:t>
            </w:r>
          </w:p>
        </w:tc>
      </w:tr>
      <w:tr>
        <w:tc>
          <w:tcPr>
            <w:tcW w:type="dxa" w:w="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000000"/>
                <w:sz w:val="19"/>
                <w:szCs w:val="19"/>
              </w:rPr>
              <w:t xml:space="preserve">3</w:t>
            </w:r>
          </w:p>
        </w:tc>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9"/>
                <w:szCs w:val="19"/>
              </w:rPr>
              <w:t xml:space="preserve">长池段偏差过大</w:t>
            </w:r>
          </w:p>
        </w:tc>
        <w:tc>
          <w:tcPr>
            <w:tcW w:type="dxa" w:w="6426"/>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9"/>
                <w:szCs w:val="19"/>
              </w:rPr>
              <w:t xml:space="preserve">超过5km的长池段(蓄水能力有限)水位偏差不可接受</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000000"/>
                <w:sz w:val="19"/>
                <w:szCs w:val="19"/>
              </w:rPr>
              <w:t xml:space="preserve">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9"/>
                <w:szCs w:val="19"/>
              </w:rPr>
              <w:t xml:space="preserve">干舷限制</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9"/>
                <w:szCs w:val="19"/>
              </w:rPr>
              <w:t xml:space="preserve">无法应用于干舷(freeboard)极小的渠道,存在漫溢风险</w:t>
            </w:r>
          </w:p>
        </w:tc>
      </w:tr>
    </w:tbl>
    <w:p>
      <w:pPr>
        <w:spacing w:after="120"/>
      </w:pPr>
    </w:p>
    <w:p>
      <w:pPr>
        <w:pStyle w:val="Heading2"/>
        <w:spacing w:before="280" w:after="160"/>
      </w:pPr>
      <w:r>
        <w:rPr>
          <w:rFonts w:ascii="Microsoft YaHei" w:cs="Microsoft YaHei" w:eastAsia="Microsoft YaHei" w:hAnsi="Microsoft YaHei"/>
          <w:b/>
          <w:bCs/>
          <w:color w:val="2E86C1"/>
          <w:sz w:val="26"/>
          <w:szCs w:val="26"/>
        </w:rPr>
        <w:t xml:space="preserve">2.2  Layer 2:监督式MPC全局优化</w:t>
      </w:r>
    </w:p>
    <w:p>
      <w:pPr>
        <w:spacing w:after="120" w:line="360"/>
        <w:ind w:firstLine="420"/>
        <w:jc w:val="both"/>
      </w:pPr>
      <w:r>
        <w:rPr>
          <w:rFonts w:ascii="Microsoft YaHei" w:cs="Microsoft YaHei" w:eastAsia="Microsoft YaHei" w:hAnsi="Microsoft YaHei"/>
          <w:sz w:val="21"/>
          <w:szCs w:val="21"/>
        </w:rPr>
        <w:t xml:space="preserve">美国专利9,952,601(WO2013149304A1;发明人:Sumith Choy, Michael Cantoni, Peter Dower, Michael Kearney;申请日2013年4月,授权日2018年4月)引入了监督式MPC层——将TCC从胜任的本地控制提升为全局协调渠道管理的关键创新。</w:t>
      </w:r>
    </w:p>
    <w:p>
      <w:pPr>
        <w:spacing w:before="200" w:after="120"/>
      </w:pPr>
      <w:r>
        <w:rPr>
          <w:rFonts w:ascii="Microsoft YaHei" w:cs="Microsoft YaHei" w:eastAsia="Microsoft YaHei" w:hAnsi="Microsoft YaHei"/>
          <w:b/>
          <w:bCs/>
          <w:color w:val="2C3E50"/>
          <w:sz w:val="24"/>
          <w:szCs w:val="24"/>
        </w:rPr>
        <w:t xml:space="preserve">2.2.1  与Layer 1的双重交互机制</w:t>
      </w:r>
    </w:p>
    <w:p>
      <w:pPr>
        <w:spacing w:after="120" w:line="360"/>
        <w:ind w:firstLine="420"/>
        <w:jc w:val="both"/>
      </w:pPr>
      <w:r>
        <w:rPr>
          <w:rFonts w:ascii="Microsoft YaHei" w:cs="Microsoft YaHei" w:eastAsia="Microsoft YaHei" w:hAnsi="Microsoft YaHei"/>
          <w:sz w:val="21"/>
          <w:szCs w:val="21"/>
        </w:rPr>
        <w:t xml:space="preserve">MPC通过两种机制与Layer 1交互:一是流量指令偏移(flow command offsets),直接调整闸门流量指令;二是水位参考值调整(water-level reference shifts),修改Layer 1 PI控制器使用的设定值。这使MPC能够利用可用蓄水能力,通过预充网络(提高水位)来预应未来需求,或在需求下降前预防性降低水位。这两种机制的组合赋予了系统"前瞻性"控制能力,远超纯反馈控制的响应极限。</w:t>
      </w:r>
    </w:p>
    <w:p>
      <w:pPr>
        <w:spacing w:before="200" w:after="120"/>
      </w:pPr>
      <w:r>
        <w:rPr>
          <w:rFonts w:ascii="Microsoft YaHei" w:cs="Microsoft YaHei" w:eastAsia="Microsoft YaHei" w:hAnsi="Microsoft YaHei"/>
          <w:b/>
          <w:bCs/>
          <w:color w:val="2C3E50"/>
          <w:sz w:val="24"/>
          <w:szCs w:val="24"/>
        </w:rPr>
        <w:t xml:space="preserve">2.2.2  约束优化问题</w:t>
      </w:r>
    </w:p>
    <w:p>
      <w:pPr>
        <w:spacing w:after="120" w:line="360"/>
        <w:ind w:firstLine="420"/>
        <w:jc w:val="both"/>
      </w:pPr>
      <w:r>
        <w:rPr>
          <w:rFonts w:ascii="Microsoft YaHei" w:cs="Microsoft YaHei" w:eastAsia="Microsoft YaHei" w:hAnsi="Microsoft YaHei"/>
          <w:sz w:val="21"/>
          <w:szCs w:val="21"/>
        </w:rPr>
        <w:t xml:space="preserve">在每个更新周期,MPC求解一个约束优化问题,使用的是在Layer 1控制下运行的渠道模型(闭环动态而非开环被控对象),并通过基于观测器的状态估计从实测水位和流量进行初始化。代价函数最小化水位偏差与控制努力(流量指令变化量)的加权和,引导解向期望的瞬态特性收敛。约束条件确保:水位上界(防洪干舷安全)、水位下界(取水口最小服务水头)、闸门流量容量极限以及变化率限制——直接解决了困扰Layer 1的执行器饱和问题。鉴于线性内部模型和二次代价函数,这在每个步长产生一个二次规划(QP)问题。预测时域至少覆盖最长池段链的传输延迟,并纳入来自Layer 3的需求调度信息。</w:t>
      </w:r>
    </w:p>
    <w:p>
      <w:pPr>
        <w:spacing w:before="200" w:after="120"/>
      </w:pPr>
      <w:r>
        <w:rPr>
          <w:rFonts w:ascii="Microsoft YaHei" w:cs="Microsoft YaHei" w:eastAsia="Microsoft YaHei" w:hAnsi="Microsoft YaHei"/>
          <w:b/>
          <w:bCs/>
          <w:color w:val="2C3E50"/>
          <w:sz w:val="24"/>
          <w:szCs w:val="24"/>
        </w:rPr>
        <w:t xml:space="preserve">2.2.3  灰箱模型方法</w:t>
      </w:r>
    </w:p>
    <w:p>
      <w:pPr>
        <w:spacing w:after="120" w:line="360"/>
        <w:ind w:firstLine="420"/>
        <w:jc w:val="both"/>
      </w:pPr>
      <w:r>
        <w:rPr>
          <w:rFonts w:ascii="Microsoft YaHei" w:cs="Microsoft YaHei" w:eastAsia="Microsoft YaHei" w:hAnsi="Microsoft YaHei"/>
          <w:sz w:val="21"/>
          <w:szCs w:val="21"/>
        </w:rPr>
        <w:t xml:space="preserve">内部模型采用与Layer 1相同的灰箱模型(grey-box models)——物理结构化(质量守恒常微分方程配合非线性闸门流量关系)但参数通过运行数据的系统辨识拟合。这被专利明确列为五个独特之处之一,与"行业标准黑箱阶跃响应模型"形成对比。MPC于2018年在新南威尔士州Coleambally灌区的Yamma渠道首次试点部署,覆盖12.5km的9个池段。</w:t>
      </w:r>
    </w:p>
    <w:p>
      <w:pPr>
        <w:pStyle w:val="Heading2"/>
        <w:spacing w:before="280" w:after="160"/>
      </w:pPr>
      <w:r>
        <w:rPr>
          <w:rFonts w:ascii="Microsoft YaHei" w:cs="Microsoft YaHei" w:eastAsia="Microsoft YaHei" w:hAnsi="Microsoft YaHei"/>
          <w:b/>
          <w:bCs/>
          <w:color w:val="2E86C1"/>
          <w:sz w:val="26"/>
          <w:szCs w:val="26"/>
        </w:rPr>
        <w:t xml:space="preserve">2.3  Layer 3:需求管理与调度</w:t>
      </w:r>
    </w:p>
    <w:p>
      <w:pPr>
        <w:spacing w:after="120" w:line="360"/>
        <w:ind w:firstLine="420"/>
        <w:jc w:val="both"/>
      </w:pPr>
      <w:r>
        <w:rPr>
          <w:rFonts w:ascii="Microsoft YaHei" w:cs="Microsoft YaHei" w:eastAsia="Microsoft YaHei" w:hAnsi="Microsoft YaHei"/>
          <w:sz w:val="21"/>
          <w:szCs w:val="21"/>
        </w:rPr>
        <w:t xml:space="preserve">需求管理层(PCT/AU2012/000907,后为AU2012289827B2)处理客户用水申请并基于网络水力容量构建流量负荷交付计划。该计划直接作为Layer 2 MPC的预测未来负荷输入到优化时域中。NeuroFlo通过其Orders/Rotations/Scheduling模块实现此功能,支持电话、IVR、网页和智能手机下单,配备可视化规划工具。该层将原本不可预测的农场级需求转化为结构化信息,使预防性控制成为可能。</w:t>
      </w:r>
    </w:p>
    <w:p>
      <w:r>
        <w:br w:type="page"/>
      </w:r>
    </w:p>
    <w:p>
      <w:pPr>
        <w:pStyle w:val="Heading1"/>
        <w:spacing w:before="360" w:after="200"/>
      </w:pPr>
      <w:r>
        <w:rPr>
          <w:rFonts w:ascii="Microsoft YaHei" w:cs="Microsoft YaHei" w:eastAsia="Microsoft YaHei" w:hAnsi="Microsoft YaHei"/>
          <w:b/>
          <w:bCs/>
          <w:color w:val="1B4F72"/>
          <w:sz w:val="32"/>
          <w:szCs w:val="32"/>
        </w:rPr>
        <w:t xml:space="preserve">3  与CHS三层架构对比分析</w:t>
      </w:r>
    </w:p>
    <w:p>
      <w:pPr>
        <w:spacing w:after="120" w:line="360"/>
        <w:ind w:firstLine="420"/>
        <w:jc w:val="both"/>
      </w:pPr>
      <w:r>
        <w:rPr>
          <w:rFonts w:ascii="Microsoft YaHei" w:cs="Microsoft YaHei" w:eastAsia="Microsoft YaHei" w:hAnsi="Microsoft YaHei"/>
          <w:sz w:val="21"/>
          <w:szCs w:val="21"/>
        </w:rPr>
        <w:t xml:space="preserve">水系统控制论(Cybernetics of Hydro Systems, CHS)体系同样采用三层架构:供需平衡计划层、多闸群MPC实时控制层和PID/DMPC底层控制。两种架构存在结构性相似和关键差异。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FFFFFF"/>
                <w:sz w:val="19"/>
                <w:szCs w:val="19"/>
              </w:rPr>
              <w:t xml:space="preserve">对比维度</w:t>
            </w:r>
          </w:p>
        </w:tc>
        <w:tc>
          <w:tcPr>
            <w:tcW w:type="dxa" w:w="3763"/>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FFFFFF"/>
                <w:sz w:val="19"/>
                <w:szCs w:val="19"/>
              </w:rPr>
              <w:t xml:space="preserve">Rubicon TCC</w:t>
            </w:r>
          </w:p>
        </w:tc>
        <w:tc>
          <w:tcPr>
            <w:tcW w:type="dxa" w:w="3763"/>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FFFFFF"/>
                <w:sz w:val="19"/>
                <w:szCs w:val="19"/>
              </w:rPr>
              <w:t xml:space="preserve">CHS三层架构</w:t>
            </w:r>
          </w:p>
        </w:tc>
      </w:tr>
      <w:tr>
        <w:tc>
          <w:tcPr>
            <w:tcW w:type="dxa" w:w="1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000000"/>
                <w:sz w:val="19"/>
                <w:szCs w:val="19"/>
              </w:rPr>
              <w:t xml:space="preserve">顶层</w:t>
            </w:r>
          </w:p>
        </w:tc>
        <w:tc>
          <w:tcPr>
            <w:tcW w:type="dxa" w:w="3763"/>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9"/>
                <w:szCs w:val="19"/>
              </w:rPr>
              <w:t xml:space="preserve">Layer 3:基于水力容量的需求调度,生成流量负荷计划</w:t>
            </w:r>
          </w:p>
        </w:tc>
        <w:tc>
          <w:tcPr>
            <w:tcW w:type="dxa" w:w="3763"/>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9"/>
                <w:szCs w:val="19"/>
              </w:rPr>
              <w:t xml:space="preserve">供需平衡计划层:确定口门供水过程,传统的供需平衡</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000000"/>
                <w:sz w:val="19"/>
                <w:szCs w:val="19"/>
              </w:rPr>
              <w:t xml:space="preserve">中间层</w:t>
            </w:r>
          </w:p>
        </w:tc>
        <w:tc>
          <w:tcPr>
            <w:tcW w:type="dxa" w:w="3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9"/>
                <w:szCs w:val="19"/>
              </w:rPr>
              <w:t xml:space="preserve">Layer 2:监督MPC,约束QP优化,灰箱内部模型</w:t>
            </w:r>
          </w:p>
        </w:tc>
        <w:tc>
          <w:tcPr>
            <w:tcW w:type="dxa" w:w="3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9"/>
                <w:szCs w:val="19"/>
              </w:rPr>
              <w:t xml:space="preserve">多闸群MPC实时控制:以口门需水过程为边界,来水能力为约束</w:t>
            </w:r>
          </w:p>
        </w:tc>
      </w:tr>
      <w:tr>
        <w:tc>
          <w:tcPr>
            <w:tcW w:type="dxa" w:w="1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000000"/>
                <w:sz w:val="19"/>
                <w:szCs w:val="19"/>
              </w:rPr>
              <w:t xml:space="preserve">底层</w:t>
            </w:r>
          </w:p>
        </w:tc>
        <w:tc>
          <w:tcPr>
            <w:tcW w:type="dxa" w:w="3763"/>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9"/>
                <w:szCs w:val="19"/>
              </w:rPr>
              <w:t xml:space="preserve">Layer 1:分散式PI控制+前馈+低通滤波+抗饱和</w:t>
            </w:r>
          </w:p>
        </w:tc>
        <w:tc>
          <w:tcPr>
            <w:tcW w:type="dxa" w:w="3763"/>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9"/>
                <w:szCs w:val="19"/>
              </w:rPr>
              <w:t xml:space="preserve">PID或DMPC:最简单可靠的本地控制</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000000"/>
                <w:sz w:val="19"/>
                <w:szCs w:val="19"/>
              </w:rPr>
              <w:t xml:space="preserve">核心相似</w:t>
            </w:r>
          </w:p>
        </w:tc>
        <w:tc>
          <w:tcPr>
            <w:tcW w:type="dxa" w:w="3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9"/>
                <w:szCs w:val="19"/>
              </w:rPr>
              <w:t xml:space="preserve">分层控制设计理念:MPC提供全局优化,PID确保本地可靠</w:t>
            </w:r>
          </w:p>
        </w:tc>
        <w:tc>
          <w:tcPr>
            <w:tcW w:type="dxa" w:w="3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9"/>
                <w:szCs w:val="19"/>
              </w:rPr>
              <w:t xml:space="preserve">相同设计哲学:分层解耦,可靠性优先于最优性</w:t>
            </w:r>
          </w:p>
        </w:tc>
      </w:tr>
      <w:tr>
        <w:tc>
          <w:tcPr>
            <w:tcW w:type="dxa" w:w="1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000000"/>
                <w:sz w:val="19"/>
                <w:szCs w:val="19"/>
              </w:rPr>
              <w:t xml:space="preserve">关键差异</w:t>
            </w:r>
          </w:p>
        </w:tc>
        <w:tc>
          <w:tcPr>
            <w:tcW w:type="dxa" w:w="3763"/>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9"/>
                <w:szCs w:val="19"/>
              </w:rPr>
              <w:t xml:space="preserve">Layer 1已包含前馈和闸门间协调;Layer 2通过双重机制(流量偏移+水位参考调整)与Layer 1交互</w:t>
            </w:r>
          </w:p>
        </w:tc>
        <w:tc>
          <w:tcPr>
            <w:tcW w:type="dxa" w:w="3763"/>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9"/>
                <w:szCs w:val="19"/>
              </w:rPr>
              <w:t xml:space="preserve">底层可选DMPC提供更强的分布式协调;中间层直接面向多目标(供水保障、防洪安全、节能)</w:t>
            </w:r>
          </w:p>
        </w:tc>
      </w:tr>
    </w:tbl>
    <w:p>
      <w:pPr>
        <w:spacing w:after="120"/>
      </w:pPr>
    </w:p>
    <w:p>
      <w:pPr>
        <w:spacing w:after="120" w:line="360"/>
        <w:ind w:firstLine="420"/>
        <w:jc w:val="both"/>
      </w:pPr>
      <w:r>
        <w:rPr>
          <w:rFonts w:ascii="Microsoft YaHei" w:cs="Microsoft YaHei" w:eastAsia="Microsoft YaHei" w:hAnsi="Microsoft YaHei"/>
          <w:sz w:val="21"/>
          <w:szCs w:val="21"/>
        </w:rPr>
        <w:t xml:space="preserve">两种架构的核心共识是:PID作为底层控制器是深思熟虑的工程选择而非技术局限。渠道控制在执行器层面要求可靠性优先于最优性——仅3个可调参数、零计算需求(在嵌入式RTU硬件上运行)、对模型不确定性和参数漂移的固有鲁棒性、以及数十年恶劣户外环境验证。替代方案如LQR(对模型失配脆弱)、GPC(计算负担更重)、模糊控制(系统化整定困难)均牺牲了使优雅降级成为可能的简单性。</w:t>
      </w:r>
    </w:p>
    <w:p>
      <w:pPr>
        <w:spacing w:after="120" w:line="360"/>
        <w:ind w:firstLine="420"/>
        <w:jc w:val="both"/>
      </w:pPr>
      <w:r>
        <w:rPr>
          <w:rFonts w:ascii="Microsoft YaHei" w:cs="Microsoft YaHei" w:eastAsia="Microsoft YaHei" w:hAnsi="Microsoft YaHei"/>
          <w:sz w:val="21"/>
          <w:szCs w:val="21"/>
        </w:rPr>
        <w:t xml:space="preserve">两种架构的关键分歧在于中间层的定位。Rubicon的Layer 2本质上是对Layer 1的"补丁式"优化,通过流量偏移和水位参考调整在不改变底层架构的前提下叠加全局智能。CHS的MPC层则从系统控制论出发,将供需平衡、安全约束、节能运行等多目标统一纳入优化框架,体现了更强的系统性思维。此外,CHS体系预留了DMPC作为底层选项,在通信可靠时可实现更精细的分布式协调,这一灵活性是Rubicon固定的PI底层所不具备的。</w:t>
      </w:r>
    </w:p>
    <w:p>
      <w:r>
        <w:br w:type="page"/>
      </w:r>
    </w:p>
    <w:p>
      <w:pPr>
        <w:pStyle w:val="Heading1"/>
        <w:spacing w:before="360" w:after="200"/>
      </w:pPr>
      <w:r>
        <w:rPr>
          <w:rFonts w:ascii="Microsoft YaHei" w:cs="Microsoft YaHei" w:eastAsia="Microsoft YaHei" w:hAnsi="Microsoft YaHei"/>
          <w:b/>
          <w:bCs/>
          <w:color w:val="1B4F72"/>
          <w:sz w:val="32"/>
          <w:szCs w:val="32"/>
        </w:rPr>
        <w:t xml:space="preserve">4  数学基础:从Saint-Venant方程到传递函数</w:t>
      </w:r>
    </w:p>
    <w:p>
      <w:pPr>
        <w:spacing w:after="120" w:line="360"/>
        <w:ind w:firstLine="420"/>
        <w:jc w:val="both"/>
      </w:pPr>
      <w:r>
        <w:rPr>
          <w:rFonts w:ascii="Microsoft YaHei" w:cs="Microsoft YaHei" w:eastAsia="Microsoft YaHei" w:hAnsi="Microsoft YaHei"/>
          <w:sz w:val="21"/>
          <w:szCs w:val="21"/>
        </w:rPr>
        <w:t xml:space="preserve">从第一性原理到可部署控制器的数学链路遵循了墨尔本学派开创的独特路径。</w:t>
      </w:r>
    </w:p>
    <w:p>
      <w:pPr>
        <w:pStyle w:val="Heading2"/>
        <w:spacing w:before="280" w:after="160"/>
      </w:pPr>
      <w:r>
        <w:rPr>
          <w:rFonts w:ascii="Microsoft YaHei" w:cs="Microsoft YaHei" w:eastAsia="Microsoft YaHei" w:hAnsi="Microsoft YaHei"/>
          <w:b/>
          <w:bCs/>
          <w:color w:val="2E86C1"/>
          <w:sz w:val="26"/>
          <w:szCs w:val="26"/>
        </w:rPr>
        <w:t xml:space="preserve">4.1  Saint-Venant方程</w:t>
      </w:r>
    </w:p>
    <w:p>
      <w:pPr>
        <w:spacing w:after="120" w:line="360"/>
        <w:ind w:firstLine="420"/>
        <w:jc w:val="both"/>
      </w:pPr>
      <w:r>
        <w:rPr>
          <w:rFonts w:ascii="Microsoft YaHei" w:cs="Microsoft YaHei" w:eastAsia="Microsoft YaHei" w:hAnsi="Microsoft YaHei"/>
          <w:sz w:val="21"/>
          <w:szCs w:val="21"/>
        </w:rPr>
        <w:t xml:space="preserve">起点是一维浅水方程——Saint-Venant方程。连续性方程∂A/∂t + ∂Q/∂x = qₗ表达质量守恒,动量方程∂Q/∂t + ∂(Q²/A)/∂x + gA·∂z/∂x = gA(S₀ - Sf)描述惯性力、重力、压力和摩擦力的平衡。这些耦合非线性双曲型偏微分方程构成分布参数无穷维系统——对于直接实时控制而言过于复杂。</w:t>
      </w:r>
    </w:p>
    <w:p>
      <w:pPr>
        <w:pStyle w:val="Heading2"/>
        <w:spacing w:before="280" w:after="160"/>
      </w:pPr>
      <w:r>
        <w:rPr>
          <w:rFonts w:ascii="Microsoft YaHei" w:cs="Microsoft YaHei" w:eastAsia="Microsoft YaHei" w:hAnsi="Microsoft YaHei"/>
          <w:b/>
          <w:bCs/>
          <w:color w:val="2E86C1"/>
          <w:sz w:val="26"/>
          <w:szCs w:val="26"/>
        </w:rPr>
        <w:t xml:space="preserve">4.2  灰箱模型辨识方法</w:t>
      </w:r>
    </w:p>
    <w:p>
      <w:pPr>
        <w:spacing w:after="120" w:line="360"/>
        <w:ind w:firstLine="420"/>
        <w:jc w:val="both"/>
      </w:pPr>
      <w:r>
        <w:rPr>
          <w:rFonts w:ascii="Microsoft YaHei" w:cs="Microsoft YaHei" w:eastAsia="Microsoft YaHei" w:hAnsi="Microsoft YaHei"/>
          <w:sz w:val="21"/>
          <w:szCs w:val="21"/>
        </w:rPr>
        <w:t xml:space="preserve">墨尔本方法绕过了完整的PDE离散化,采用灰箱模型辨识。Erik Weyer 2001年在Control Engineering Practice上的开创性论文建立了该方法论:保留物理模型结构(每个池段的质量守恒积分器配合非线性闸门流量关系)但通过预测误差法从运行数据估计参数。一阶模型As·dy/dt = qin(t-τ) - qout(t)捕获基本动态——蓄水面积As、下游水位y、带传输延迟τ的入流以及作为闸门开度和水位非线性函数的出流。三阶扩展(积分器级联二阶线性系统)以显著精度捕获波动力学。Ooi和Weyer(2005)将灰箱方法与完整Saint-Venant数值解进行了对比验证,发现物理结构化模型配合数据估计参数兼具物理学的可靠性和系统辨识的精确性。</w:t>
      </w:r>
    </w:p>
    <w:p>
      <w:pPr>
        <w:pStyle w:val="Heading2"/>
        <w:spacing w:before="280" w:after="160"/>
      </w:pPr>
      <w:r>
        <w:rPr>
          <w:rFonts w:ascii="Microsoft YaHei" w:cs="Microsoft YaHei" w:eastAsia="Microsoft YaHei" w:hAnsi="Microsoft YaHei"/>
          <w:b/>
          <w:bCs/>
          <w:color w:val="2E86C1"/>
          <w:sz w:val="26"/>
          <w:szCs w:val="26"/>
        </w:rPr>
        <w:t xml:space="preserve">4.3  池段传递函数模型</w:t>
      </w:r>
    </w:p>
    <w:p>
      <w:pPr>
        <w:spacing w:after="120" w:line="360"/>
        <w:ind w:firstLine="420"/>
        <w:jc w:val="both"/>
      </w:pPr>
      <w:r>
        <w:rPr>
          <w:rFonts w:ascii="Microsoft YaHei" w:cs="Microsoft YaHei" w:eastAsia="Microsoft YaHei" w:hAnsi="Microsoft YaHei"/>
          <w:sz w:val="21"/>
          <w:szCs w:val="21"/>
        </w:rPr>
        <w:t xml:space="preserve">在2007年Proceedings of the IEEE里程碑论文中,Cantoni、Weyer、Li、Ooi、Mareels和Ryan将池段传递函数模型形式化:Yi(s) = Pi(s)·Ui(s) + Di(s)·Wi(s),其中串联互联结构反映了渠道池段的级联拓扑。每个池段从上游闸门流量到下游水位的传递函数近似为一阶加延迟:Pi(s) = (ai/(τi·s+1))·e^(-di·s),包含直流增益ai、时间常数τi和传输延迟di——全部可从运行数据辨识。该拉普拉斯域表示法支持经典频域设计方法,同时保留了本质渠道物理特性。</w:t>
      </w:r>
    </w:p>
    <w:p>
      <w:pPr>
        <w:pStyle w:val="Heading2"/>
        <w:spacing w:before="280" w:after="160"/>
      </w:pPr>
      <w:r>
        <w:rPr>
          <w:rFonts w:ascii="Microsoft YaHei" w:cs="Microsoft YaHei" w:eastAsia="Microsoft YaHei" w:hAnsi="Microsoft YaHei"/>
          <w:b/>
          <w:bCs/>
          <w:color w:val="2E86C1"/>
          <w:sz w:val="26"/>
          <w:szCs w:val="26"/>
        </w:rPr>
        <w:t xml:space="preserve">4.4  分布参数传递函数(2025年前沿)</w:t>
      </w:r>
    </w:p>
    <w:p>
      <w:pPr>
        <w:spacing w:after="120" w:line="360"/>
        <w:ind w:firstLine="420"/>
        <w:jc w:val="both"/>
      </w:pPr>
      <w:r>
        <w:rPr>
          <w:rFonts w:ascii="Microsoft YaHei" w:cs="Microsoft YaHei" w:eastAsia="Microsoft YaHei" w:hAnsi="Microsoft YaHei"/>
          <w:sz w:val="21"/>
          <w:szCs w:val="21"/>
        </w:rPr>
        <w:t xml:space="preserve">Strecker和Cantoni(2025)最新工作另辟蹊径——直接从拉普拉斯变换的线性化Saint-Venant偏微分方程推导分布参数传递函数,保留无穷维动态特性而非截断为有限维近似。这产生超越传递函数C(x,s),以完全的数学严格性捕获波传播和延迟效应,支持有限维模型无法提供的形式化稳定性证明。</w:t>
      </w:r>
    </w:p>
    <w:p>
      <w:r>
        <w:br w:type="page"/>
      </w:r>
    </w:p>
    <w:p>
      <w:pPr>
        <w:pStyle w:val="Heading1"/>
        <w:spacing w:before="360" w:after="200"/>
      </w:pPr>
      <w:r>
        <w:rPr>
          <w:rFonts w:ascii="Microsoft YaHei" w:cs="Microsoft YaHei" w:eastAsia="Microsoft YaHei" w:hAnsi="Microsoft YaHei"/>
          <w:b/>
          <w:bCs/>
          <w:color w:val="1B4F72"/>
          <w:sz w:val="32"/>
          <w:szCs w:val="32"/>
        </w:rPr>
        <w:t xml:space="preserve">5  专利组合:技术演进的三代轨迹</w:t>
      </w:r>
    </w:p>
    <w:p>
      <w:pPr>
        <w:spacing w:after="120" w:line="360"/>
        <w:ind w:firstLine="420"/>
        <w:jc w:val="both"/>
      </w:pPr>
      <w:r>
        <w:rPr>
          <w:rFonts w:ascii="Microsoft YaHei" w:cs="Microsoft YaHei" w:eastAsia="Microsoft YaHei" w:hAnsi="Microsoft YaHei"/>
          <w:sz w:val="21"/>
          <w:szCs w:val="21"/>
        </w:rPr>
        <w:t xml:space="preserve">Rubicon的专利组合揭示了跨越三个不同世代的技术发展,共计218项专利覆盖21个司法管辖区。</w:t>
      </w:r>
    </w:p>
    <w:p>
      <w:pPr>
        <w:pStyle w:val="Heading2"/>
        <w:spacing w:before="280" w:after="160"/>
      </w:pPr>
      <w:r>
        <w:rPr>
          <w:rFonts w:ascii="Microsoft YaHei" w:cs="Microsoft YaHei" w:eastAsia="Microsoft YaHei" w:hAnsi="Microsoft YaHei"/>
          <w:b/>
          <w:bCs/>
          <w:color w:val="2E86C1"/>
          <w:sz w:val="26"/>
          <w:szCs w:val="26"/>
        </w:rPr>
        <w:t xml:space="preserve">5.1  第一代(2001-2005):基础奠定</w:t>
      </w:r>
    </w:p>
    <w:p>
      <w:pPr>
        <w:spacing w:after="120" w:line="360"/>
        <w:ind w:firstLine="420"/>
        <w:jc w:val="both"/>
      </w:pPr>
      <w:r>
        <w:rPr>
          <w:rFonts w:ascii="Microsoft YaHei" w:cs="Microsoft YaHei" w:eastAsia="Microsoft YaHei" w:hAnsi="Microsoft YaHei"/>
          <w:sz w:val="21"/>
          <w:szCs w:val="21"/>
        </w:rPr>
        <w:t xml:space="preserve">US 7,152,001、US 7,244,078和US 7,461,999(均由Aughton, Mareels, Weyer发明)确立了硬件平台(溢流控制闸门、流量测量、钢缆驱动执行机构)和基础层反应式控制(LQR设计)。最初归属Rubicon Systems,2012年重新分配至Rubicon Research和墨尔本大学联合持有,反映了合作关系的深化。</w:t>
      </w:r>
    </w:p>
    <w:p>
      <w:pPr>
        <w:pStyle w:val="Heading2"/>
        <w:spacing w:before="280" w:after="160"/>
      </w:pPr>
      <w:r>
        <w:rPr>
          <w:rFonts w:ascii="Microsoft YaHei" w:cs="Microsoft YaHei" w:eastAsia="Microsoft YaHei" w:hAnsi="Microsoft YaHei"/>
          <w:b/>
          <w:bCs/>
          <w:color w:val="2E86C1"/>
          <w:sz w:val="26"/>
          <w:szCs w:val="26"/>
        </w:rPr>
        <w:t xml:space="preserve">5.2  第二代(2012-2015):智能化</w:t>
      </w:r>
    </w:p>
    <w:p>
      <w:pPr>
        <w:spacing w:after="120" w:line="360"/>
        <w:ind w:firstLine="420"/>
        <w:jc w:val="both"/>
      </w:pPr>
      <w:r>
        <w:rPr>
          <w:rFonts w:ascii="Microsoft YaHei" w:cs="Microsoft YaHei" w:eastAsia="Microsoft YaHei" w:hAnsi="Microsoft YaHei"/>
          <w:sz w:val="21"/>
          <w:szCs w:val="21"/>
        </w:rPr>
        <w:t xml:space="preserve">US 9,952,601 / WO2013149304A1(Choy, Cantoni, Dower, Kearney)增加了监督MPC层。该专利族延伸至欧洲(EP2834714B1)、中国(CN104321705B)和西班牙(ES2741726T3)。配套的需求管理专利(PCT/AU2012/000907, AU2012289827B2)和管道控制专利(WO2015031954A1)完善了商业系统。2019年土壤湿度专利(WO2019033158A1,发明人包括水文学家Dongryeol Ryu)将技术向精准农业延伸。</w:t>
      </w:r>
    </w:p>
    <w:p>
      <w:pPr>
        <w:pStyle w:val="Heading2"/>
        <w:spacing w:before="280" w:after="160"/>
      </w:pPr>
      <w:r>
        <w:rPr>
          <w:rFonts w:ascii="Microsoft YaHei" w:cs="Microsoft YaHei" w:eastAsia="Microsoft YaHei" w:hAnsi="Microsoft YaHei"/>
          <w:b/>
          <w:bCs/>
          <w:color w:val="2E86C1"/>
          <w:sz w:val="26"/>
          <w:szCs w:val="26"/>
        </w:rPr>
        <w:t xml:space="preserve">5.3  第三代(2025):分散化</w:t>
      </w:r>
    </w:p>
    <w:p>
      <w:pPr>
        <w:spacing w:after="120" w:line="360"/>
        <w:ind w:firstLine="420"/>
        <w:jc w:val="both"/>
      </w:pPr>
      <w:r>
        <w:rPr>
          <w:rFonts w:ascii="Microsoft YaHei" w:cs="Microsoft YaHei" w:eastAsia="Microsoft YaHei" w:hAnsi="Microsoft YaHei"/>
          <w:sz w:val="21"/>
          <w:szCs w:val="21"/>
        </w:rPr>
        <w:t xml:space="preserve">PCT/AU2025/051191(Strecker, Cantoni)代表技术前沿——面向蓄水临界运行的分散式体积平衡控制。该专利申请通过arXiv:2512.20966披露,解决的是单个池段蓄水容量不足以吸收系统级供需失衡的场景——前两代技术无法优雅处理的关键运行缺口。</w:t>
      </w:r>
    </w:p>
    <w:p>
      <w:pPr>
        <w:spacing w:after="120" w:line="360"/>
        <w:ind w:firstLine="420"/>
        <w:jc w:val="both"/>
      </w:pPr>
      <w:r>
        <w:rPr>
          <w:rFonts w:ascii="Microsoft YaHei" w:cs="Microsoft YaHei" w:eastAsia="Microsoft YaHei" w:hAnsi="Microsoft YaHei"/>
          <w:sz w:val="21"/>
          <w:szCs w:val="21"/>
        </w:rPr>
        <w:t xml:space="preserve">专利文献明确承认第一代的四项具体局限(瞬态流量放大、执行器饱和、长池段偏差过大、干舷限制),第二代逐一解决这些问题。第三代则进一步解决第一、二代隐含假设的"单个池段可独立吸收扰动"这一前提条件。</w:t>
      </w:r>
    </w:p>
    <w:p>
      <w:r>
        <w:br w:type="page"/>
      </w:r>
    </w:p>
    <w:p>
      <w:pPr>
        <w:pStyle w:val="Heading1"/>
        <w:spacing w:before="360" w:after="200"/>
      </w:pPr>
      <w:r>
        <w:rPr>
          <w:rFonts w:ascii="Microsoft YaHei" w:cs="Microsoft YaHei" w:eastAsia="Microsoft YaHei" w:hAnsi="Microsoft YaHei"/>
          <w:b/>
          <w:bCs/>
          <w:color w:val="1B4F72"/>
          <w:sz w:val="32"/>
          <w:szCs w:val="32"/>
        </w:rPr>
        <w:t xml:space="preserve">6  墨尔本大学20年学术合作</w:t>
      </w:r>
    </w:p>
    <w:p>
      <w:pPr>
        <w:spacing w:after="120" w:line="360"/>
        <w:ind w:firstLine="420"/>
        <w:jc w:val="both"/>
      </w:pPr>
      <w:r>
        <w:rPr>
          <w:rFonts w:ascii="Microsoft YaHei" w:cs="Microsoft YaHei" w:eastAsia="Microsoft YaHei" w:hAnsi="Microsoft YaHei"/>
          <w:sz w:val="21"/>
          <w:szCs w:val="21"/>
        </w:rPr>
        <w:t xml:space="preserve">该合作始于1990年代末Rubicon公司接触墨尔本大学Iven Mareels教授,至今已产出灌溉渠道自动控制领域最具权威性的学术成果体系。合作获得6项ARC Linkage资助,培养了11名博士后、8名博士和2名硕士研究生,并于2014年获得IEEE控制系统技术奖(授予Cantoni, Mareels和Weyer)。</w:t>
      </w:r>
    </w:p>
    <w:p>
      <w:pPr>
        <w:pStyle w:val="Heading2"/>
        <w:spacing w:before="280" w:after="160"/>
      </w:pPr>
      <w:r>
        <w:rPr>
          <w:rFonts w:ascii="Microsoft YaHei" w:cs="Microsoft YaHei" w:eastAsia="Microsoft YaHei" w:hAnsi="Microsoft YaHei"/>
          <w:b/>
          <w:bCs/>
          <w:color w:val="2E86C1"/>
          <w:sz w:val="26"/>
          <w:szCs w:val="26"/>
        </w:rPr>
        <w:t xml:space="preserve">6.1  研究演进脉络</w:t>
      </w:r>
    </w:p>
    <w:p>
      <w:pPr>
        <w:spacing w:after="120" w:line="360"/>
        <w:ind w:firstLine="420"/>
        <w:jc w:val="both"/>
      </w:pPr>
      <w:r>
        <w:rPr>
          <w:rFonts w:ascii="Microsoft YaHei" w:cs="Microsoft YaHei" w:eastAsia="Microsoft YaHei" w:hAnsi="Microsoft YaHei"/>
          <w:sz w:val="21"/>
          <w:szCs w:val="21"/>
        </w:rPr>
        <w:t xml:space="preserve">研究弧线经历了清晰的阶段性推进。Weyer的系统辨识工作(2001-2003)确立了从运行数据辨识的灰箱模型优于未经验证的Saint-Venant仿真结果这一核心认知。其分散式PI控制器设计(2002)奠定了Layer 1的基础。Li、Cantoni和Weyer(2004)展示了使用正规化互素因子描述的H∞环路整形(McFarlane-Glover框架),比LQR更易整定,对大规模网络扩展至关重要。Li、Cantoni和Weyer 2005年CDC论文证明了一个基本结论:在需要稳态扰动抑制的条件下,分散控制下水位误差必然向上游放大——确立了纯本地控制器所能达到的理论天花板。</w:t>
      </w:r>
    </w:p>
    <w:p>
      <w:pPr>
        <w:pStyle w:val="Heading2"/>
        <w:spacing w:before="280" w:after="160"/>
      </w:pPr>
      <w:r>
        <w:rPr>
          <w:rFonts w:ascii="Microsoft YaHei" w:cs="Microsoft YaHei" w:eastAsia="Microsoft YaHei" w:hAnsi="Microsoft YaHei"/>
          <w:b/>
          <w:bCs/>
          <w:color w:val="2E86C1"/>
          <w:sz w:val="26"/>
          <w:szCs w:val="26"/>
        </w:rPr>
        <w:t xml:space="preserve">6.2  里程碑论文</w:t>
      </w:r>
    </w:p>
    <w:p>
      <w:pPr>
        <w:spacing w:after="120" w:line="360"/>
        <w:ind w:firstLine="420"/>
        <w:jc w:val="both"/>
      </w:pPr>
      <w:r>
        <w:rPr>
          <w:rFonts w:ascii="Microsoft YaHei" w:cs="Microsoft YaHei" w:eastAsia="Microsoft YaHei" w:hAnsi="Microsoft YaHei"/>
          <w:sz w:val="21"/>
          <w:szCs w:val="21"/>
        </w:rPr>
        <w:t xml:space="preserve">2007年Proceedings of the IEEE论文(Cantoni, Weyer, Li, Ooi, Mareels, Ryan)是TCC的学术基石。该文形式化了具有串联互联结构的池段传递函数模型,比较了四种控制信息结构(分散反馈、分散反馈+前馈、集中式MIMO和分布式),识别了本地性能与全局性能之间的基本设计权衡,并引入了继承被控对象互联拓扑的分布式控制框架。在昆士兰Haughton干渠的现场试验验证了理论。</w:t>
      </w:r>
    </w:p>
    <w:p>
      <w:pPr>
        <w:pStyle w:val="Heading2"/>
        <w:spacing w:before="280" w:after="160"/>
      </w:pPr>
      <w:r>
        <w:rPr>
          <w:rFonts w:ascii="Microsoft YaHei" w:cs="Microsoft YaHei" w:eastAsia="Microsoft YaHei" w:hAnsi="Microsoft YaHei"/>
          <w:b/>
          <w:bCs/>
          <w:color w:val="2E86C1"/>
          <w:sz w:val="26"/>
          <w:szCs w:val="26"/>
        </w:rPr>
        <w:t xml:space="preserve">6.3  近期前沿进展</w:t>
      </w:r>
    </w:p>
    <w:p>
      <w:pPr>
        <w:spacing w:after="120" w:line="360"/>
        <w:ind w:firstLine="420"/>
        <w:jc w:val="both"/>
      </w:pPr>
      <w:r>
        <w:rPr>
          <w:rFonts w:ascii="Microsoft YaHei" w:cs="Microsoft YaHei" w:eastAsia="Microsoft YaHei" w:hAnsi="Microsoft YaHei"/>
          <w:sz w:val="21"/>
          <w:szCs w:val="21"/>
        </w:rPr>
        <w:t xml:space="preserve">Nasir、Cantoni、Li和Weyer(2019/2021, IEEE TCST)将MPC推进到随机表述,使用基于场景的优化处理不确定取水需求。Strecker和Cantoni(2025)的分散式体积平衡控制基于分布参数传递函数进行设计,在Waranga Western渠道7个池段进行了现场验证。Weyer团队进一步向更广泛的水系统扩展:Wang和Weyer开发了基于不确定系统辨识模型的场景优化(Automatica 2024),Wang、Weyer和Manzie开创了基于马尔可夫链理论的蓄水与控制随机协同设计(IEEE TCST 2024)。</w:t>
      </w:r>
    </w:p>
    <w:p>
      <w:r>
        <w:br w:type="page"/>
      </w:r>
    </w:p>
    <w:p>
      <w:pPr>
        <w:pStyle w:val="Heading1"/>
        <w:spacing w:before="360" w:after="200"/>
      </w:pPr>
      <w:r>
        <w:rPr>
          <w:rFonts w:ascii="Microsoft YaHei" w:cs="Microsoft YaHei" w:eastAsia="Microsoft YaHei" w:hAnsi="Microsoft YaHei"/>
          <w:b/>
          <w:bCs/>
          <w:color w:val="1B4F72"/>
          <w:sz w:val="32"/>
          <w:szCs w:val="32"/>
        </w:rPr>
        <w:t xml:space="preserve">7  2025年分散式体积平衡控制突破</w:t>
      </w:r>
    </w:p>
    <w:p>
      <w:pPr>
        <w:spacing w:after="120" w:line="360"/>
        <w:ind w:firstLine="420"/>
        <w:jc w:val="both"/>
      </w:pPr>
      <w:r>
        <w:rPr>
          <w:rFonts w:ascii="Microsoft YaHei" w:cs="Microsoft YaHei" w:eastAsia="Microsoft YaHei" w:hAnsi="Microsoft YaHei"/>
          <w:sz w:val="21"/>
          <w:szCs w:val="21"/>
        </w:rPr>
        <w:t xml:space="preserve">最重要的近期进展是arXiv:2512.20966(2025年12月),关联专利PCT/AU2025/051191。Strecker和Cantoni处理的是前两代TCC难以应对的场景:蓄水临界运行——系统级供需失衡超出单个池段蓄水容量。</w:t>
      </w:r>
    </w:p>
    <w:p>
      <w:pPr>
        <w:pStyle w:val="Heading2"/>
        <w:spacing w:before="280" w:after="160"/>
      </w:pPr>
      <w:r>
        <w:rPr>
          <w:rFonts w:ascii="Microsoft YaHei" w:cs="Microsoft YaHei" w:eastAsia="Microsoft YaHei" w:hAnsi="Microsoft YaHei"/>
          <w:b/>
          <w:bCs/>
          <w:color w:val="2E86C1"/>
          <w:sz w:val="26"/>
          <w:szCs w:val="26"/>
        </w:rPr>
        <w:t xml:space="preserve">7.1  核心思想</w:t>
      </w:r>
    </w:p>
    <w:p>
      <w:pPr>
        <w:spacing w:after="120" w:line="360"/>
        <w:ind w:firstLine="420"/>
        <w:jc w:val="both"/>
      </w:pPr>
      <w:r>
        <w:rPr>
          <w:rFonts w:ascii="Microsoft YaHei" w:cs="Microsoft YaHei" w:eastAsia="Microsoft YaHei" w:hAnsi="Microsoft YaHei"/>
          <w:sz w:val="21"/>
          <w:szCs w:val="21"/>
        </w:rPr>
        <w:t xml:space="preserve">传统方法是每个池段独立将水位调节到其设定值。新方法改为控制相邻池段水位偏差的(可加权)差值趋向零——将失衡均匀分摊到多个池段中。这一看似简单的目标变换蕴含深刻的控制含义:它通过问题表述(而非通信架构)实现了隐式协调。</w:t>
      </w:r>
    </w:p>
    <w:p>
      <w:pPr>
        <w:pStyle w:val="Heading2"/>
        <w:spacing w:before="280" w:after="160"/>
      </w:pPr>
      <w:r>
        <w:rPr>
          <w:rFonts w:ascii="Microsoft YaHei" w:cs="Microsoft YaHei" w:eastAsia="Microsoft YaHei" w:hAnsi="Microsoft YaHei"/>
          <w:b/>
          <w:bCs/>
          <w:color w:val="2E86C1"/>
          <w:sz w:val="26"/>
          <w:szCs w:val="26"/>
        </w:rPr>
        <w:t xml:space="preserve">7.2  设计方法</w:t>
      </w:r>
    </w:p>
    <w:p>
      <w:pPr>
        <w:spacing w:after="120" w:line="360"/>
        <w:ind w:firstLine="420"/>
        <w:jc w:val="both"/>
      </w:pPr>
      <w:r>
        <w:rPr>
          <w:rFonts w:ascii="Microsoft YaHei" w:cs="Microsoft YaHei" w:eastAsia="Microsoft YaHei" w:hAnsi="Microsoft YaHei"/>
          <w:sz w:val="21"/>
          <w:szCs w:val="21"/>
        </w:rPr>
        <w:t xml:space="preserve">控制器设计采用递归SISO环路整形程序,基于从线性化Saint-Venant方程推导的分布参数传递函数。每步涉及一个经典SISO环路整形问题,从下游到上游逐步推进,具有可证明的递归可行性和MIMO闭环稳定性。关键特征:控制器是分散式的(仅使用本地测量——每个闸门处的上下游水位),却通过体积平衡目标本身实现了协调行为,无需控制器间通信。</w:t>
      </w:r>
    </w:p>
    <w:p>
      <w:pPr>
        <w:pStyle w:val="Heading2"/>
        <w:spacing w:before="280" w:after="160"/>
      </w:pPr>
      <w:r>
        <w:rPr>
          <w:rFonts w:ascii="Microsoft YaHei" w:cs="Microsoft YaHei" w:eastAsia="Microsoft YaHei" w:hAnsi="Microsoft YaHei"/>
          <w:b/>
          <w:bCs/>
          <w:color w:val="2E86C1"/>
          <w:sz w:val="26"/>
          <w:szCs w:val="26"/>
        </w:rPr>
        <w:t xml:space="preserve">7.3  现场验证</w:t>
      </w:r>
    </w:p>
    <w:p>
      <w:pPr>
        <w:spacing w:after="120" w:line="360"/>
        <w:ind w:firstLine="420"/>
        <w:jc w:val="both"/>
      </w:pPr>
      <w:r>
        <w:rPr>
          <w:rFonts w:ascii="Microsoft YaHei" w:cs="Microsoft YaHei" w:eastAsia="Microsoft YaHei" w:hAnsi="Microsoft YaHei"/>
          <w:sz w:val="21"/>
          <w:szCs w:val="21"/>
        </w:rPr>
        <w:t xml:space="preserve">现场验证在维多利亚州Goulburn-Murray Water的Waranga Western渠道进行,2025年5月为期7天的试验覆盖7个池段(长度4.5-16km)。控制器成功将水位误差保持在±5cm带内。论文自承"分散化实现对全局协调存在极限",仍需MPC补充处理极端场景。</w:t>
      </w:r>
    </w:p>
    <w:p>
      <w:pPr>
        <w:pStyle w:val="Heading2"/>
        <w:spacing w:before="280" w:after="160"/>
      </w:pPr>
      <w:r>
        <w:rPr>
          <w:rFonts w:ascii="Microsoft YaHei" w:cs="Microsoft YaHei" w:eastAsia="Microsoft YaHei" w:hAnsi="Microsoft YaHei"/>
          <w:b/>
          <w:bCs/>
          <w:color w:val="2E86C1"/>
          <w:sz w:val="26"/>
          <w:szCs w:val="26"/>
        </w:rPr>
        <w:t xml:space="preserve">7.4  范式意义</w:t>
      </w:r>
    </w:p>
    <w:p>
      <w:pPr>
        <w:spacing w:after="120" w:line="360"/>
        <w:ind w:firstLine="420"/>
        <w:jc w:val="both"/>
      </w:pPr>
      <w:r>
        <w:rPr>
          <w:rFonts w:ascii="Microsoft YaHei" w:cs="Microsoft YaHei" w:eastAsia="Microsoft YaHei" w:hAnsi="Microsoft YaHei"/>
          <w:sz w:val="21"/>
          <w:szCs w:val="21"/>
        </w:rPr>
        <w:t xml:space="preserve">这代表了一个范式转变:通过问题表述(而非通信架构)实现协调。相较于需要可靠迭代消息传递的DMPC方法,体积平衡控制在保持分散式实现简单性的同时,实现了系统级一致性——这为分散控制的理论和实践开辟了新方向。</w:t>
      </w:r>
    </w:p>
    <w:p>
      <w:r>
        <w:br w:type="page"/>
      </w:r>
    </w:p>
    <w:p>
      <w:pPr>
        <w:pStyle w:val="Heading1"/>
        <w:spacing w:before="360" w:after="200"/>
      </w:pPr>
      <w:r>
        <w:rPr>
          <w:rFonts w:ascii="Microsoft YaHei" w:cs="Microsoft YaHei" w:eastAsia="Microsoft YaHei" w:hAnsi="Microsoft YaHei"/>
          <w:b/>
          <w:bCs/>
          <w:color w:val="1B4F72"/>
          <w:sz w:val="32"/>
          <w:szCs w:val="32"/>
        </w:rPr>
        <w:t xml:space="preserve">8  运行设计域(ODD)分析</w:t>
      </w:r>
    </w:p>
    <w:p>
      <w:pPr>
        <w:pStyle w:val="Heading2"/>
        <w:spacing w:before="280" w:after="160"/>
      </w:pPr>
      <w:r>
        <w:rPr>
          <w:rFonts w:ascii="Microsoft YaHei" w:cs="Microsoft YaHei" w:eastAsia="Microsoft YaHei" w:hAnsi="Microsoft YaHei"/>
          <w:b/>
          <w:bCs/>
          <w:color w:val="2E86C1"/>
          <w:sz w:val="26"/>
          <w:szCs w:val="26"/>
        </w:rPr>
        <w:t xml:space="preserve">8.1  自主处理场景</w:t>
      </w:r>
    </w:p>
    <w:p>
      <w:pPr>
        <w:spacing w:after="120" w:line="360"/>
        <w:ind w:firstLine="420"/>
        <w:jc w:val="both"/>
      </w:pPr>
      <w:r>
        <w:rPr>
          <w:rFonts w:ascii="Microsoft YaHei" w:cs="Microsoft YaHei" w:eastAsia="Microsoft YaHei" w:hAnsi="Microsoft YaHei"/>
          <w:sz w:val="21"/>
          <w:szCs w:val="21"/>
        </w:rPr>
        <w:t xml:space="preserve">TCC在以下场景内可实现全自主运行:常规需求变化的响应与调节;下单后约2小时内的按需配水;多渠道协调管理;基于质量平衡的泄漏和渗漏检测;降雨导致的需求减少。MPC层的约束强制提供形式化的服务质量和防洪安全保障——维持取水口最小服务水头的同时防止干舷违规。</w:t>
      </w:r>
    </w:p>
    <w:p>
      <w:pPr>
        <w:pStyle w:val="Heading2"/>
        <w:spacing w:before="280" w:after="160"/>
      </w:pPr>
      <w:r>
        <w:rPr>
          <w:rFonts w:ascii="Microsoft YaHei" w:cs="Microsoft YaHei" w:eastAsia="Microsoft YaHei" w:hAnsi="Microsoft YaHei"/>
          <w:b/>
          <w:bCs/>
          <w:color w:val="2E86C1"/>
          <w:sz w:val="26"/>
          <w:szCs w:val="26"/>
        </w:rPr>
        <w:t xml:space="preserve">8.2  应急韧性能力</w:t>
      </w:r>
    </w:p>
    <w:p>
      <w:pPr>
        <w:spacing w:before="200" w:after="120"/>
      </w:pPr>
      <w:r>
        <w:rPr>
          <w:rFonts w:ascii="Microsoft YaHei" w:cs="Microsoft YaHei" w:eastAsia="Microsoft YaHei" w:hAnsi="Microsoft YaHei"/>
          <w:b/>
          <w:bCs/>
          <w:color w:val="2C3E50"/>
          <w:sz w:val="24"/>
          <w:szCs w:val="24"/>
        </w:rPr>
        <w:t xml:space="preserve">8.2.1  设备故障处理</w:t>
      </w:r>
    </w:p>
    <w:p>
      <w:pPr>
        <w:spacing w:after="120" w:line="360"/>
        <w:ind w:firstLine="420"/>
        <w:jc w:val="both"/>
      </w:pPr>
      <w:r>
        <w:rPr>
          <w:rFonts w:ascii="Microsoft YaHei" w:cs="Microsoft YaHei" w:eastAsia="Microsoft YaHei" w:hAnsi="Microsoft YaHei"/>
          <w:sz w:val="21"/>
          <w:szCs w:val="21"/>
        </w:rPr>
        <w:t xml:space="preserve">Choy的故障重构方案采用解析冗余:利用相邻测量值估计传感器故障时的正确值,并针对执行器故障进行信号重构。这种基于软件的冗余策略避免了硬件冗余的高昂成本。</w:t>
      </w:r>
    </w:p>
    <w:p>
      <w:pPr>
        <w:spacing w:before="200" w:after="120"/>
      </w:pPr>
      <w:r>
        <w:rPr>
          <w:rFonts w:ascii="Microsoft YaHei" w:cs="Microsoft YaHei" w:eastAsia="Microsoft YaHei" w:hAnsi="Microsoft YaHei"/>
          <w:b/>
          <w:bCs/>
          <w:color w:val="2C3E50"/>
          <w:sz w:val="24"/>
          <w:szCs w:val="24"/>
        </w:rPr>
        <w:t xml:space="preserve">8.2.2  通信中断应对</w:t>
      </w:r>
    </w:p>
    <w:p>
      <w:pPr>
        <w:spacing w:after="120" w:line="360"/>
        <w:ind w:firstLine="420"/>
        <w:jc w:val="both"/>
      </w:pPr>
      <w:r>
        <w:rPr>
          <w:rFonts w:ascii="Microsoft YaHei" w:cs="Microsoft YaHei" w:eastAsia="Microsoft YaHei" w:hAnsi="Microsoft YaHei"/>
          <w:sz w:val="21"/>
          <w:szCs w:val="21"/>
        </w:rPr>
        <w:t xml:space="preserve">系统实现优雅降级:每台FlumeGate的嵌入式控制器独立维持本地设定值调节;闸门间无线电提供独立于中央服务器链路的分布式冗余。这一设计哲学是"简单可靠的PID在每个闸门,MPC仅在通信可用时增加智能"——降级而非灾难性失效。</w:t>
      </w:r>
    </w:p>
    <w:p>
      <w:pPr>
        <w:spacing w:before="200" w:after="120"/>
      </w:pPr>
      <w:r>
        <w:rPr>
          <w:rFonts w:ascii="Microsoft YaHei" w:cs="Microsoft YaHei" w:eastAsia="Microsoft YaHei" w:hAnsi="Microsoft YaHei"/>
          <w:b/>
          <w:bCs/>
          <w:color w:val="2C3E50"/>
          <w:sz w:val="24"/>
          <w:szCs w:val="24"/>
        </w:rPr>
        <w:t xml:space="preserve">8.2.3  执行器饱和防护</w:t>
      </w:r>
    </w:p>
    <w:p>
      <w:pPr>
        <w:spacing w:after="120" w:line="360"/>
        <w:ind w:firstLine="420"/>
        <w:jc w:val="both"/>
      </w:pPr>
      <w:r>
        <w:rPr>
          <w:rFonts w:ascii="Microsoft YaHei" w:cs="Microsoft YaHei" w:eastAsia="Microsoft YaHei" w:hAnsi="Microsoft YaHei"/>
          <w:sz w:val="21"/>
          <w:szCs w:val="21"/>
        </w:rPr>
        <w:t xml:space="preserve">MPC层通过约束强制主动避免执行器饱和,这是对Layer 1被动抗饱和的根本性改进。约束条件直接编码闸门流量容量极限和变化率限制,确保控制指令始终在物理可行域内。</w:t>
      </w:r>
    </w:p>
    <w:p>
      <w:pPr>
        <w:pStyle w:val="Heading2"/>
        <w:spacing w:before="280" w:after="160"/>
      </w:pPr>
      <w:r>
        <w:rPr>
          <w:rFonts w:ascii="Microsoft YaHei" w:cs="Microsoft YaHei" w:eastAsia="Microsoft YaHei" w:hAnsi="Microsoft YaHei"/>
          <w:b/>
          <w:bCs/>
          <w:color w:val="2E86C1"/>
          <w:sz w:val="26"/>
          <w:szCs w:val="26"/>
        </w:rPr>
        <w:t xml:space="preserve">8.3  已知局限与运行边界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FFFFFF"/>
                <w:sz w:val="19"/>
                <w:szCs w:val="19"/>
              </w:rPr>
              <w:t xml:space="preserve">局限因素</w:t>
            </w:r>
          </w:p>
        </w:tc>
        <w:tc>
          <w:tcPr>
            <w:tcW w:type="dxa" w:w="68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FFFFFF"/>
                <w:sz w:val="19"/>
                <w:szCs w:val="19"/>
              </w:rPr>
              <w:t xml:space="preserve">描述与影响</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000000"/>
                <w:sz w:val="19"/>
                <w:szCs w:val="19"/>
              </w:rPr>
              <w:t xml:space="preserve">传输延迟基本限制</w:t>
            </w:r>
          </w:p>
        </w:tc>
        <w:tc>
          <w:tcPr>
            <w:tcW w:type="dxa" w:w="6826"/>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9"/>
                <w:szCs w:val="19"/>
              </w:rPr>
              <w:t xml:space="preserve">长池段水传播时间可超60分钟,即使最优MPC也无法克服物理传播时间限制</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000000"/>
                <w:sz w:val="19"/>
                <w:szCs w:val="19"/>
              </w:rPr>
              <w:t xml:space="preserve">线性模型精度下降</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9"/>
                <w:szCs w:val="19"/>
              </w:rPr>
              <w:t xml:space="preserve">线性时不变内部模型在大流量瞬变时精度下降,尤其在非线性区域运行时</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000000"/>
                <w:sz w:val="19"/>
                <w:szCs w:val="19"/>
              </w:rPr>
              <w:t xml:space="preserve">渠道几何变化</w:t>
            </w:r>
          </w:p>
        </w:tc>
        <w:tc>
          <w:tcPr>
            <w:tcW w:type="dxa" w:w="6826"/>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9"/>
                <w:szCs w:val="19"/>
              </w:rPr>
              <w:t xml:space="preserve">淤积、植被生长等渠道几何变化改变模型参数,需要定期重新校准</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000000"/>
                <w:sz w:val="19"/>
                <w:szCs w:val="19"/>
              </w:rPr>
              <w:t xml:space="preserve">需求不确定性</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9"/>
                <w:szCs w:val="19"/>
              </w:rPr>
              <w:t xml:space="preserve">突发天气扰动造成需求不确定性,Nasir等的随机MPC部分解决但未完全消除</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000000"/>
                <w:sz w:val="19"/>
                <w:szCs w:val="19"/>
              </w:rPr>
              <w:t xml:space="preserve">蓄水临界运行</w:t>
            </w:r>
          </w:p>
        </w:tc>
        <w:tc>
          <w:tcPr>
            <w:tcW w:type="dxa" w:w="6826"/>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9"/>
                <w:szCs w:val="19"/>
              </w:rPr>
              <w:t xml:space="preserve">2025年体积平衡工作专门解决此盲点,但论文自承分散化实现有极限</w:t>
            </w:r>
          </w:p>
        </w:tc>
      </w:tr>
    </w:tbl>
    <w:p>
      <w:pPr>
        <w:spacing w:after="120"/>
      </w:pPr>
    </w:p>
    <w:p>
      <w:r>
        <w:br w:type="page"/>
      </w:r>
    </w:p>
    <w:p>
      <w:pPr>
        <w:pStyle w:val="Heading1"/>
        <w:spacing w:before="360" w:after="200"/>
      </w:pPr>
      <w:r>
        <w:rPr>
          <w:rFonts w:ascii="Microsoft YaHei" w:cs="Microsoft YaHei" w:eastAsia="Microsoft YaHei" w:hAnsi="Microsoft YaHei"/>
          <w:b/>
          <w:bCs/>
          <w:color w:val="1B4F72"/>
          <w:sz w:val="32"/>
          <w:szCs w:val="32"/>
        </w:rPr>
        <w:t xml:space="preserve">9  竞争方法对标分析</w:t>
      </w:r>
    </w:p>
    <w:p>
      <w:pPr>
        <w:pStyle w:val="Heading2"/>
        <w:spacing w:before="280" w:after="160"/>
      </w:pPr>
      <w:r>
        <w:rPr>
          <w:rFonts w:ascii="Microsoft YaHei" w:cs="Microsoft YaHei" w:eastAsia="Microsoft YaHei" w:hAnsi="Microsoft YaHei"/>
          <w:b/>
          <w:bCs/>
          <w:color w:val="2E86C1"/>
          <w:sz w:val="26"/>
          <w:szCs w:val="26"/>
        </w:rPr>
        <w:t xml:space="preserve">9.1  TCC vs 强化学习(RL)</w:t>
      </w:r>
    </w:p>
    <w:p>
      <w:pPr>
        <w:spacing w:after="120" w:line="360"/>
        <w:ind w:firstLine="420"/>
        <w:jc w:val="both"/>
      </w:pPr>
      <w:r>
        <w:rPr>
          <w:rFonts w:ascii="Microsoft YaHei" w:cs="Microsoft YaHei" w:eastAsia="Microsoft YaHei" w:hAnsi="Microsoft YaHei"/>
          <w:sz w:val="21"/>
          <w:szCs w:val="21"/>
        </w:rPr>
        <w:t xml:space="preserve">TCC在安全保障、可解释性和部署成熟度方面对RL具有决定性优势。RL方法(如Ren等2020年PARL,在中国南水北调项目上测试)在大规模渠道系统上展示了前景,多目标RL配合学习奖励网络避免了人工奖励设计。然而,RL的灾难性样本效率问题(需要数百万次交互,对物理水利基础设施不现实)以及无法提供形式化约束满足,使其不适合安全关键的渠道运行。Saint-Venant动态(非线性、延迟主导、空间分布)的sim-to-real迁移鸿沟远超RL已成功的机器人领域。RL可能在需求预测或MPC超参数调优等辅助角色中找到定位,而非直接渠道控制。</w:t>
      </w:r>
    </w:p>
    <w:p>
      <w:pPr>
        <w:pStyle w:val="Heading2"/>
        <w:spacing w:before="280" w:after="160"/>
      </w:pPr>
      <w:r>
        <w:rPr>
          <w:rFonts w:ascii="Microsoft YaHei" w:cs="Microsoft YaHei" w:eastAsia="Microsoft YaHei" w:hAnsi="Microsoft YaHei"/>
          <w:b/>
          <w:bCs/>
          <w:color w:val="2E86C1"/>
          <w:sz w:val="26"/>
          <w:szCs w:val="26"/>
        </w:rPr>
        <w:t xml:space="preserve">9.2  TCC vs 分布式MPC(DMPC)</w:t>
      </w:r>
    </w:p>
    <w:p>
      <w:pPr>
        <w:spacing w:after="120" w:line="360"/>
        <w:ind w:firstLine="420"/>
        <w:jc w:val="both"/>
      </w:pPr>
      <w:r>
        <w:rPr>
          <w:rFonts w:ascii="Microsoft YaHei" w:cs="Microsoft YaHei" w:eastAsia="Microsoft YaHei" w:hAnsi="Microsoft YaHei"/>
          <w:sz w:val="21"/>
          <w:szCs w:val="21"/>
        </w:rPr>
        <w:t xml:space="preserve">TCC以一定最优性换取显著更好的故障容错。基于ADMM的DMPC(2023)已被证明可收敛到集中式最优,退化低于0.35%,在故障条件下水位振荡改善20.3%、超调减少52.1%。但DMPC需要控制器间可靠的迭代消息传递,且从未在商业规模部署。TCC的设计哲学——简单可靠的PID在每个闸门,MPC仅在通信可用时增加智能——意味着系统优雅降级而非灾难性失效。</w:t>
      </w:r>
    </w:p>
    <w:p>
      <w:pPr>
        <w:pStyle w:val="Heading2"/>
        <w:spacing w:before="280" w:after="160"/>
      </w:pPr>
      <w:r>
        <w:rPr>
          <w:rFonts w:ascii="Microsoft YaHei" w:cs="Microsoft YaHei" w:eastAsia="Microsoft YaHei" w:hAnsi="Microsoft YaHei"/>
          <w:b/>
          <w:bCs/>
          <w:color w:val="2E86C1"/>
          <w:sz w:val="26"/>
          <w:szCs w:val="26"/>
        </w:rPr>
        <w:t xml:space="preserve">9.3  TCC vs 经典方法</w:t>
      </w:r>
    </w:p>
    <w:p>
      <w:pPr>
        <w:spacing w:after="120" w:line="360"/>
        <w:ind w:firstLine="420"/>
        <w:jc w:val="both"/>
      </w:pPr>
      <w:r>
        <w:rPr>
          <w:rFonts w:ascii="Microsoft YaHei" w:cs="Microsoft YaHei" w:eastAsia="Microsoft YaHei" w:hAnsi="Microsoft YaHei"/>
          <w:sz w:val="21"/>
          <w:szCs w:val="21"/>
        </w:rPr>
        <w:t xml:space="preserve">TCC在灵活性和按需配水能力上超越了法国的Dynamic Regulation(SCP,1970年代起在普罗旺斯运河运行)和BIVAL/ELFLO方法,尽管法国的SIC²仍是渠道建模研究的黄金标准仿真平台。美国的CARDD概念和ITRC/Cal Poly现代化方法强调基础设施设计而非算法复杂性。ASCE MOP 131(2014)由来自8个国家的40余位专业人员编著,提供国际基准框架。澳大利亚方法(集成硬件-软件-服务与MPC)代表该领域商业成熟度的最高端。</w:t>
      </w:r>
    </w:p>
    <w:p>
      <w:pPr>
        <w:pStyle w:val="Heading2"/>
        <w:spacing w:before="280" w:after="160"/>
      </w:pPr>
      <w:r>
        <w:rPr>
          <w:rFonts w:ascii="Microsoft YaHei" w:cs="Microsoft YaHei" w:eastAsia="Microsoft YaHei" w:hAnsi="Microsoft YaHei"/>
          <w:b/>
          <w:bCs/>
          <w:color w:val="2E86C1"/>
          <w:sz w:val="26"/>
          <w:szCs w:val="26"/>
        </w:rPr>
        <w:t xml:space="preserve">9.4  新兴混合方法</w:t>
      </w:r>
    </w:p>
    <w:p>
      <w:pPr>
        <w:spacing w:after="120" w:line="360"/>
        <w:ind w:firstLine="420"/>
        <w:jc w:val="both"/>
      </w:pPr>
      <w:r>
        <w:rPr>
          <w:rFonts w:ascii="Microsoft YaHei" w:cs="Microsoft YaHei" w:eastAsia="Microsoft YaHei" w:hAnsi="Microsoft YaHei"/>
          <w:sz w:val="21"/>
          <w:szCs w:val="21"/>
        </w:rPr>
        <w:t xml:space="preserve">新兴混合方法代表最可信的增强路径。使用完整Saint-Venant数值模型作为内部模型的非线性MPC,配合集合卡尔曼滤波器进行状态估计,已在ASCE测试渠道2上展示了相比积分器-延迟MPC减少99.4%闸门动作的效果。物理信息神经网络(PINNs)求解浅水方程可提供快速、可微的替代模型,使计算可处理的非线性MPC成为可能。中国河北省已原型验证了集成实时SCADA、水力仿真和多目标优化(NSGA-III)的数字孪生框架,覆盖132座闸门。Rubicon已通过NeuroFlo的水力仿真和SCADA集成实现了数字孪生的若干要素,尽管未以此名义推广。</w:t>
      </w:r>
    </w:p>
    <w:p>
      <w:r>
        <w:br w:type="page"/>
      </w:r>
    </w:p>
    <w:p>
      <w:pPr>
        <w:pStyle w:val="Heading1"/>
        <w:spacing w:before="360" w:after="200"/>
      </w:pPr>
      <w:r>
        <w:rPr>
          <w:rFonts w:ascii="Microsoft YaHei" w:cs="Microsoft YaHei" w:eastAsia="Microsoft YaHei" w:hAnsi="Microsoft YaHei"/>
          <w:b/>
          <w:bCs/>
          <w:color w:val="1B4F72"/>
          <w:sz w:val="32"/>
          <w:szCs w:val="32"/>
        </w:rPr>
        <w:t xml:space="preserve">10  竞争护城河与商业定位</w:t>
      </w:r>
    </w:p>
    <w:p>
      <w:pPr>
        <w:spacing w:after="120" w:line="360"/>
        <w:ind w:firstLine="420"/>
        <w:jc w:val="both"/>
      </w:pPr>
      <w:r>
        <w:rPr>
          <w:rFonts w:ascii="Microsoft YaHei" w:cs="Microsoft YaHei" w:eastAsia="Microsoft YaHei" w:hAnsi="Microsoft YaHei"/>
          <w:sz w:val="21"/>
          <w:szCs w:val="21"/>
        </w:rPr>
        <w:t xml:space="preserve">Rubicon Water的竞争护城河不在于任何单一算法,而在于垂直集成的技术生态系统。</w:t>
      </w:r>
    </w:p>
    <w:p>
      <w:pPr>
        <w:pStyle w:val="Heading2"/>
        <w:spacing w:before="280" w:after="160"/>
      </w:pPr>
      <w:r>
        <w:rPr>
          <w:rFonts w:ascii="Microsoft YaHei" w:cs="Microsoft YaHei" w:eastAsia="Microsoft YaHei" w:hAnsi="Microsoft YaHei"/>
          <w:b/>
          <w:bCs/>
          <w:color w:val="2E86C1"/>
          <w:sz w:val="26"/>
          <w:szCs w:val="26"/>
        </w:rPr>
        <w:t xml:space="preserve">10.1  硬件-软件-服务一体化</w:t>
      </w:r>
    </w:p>
    <w:p>
      <w:pPr>
        <w:spacing w:after="120" w:line="360"/>
        <w:ind w:firstLine="420"/>
        <w:jc w:val="both"/>
      </w:pPr>
      <w:r>
        <w:rPr>
          <w:rFonts w:ascii="Microsoft YaHei" w:cs="Microsoft YaHei" w:eastAsia="Microsoft YaHei" w:hAnsi="Microsoft YaHei"/>
          <w:sz w:val="21"/>
          <w:szCs w:val="21"/>
        </w:rPr>
        <w:t xml:space="preserve">体系包括:专用硬件(FlumeGate,±0.5mm定位精度,±2.5%流量测量精度)、专用无线电网络(Motorola ACE3600 RTU,2024年引入LoRaWAN)、NeuroFlo软件平台(Windows Server, RDBMS, 模块化功能包)、20年现场验证的灰箱模型库。这种端到端集成使竞争对手极难仅通过算法创新实现替代。</w:t>
      </w:r>
    </w:p>
    <w:p>
      <w:pPr>
        <w:pStyle w:val="Heading2"/>
        <w:spacing w:before="280" w:after="160"/>
      </w:pPr>
      <w:r>
        <w:rPr>
          <w:rFonts w:ascii="Microsoft YaHei" w:cs="Microsoft YaHei" w:eastAsia="Microsoft YaHei" w:hAnsi="Microsoft YaHei"/>
          <w:b/>
          <w:bCs/>
          <w:color w:val="2E86C1"/>
          <w:sz w:val="26"/>
          <w:szCs w:val="26"/>
        </w:rPr>
        <w:t xml:space="preserve">10.2  知识产权壁垒</w:t>
      </w:r>
    </w:p>
    <w:p>
      <w:pPr>
        <w:spacing w:after="120" w:line="360"/>
        <w:ind w:firstLine="420"/>
        <w:jc w:val="both"/>
      </w:pPr>
      <w:r>
        <w:rPr>
          <w:rFonts w:ascii="Microsoft YaHei" w:cs="Microsoft YaHei" w:eastAsia="Microsoft YaHei" w:hAnsi="Microsoft YaHei"/>
          <w:sz w:val="21"/>
          <w:szCs w:val="21"/>
        </w:rPr>
        <w:t xml:space="preserve">218项专利覆盖21个司法管辖区,三代技术演进形成层叠式保护。学术合作产出的IEEE获奖研究成果通过联合知识产权(2012年专利重新分配)与商业应用紧密绑定。这种产学研深度融合模式本身构成难以复制的组织能力壁垒。</w:t>
      </w:r>
    </w:p>
    <w:p>
      <w:pPr>
        <w:pStyle w:val="Heading2"/>
        <w:spacing w:before="280" w:after="160"/>
      </w:pPr>
      <w:r>
        <w:rPr>
          <w:rFonts w:ascii="Microsoft YaHei" w:cs="Microsoft YaHei" w:eastAsia="Microsoft YaHei" w:hAnsi="Microsoft YaHei"/>
          <w:b/>
          <w:bCs/>
          <w:color w:val="2E86C1"/>
          <w:sz w:val="26"/>
          <w:szCs w:val="26"/>
        </w:rPr>
        <w:t xml:space="preserve">10.3  商业规模与市场地位</w:t>
      </w:r>
    </w:p>
    <w:p>
      <w:pPr>
        <w:spacing w:after="120" w:line="360"/>
        <w:ind w:firstLine="420"/>
        <w:jc w:val="both"/>
      </w:pPr>
      <w:r>
        <w:rPr>
          <w:rFonts w:ascii="Microsoft YaHei" w:cs="Microsoft YaHei" w:eastAsia="Microsoft YaHei" w:hAnsi="Microsoft YaHei"/>
          <w:sz w:val="21"/>
          <w:szCs w:val="21"/>
        </w:rPr>
        <w:t xml:space="preserve">FY2025营收达到6910万澳元(增长18.7%),项目管道价值1.84亿澳元,近期完成1600万澳元融资用于美国市场扩张。35,000+设备部署在20余个国家的现场运行记录构成了最强有力的技术验证和客户参考。全球重力灌溉渠道市场仍基本处于未自动化状态,尽管它控制着全球相当比例粮食生产所需水资源的输配——这意味着巨大的市场空间。</w:t>
      </w:r>
    </w:p>
    <w:p>
      <w:r>
        <w:br w:type="page"/>
      </w:r>
    </w:p>
    <w:p>
      <w:pPr>
        <w:pStyle w:val="Heading1"/>
        <w:spacing w:before="360" w:after="200"/>
      </w:pPr>
      <w:r>
        <w:rPr>
          <w:rFonts w:ascii="Microsoft YaHei" w:cs="Microsoft YaHei" w:eastAsia="Microsoft YaHei" w:hAnsi="Microsoft YaHei"/>
          <w:b/>
          <w:bCs/>
          <w:color w:val="1B4F72"/>
          <w:sz w:val="32"/>
          <w:szCs w:val="32"/>
        </w:rPr>
        <w:t xml:space="preserve">11  未来技术趋势研判</w:t>
      </w:r>
    </w:p>
    <w:p>
      <w:pPr>
        <w:spacing w:after="120" w:line="360"/>
        <w:ind w:firstLine="420"/>
        <w:jc w:val="both"/>
      </w:pPr>
      <w:r>
        <w:rPr>
          <w:rFonts w:ascii="Microsoft YaHei" w:cs="Microsoft YaHei" w:eastAsia="Microsoft YaHei" w:hAnsi="Microsoft YaHei"/>
          <w:sz w:val="21"/>
          <w:szCs w:val="21"/>
        </w:rPr>
        <w:t xml:space="preserve">从Rubicon专利组合、墨尔本研究计划和更广泛领域的发展趋势,可以识别三个收敛性趋势。</w:t>
      </w:r>
    </w:p>
    <w:p>
      <w:pPr>
        <w:pStyle w:val="Heading2"/>
        <w:spacing w:before="280" w:after="160"/>
      </w:pPr>
      <w:r>
        <w:rPr>
          <w:rFonts w:ascii="Microsoft YaHei" w:cs="Microsoft YaHei" w:eastAsia="Microsoft YaHei" w:hAnsi="Microsoft YaHei"/>
          <w:b/>
          <w:bCs/>
          <w:color w:val="2E86C1"/>
          <w:sz w:val="26"/>
          <w:szCs w:val="26"/>
        </w:rPr>
        <w:t xml:space="preserve">11.1  隐式协调的分散化</w:t>
      </w:r>
    </w:p>
    <w:p>
      <w:pPr>
        <w:spacing w:after="120" w:line="360"/>
        <w:ind w:firstLine="420"/>
        <w:jc w:val="both"/>
      </w:pPr>
      <w:r>
        <w:rPr>
          <w:rFonts w:ascii="Microsoft YaHei" w:cs="Microsoft YaHei" w:eastAsia="Microsoft YaHei" w:hAnsi="Microsoft YaHei"/>
          <w:sz w:val="21"/>
          <w:szCs w:val="21"/>
        </w:rPr>
        <w:t xml:space="preserve">以Strecker和Cantoni的体积平衡方法为代表——通过巧妙的问题表述消除通信需求,同时保持系统级一致性。这一方向具有重大工程意义:分散控制可显著降低系统复杂度和维护成本,同时保持甚至提升全局性能。</w:t>
      </w:r>
    </w:p>
    <w:p>
      <w:pPr>
        <w:pStyle w:val="Heading2"/>
        <w:spacing w:before="280" w:after="160"/>
      </w:pPr>
      <w:r>
        <w:rPr>
          <w:rFonts w:ascii="Microsoft YaHei" w:cs="Microsoft YaHei" w:eastAsia="Microsoft YaHei" w:hAnsi="Microsoft YaHei"/>
          <w:b/>
          <w:bCs/>
          <w:color w:val="2E86C1"/>
          <w:sz w:val="26"/>
          <w:szCs w:val="26"/>
        </w:rPr>
        <w:t xml:space="preserve">11.2  基于PDE的严格设计</w:t>
      </w:r>
    </w:p>
    <w:p>
      <w:pPr>
        <w:spacing w:after="120" w:line="360"/>
        <w:ind w:firstLine="420"/>
        <w:jc w:val="both"/>
      </w:pPr>
      <w:r>
        <w:rPr>
          <w:rFonts w:ascii="Microsoft YaHei" w:cs="Microsoft YaHei" w:eastAsia="Microsoft YaHei" w:hAnsi="Microsoft YaHei"/>
          <w:sz w:val="21"/>
          <w:szCs w:val="21"/>
        </w:rPr>
        <w:t xml:space="preserve">使用分布参数传递函数而非有限维近似,提供数学保证的稳定性,可扩展至任意规模网络。这一方向弥合了控制理论的严格性与工程实践的可部署性之间的长期鸿沟。</w:t>
      </w:r>
    </w:p>
    <w:p>
      <w:pPr>
        <w:pStyle w:val="Heading2"/>
        <w:spacing w:before="280" w:after="160"/>
      </w:pPr>
      <w:r>
        <w:rPr>
          <w:rFonts w:ascii="Microsoft YaHei" w:cs="Microsoft YaHei" w:eastAsia="Microsoft YaHei" w:hAnsi="Microsoft YaHei"/>
          <w:b/>
          <w:bCs/>
          <w:color w:val="2E86C1"/>
          <w:sz w:val="26"/>
          <w:szCs w:val="26"/>
        </w:rPr>
        <w:t xml:space="preserve">11.3  随机与鲁棒表述</w:t>
      </w:r>
    </w:p>
    <w:p>
      <w:pPr>
        <w:spacing w:after="120" w:line="360"/>
        <w:ind w:firstLine="420"/>
        <w:jc w:val="both"/>
      </w:pPr>
      <w:r>
        <w:rPr>
          <w:rFonts w:ascii="Microsoft YaHei" w:cs="Microsoft YaHei" w:eastAsia="Microsoft YaHei" w:hAnsi="Microsoft YaHei"/>
          <w:sz w:val="21"/>
          <w:szCs w:val="21"/>
        </w:rPr>
        <w:t xml:space="preserve">将需求不确定性、模型参数漂移和气候变异性纳入MPC框架。随着灌溉系统面临日益波动的运行条件(气候变化、水权市场化、需求模式变化),这一能力将变得不可或缺。</w:t>
      </w:r>
    </w:p>
    <w:p>
      <w:r>
        <w:br w:type="page"/>
      </w:r>
    </w:p>
    <w:p>
      <w:pPr>
        <w:pStyle w:val="Heading1"/>
        <w:spacing w:before="360" w:after="200"/>
      </w:pPr>
      <w:r>
        <w:rPr>
          <w:rFonts w:ascii="Microsoft YaHei" w:cs="Microsoft YaHei" w:eastAsia="Microsoft YaHei" w:hAnsi="Microsoft YaHei"/>
          <w:b/>
          <w:bCs/>
          <w:color w:val="1B4F72"/>
          <w:sz w:val="32"/>
          <w:szCs w:val="32"/>
        </w:rPr>
        <w:t xml:space="preserve">12  结论与战略启示</w:t>
      </w:r>
    </w:p>
    <w:p>
      <w:pPr>
        <w:spacing w:after="120" w:line="360"/>
        <w:ind w:firstLine="420"/>
        <w:jc w:val="both"/>
      </w:pPr>
      <w:r>
        <w:rPr>
          <w:rFonts w:ascii="Microsoft YaHei" w:cs="Microsoft YaHei" w:eastAsia="Microsoft YaHei" w:hAnsi="Microsoft YaHei"/>
          <w:sz w:val="21"/>
          <w:szCs w:val="21"/>
        </w:rPr>
        <w:t xml:space="preserve">Rubicon Water的TCC体系代表了灌溉渠道自动化领域当前商业部署的最高水平,其核心竞争力来自三个层面的协同:经过20年学术-工业协作打磨的控制算法(从PID到MPC到分散式体积平衡)、垂直集成的硬件-软件-服务生态系统、以及在全球20余个国家35,000+设备上积累的运行经验与灰箱模型库。</w:t>
      </w:r>
    </w:p>
    <w:p>
      <w:pPr>
        <w:spacing w:after="120" w:line="360"/>
        <w:ind w:firstLine="420"/>
        <w:jc w:val="both"/>
      </w:pPr>
      <w:r>
        <w:rPr>
          <w:rFonts w:ascii="Microsoft YaHei" w:cs="Microsoft YaHei" w:eastAsia="Microsoft YaHei" w:hAnsi="Microsoft YaHei"/>
          <w:sz w:val="21"/>
          <w:szCs w:val="21"/>
        </w:rPr>
        <w:t xml:space="preserve">然而,深入分析也揭示了若干结构性局限:Layer 1专利自承的四大缺陷(瞬态放大、饱和失控、长池段偏差、干舷限制)虽被Layer 2部分解决,但根本性的传输延迟限制和线性模型精度下降问题在现有框架内难以完全克服;2025年体积平衡控制论文自承分散化实现对全局协调存在极限;系统对专用硬件和无线电网络的深度依赖构成了技术锁定效应,同时也是新进入者的壁垒。</w:t>
      </w:r>
    </w:p>
    <w:p>
      <w:pPr>
        <w:spacing w:after="120" w:line="360"/>
        <w:ind w:firstLine="420"/>
        <w:jc w:val="both"/>
      </w:pPr>
      <w:r>
        <w:rPr>
          <w:rFonts w:ascii="Microsoft YaHei" w:cs="Microsoft YaHei" w:eastAsia="Microsoft YaHei" w:hAnsi="Microsoft YaHei"/>
          <w:sz w:val="21"/>
          <w:szCs w:val="21"/>
        </w:rPr>
        <w:t xml:space="preserve">对于CHS体系而言,Rubicon的经验提供了三方面启示。其一,灰箱模型辨识方法论(物理结构+数据参数)经过大规模实践验证,值得作为建模方法论基准。其二,分层控制的"简单底层+智能中层+前瞻顶层"设计哲学在可靠性与最优性之间的权衡中已被证明有效。其三,垂直集成(从传感器到算法到用户界面)是技术商业化的关键路径,纯算法创新的市场壁垒有限。CHS体系在多目标统一优化、DMPC底层灵活性、以及面向更广泛水系统(非仅灌溉渠道)的系统控制论视角方面具有差异化优势,这些方向是Rubicon当前架构未能充分覆盖的。</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999999"/>
        <w:sz w:val="16"/>
        <w:szCs w:val="16"/>
      </w:rPr>
      <w:t xml:space="preserve">Rubicon Water技术深度分析报告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Microsoft YaHei" w:cs="Microsoft YaHei" w:eastAsia="Microsoft YaHei" w:hAnsi="Microsoft YaHei"/>
      <w:b/>
      <w:bCs/>
      <w:color w:val="1B4F72"/>
      <w:sz w:val="32"/>
      <w:szCs w:val="32"/>
    </w:rPr>
  </w:style>
  <w:style w:type="paragraph" w:styleId="Heading2">
    <w:name w:val="Heading 2"/>
    <w:basedOn w:val="Normal"/>
    <w:next w:val="Normal"/>
    <w:qFormat/>
    <w:pPr>
      <w:spacing w:before="280" w:after="160"/>
      <w:outlineLvl w:val="1"/>
    </w:pPr>
    <w:rPr>
      <w:rFonts w:ascii="Microsoft YaHei" w:cs="Microsoft YaHei" w:eastAsia="Microsoft YaHei" w:hAnsi="Microsoft YaHei"/>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2026-02-15T12:27:06.823Z</dcterms:created>
  <dcterms:modified xsi:type="dcterms:W3CDTF">2026-02-15T12:27:06.824Z</dcterms:modified>
</cp:coreProperties>
</file>

<file path=docProps/custom.xml><?xml version="1.0" encoding="utf-8"?>
<Properties xmlns="http://schemas.openxmlformats.org/officeDocument/2006/custom-properties" xmlns:vt="http://schemas.openxmlformats.org/officeDocument/2006/docPropsVTypes"/>
</file>