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SimSun" w:hAnsi="SimSun" w:eastAsia="SimSun"/>
          <w:b/>
          <w:color w:val="1F4E79"/>
          <w:sz w:val="44"/>
        </w:rPr>
        <w:t>水网智能调控与自主运行关键技术研究报告</w:t>
      </w:r>
    </w:p>
    <w:p/>
    <w:p/>
    <w:p>
      <w:pPr>
        <w:jc w:val="center"/>
      </w:pPr>
      <w:r>
        <w:rPr>
          <w:rFonts w:ascii="SimSun" w:hAnsi="SimSun" w:eastAsia="SimSun"/>
          <w:b/>
          <w:color w:val="2E75B6"/>
          <w:sz w:val="36"/>
        </w:rPr>
        <w:t>第二章  概念与总体框架</w:t>
      </w:r>
    </w:p>
    <w:p>
      <w:pPr>
        <w:jc w:val="center"/>
      </w:pPr>
      <w:r>
        <w:rPr>
          <w:rFonts w:ascii="SimSun" w:hAnsi="SimSun" w:eastAsia="SimSun"/>
          <w:b w:val="0"/>
          <w:color w:val="646464"/>
          <w:sz w:val="26"/>
        </w:rPr>
        <w:t>分级能力、ODD与“四可/四原则”</w:t>
      </w:r>
    </w:p>
    <w:p/>
    <w:p/>
    <w:p/>
    <w:p/>
    <w:p/>
    <w:p/>
    <w:p/>
    <w:p/>
    <w:p>
      <w:pPr>
        <w:jc w:val="center"/>
      </w:pPr>
      <w:r>
        <w:rPr>
          <w:rFonts w:ascii="SimSun" w:hAnsi="SimSun" w:eastAsia="SimSun"/>
          <w:b w:val="0"/>
          <w:color w:val="646464"/>
          <w:sz w:val="24"/>
        </w:rPr>
        <w:t>2025年6月</w:t>
      </w:r>
    </w:p>
    <w:p>
      <w:r>
        <w:br w:type="page"/>
      </w:r>
    </w:p>
    <w:p>
      <w:pPr>
        <w:spacing w:before="360" w:after="240"/>
        <w:jc w:val="left"/>
      </w:pPr>
      <w:r>
        <w:rPr>
          <w:rFonts w:ascii="SimSun" w:hAnsi="SimSun" w:eastAsia="SimSun"/>
          <w:b/>
          <w:sz w:val="32"/>
        </w:rPr>
        <w:t>第二章  概念与总体框架：分级能力、ODD与“四可/四原则”</w:t>
      </w:r>
    </w:p>
    <w:p>
      <w:pPr>
        <w:spacing w:before="280" w:after="200"/>
        <w:jc w:val="left"/>
      </w:pPr>
      <w:r>
        <w:rPr>
          <w:rFonts w:ascii="SimSun" w:hAnsi="SimSun" w:eastAsia="SimSun"/>
          <w:b/>
          <w:sz w:val="28"/>
        </w:rPr>
        <w:t>2.1 智能调控与自主运行的概念辨析</w:t>
      </w:r>
    </w:p>
    <w:p>
      <w:pPr>
        <w:spacing w:before="200" w:after="160"/>
        <w:jc w:val="left"/>
      </w:pPr>
      <w:r>
        <w:rPr>
          <w:rFonts w:ascii="SimSun" w:hAnsi="SimSun" w:eastAsia="SimSun"/>
          <w:b/>
          <w:sz w:val="24"/>
        </w:rPr>
        <w:t>2.1.1 概念溯源与术语体系</w:t>
      </w:r>
    </w:p>
    <w:p>
      <w:pPr>
        <w:spacing w:line="400" w:lineRule="exact" w:before="60" w:after="60"/>
        <w:ind w:firstLine="482"/>
      </w:pPr>
      <w:r>
        <w:rPr>
          <w:rFonts w:ascii="SimSun" w:hAnsi="SimSun" w:eastAsia="SimSun"/>
          <w:b w:val="0"/>
          <w:sz w:val="24"/>
        </w:rPr>
        <w:t>在深入技术讨论之前，有必要对“智能调控”与“自主运行”这两个核心概念进行严格辨析。长期以来，水利行业对“智能”“智慧”“自动”等概念的使用较为宽泛甚至混淆，导致技术目标模糊、建设标准不清、验收依据缺失。例如，“智慧水利”在不同文件中可能指代从简单的数据可视化到复杂的自动闭环控制等差异巨大的技术层级，这种概念模糊已经在实际建设中引发了大量的预期错位和资源浪费。</w:t>
      </w:r>
    </w:p>
    <w:p>
      <w:pPr>
        <w:spacing w:line="400" w:lineRule="exact" w:before="60" w:after="60"/>
        <w:ind w:firstLine="482"/>
      </w:pPr>
      <w:r>
        <w:rPr>
          <w:rFonts w:ascii="SimSun" w:hAnsi="SimSun" w:eastAsia="SimSun"/>
          <w:b w:val="0"/>
          <w:sz w:val="24"/>
        </w:rPr>
        <w:t>“自动化（Automation）”一词最早由福特汽车公司在1946年引入工程领域，特指通过机械或电子装置实现预设流程的自动执行。钱学森在1954年出版的《工程控制论》中将“自动调节”与“控制”进行了深刻的理论关联[1]。此后，“自动化”概念从简单的机械化执行，经历了可编程控制（PLC时代）、计算机集成控制（DCS时代），逐步向智能化和自主化演进。理解这一历史脉络对于准确界定水利行业的当前定位和发展方向至关重要。</w:t>
      </w:r>
    </w:p>
    <w:p>
      <w:pPr>
        <w:spacing w:line="400" w:lineRule="exact" w:before="60" w:after="60"/>
        <w:ind w:firstLine="482"/>
      </w:pPr>
      <w:r>
        <w:rPr>
          <w:rFonts w:ascii="SimSun" w:hAnsi="SimSun" w:eastAsia="SimSun"/>
          <w:b w:val="0"/>
          <w:sz w:val="24"/>
        </w:rPr>
        <w:t>国际自动控制联合会（IFAC）将自动化分为“固定自动化”“可编程自动化”和“柔性自动化”三个层次[2]。在此基础上，近年来学术界进一步提出了“认知自动化（Cognitive Automation）”和“自主系统（Autonomous Systems）”的概念，后者强调系统在不确定环境中的自主决策能力。本报告在上述概念谱系中，对水利行业的核心术语做出如下界定：</w:t>
      </w:r>
    </w:p>
    <w:p>
      <w:pPr>
        <w:spacing w:before="200" w:after="160"/>
        <w:jc w:val="left"/>
      </w:pPr>
      <w:r>
        <w:rPr>
          <w:rFonts w:ascii="SimSun" w:hAnsi="SimSun" w:eastAsia="SimSun"/>
          <w:b/>
          <w:sz w:val="24"/>
        </w:rPr>
        <w:t>2.1.2 智能调控的内涵与外延</w:t>
      </w:r>
    </w:p>
    <w:p>
      <w:pPr>
        <w:spacing w:line="400" w:lineRule="exact" w:before="60" w:after="60"/>
        <w:ind w:firstLine="482"/>
      </w:pPr>
      <w:r>
        <w:rPr>
          <w:rFonts w:ascii="SimSun" w:hAnsi="SimSun" w:eastAsia="SimSun"/>
          <w:b w:val="0"/>
          <w:sz w:val="24"/>
        </w:rPr>
        <w:t>智能调控（Intelligent Regulation and Control）侧重于算法层面的能力提升。其核心问题是：在给定的系统目标与运行约束下，如何通过先进的感知、建模与优化算法，实现比传统人工经验更优的调度与控制效果——更安全、更经济、更高效。智能调控是一种“工具性”能力，它增强了人类操作者的决策质量，但并不从根本上改变“人在回路中（Human-in-the-Loop）”的运行模式[3]。</w:t>
      </w:r>
    </w:p>
    <w:p>
      <w:pPr>
        <w:spacing w:line="400" w:lineRule="exact" w:before="60" w:after="60"/>
        <w:ind w:firstLine="482"/>
      </w:pPr>
      <w:r>
        <w:rPr>
          <w:rFonts w:ascii="SimSun" w:hAnsi="SimSun" w:eastAsia="SimSun"/>
          <w:b w:val="0"/>
          <w:sz w:val="24"/>
        </w:rPr>
        <w:t>智能调控的技术内涵覆盖感知、建模、优化三个核心环节。在感知层面，通过多源传感器融合、异常检测算法实现对水网运行状态的全面精准感知；在建模层面，通过机理模型与数据驱动模型的融合，构建能够准确描述水网动态行为的数学模型；在优化层面，通过模型预测控制（MPC）、多目标优化等方法，在满足约束条件的前提下生成最优调度方案。</w:t>
      </w:r>
    </w:p>
    <w:p>
      <w:pPr>
        <w:spacing w:line="400" w:lineRule="exact" w:before="60" w:after="60"/>
        <w:ind w:firstLine="482"/>
      </w:pPr>
      <w:r>
        <w:rPr>
          <w:rFonts w:ascii="SimSun" w:hAnsi="SimSun" w:eastAsia="SimSun"/>
          <w:b w:val="0"/>
          <w:sz w:val="24"/>
        </w:rPr>
        <w:t>智能调控的边界在于：它本质上是一个“决策辅助工具”，其输出的调度方案仍需人工审核、确认后方可执行。即使方案质量远超人工经验，但“最终决策权”和“执行责任”仍由人类操作者承担。这一模式在技术成熟度较低、社会信任尚未建立的阶段是合理且必要的——但它也意味着系统的价值受限于操作者的认知能力和响应速度，在需要快速响应的紧急工况下可能成为瓶颈。</w:t>
      </w:r>
    </w:p>
    <w:p>
      <w:pPr>
        <w:spacing w:before="200" w:after="160"/>
        <w:jc w:val="left"/>
      </w:pPr>
      <w:r>
        <w:rPr>
          <w:rFonts w:ascii="SimSun" w:hAnsi="SimSun" w:eastAsia="SimSun"/>
          <w:b/>
          <w:sz w:val="24"/>
        </w:rPr>
        <w:t>2.1.3 自主运行的核心特征</w:t>
      </w:r>
    </w:p>
    <w:p>
      <w:pPr>
        <w:spacing w:line="400" w:lineRule="exact" w:before="60" w:after="60"/>
        <w:ind w:firstLine="482"/>
      </w:pPr>
      <w:r>
        <w:rPr>
          <w:rFonts w:ascii="SimSun" w:hAnsi="SimSun" w:eastAsia="SimSun"/>
          <w:b w:val="0"/>
          <w:sz w:val="24"/>
        </w:rPr>
        <w:t>自主运行（Autonomous Operation）侧重于系统层面的能力跃迁。其核心特征是：在明确定义的运行设计域（ODD）内，系统能够持续、自主地完成“感知—预测—决策—控制”的完整闭环，并对异常情形给出可解释、可追溯的处置方案[4]。自主运行不仅要求算法的优越性，更要求系统架构的完整性、安全机制的可靠性以及工程交付的可验证性。</w:t>
      </w:r>
    </w:p>
    <w:p>
      <w:pPr>
        <w:spacing w:line="400" w:lineRule="exact" w:before="60" w:after="60"/>
        <w:ind w:firstLine="482"/>
      </w:pPr>
      <w:r>
        <w:rPr>
          <w:rFonts w:ascii="SimSun" w:hAnsi="SimSun" w:eastAsia="SimSun"/>
          <w:b w:val="0"/>
          <w:sz w:val="24"/>
        </w:rPr>
        <w:t>自主运行的五项核心特征可以概括为：第一，闭环自主性——系统在ODD内无需人工逐步确认即可完成完整的控制循环；第二，边界感知性——系统能够实时感知自身是否处于ODD之内，并在接近边界时主动预警或降级；第三，安全可证性——系统的行为在设计阶段已经通过形式化方法或穷举场景测试得到安全性保证[5]；第四，决策可释性——系统的每一个控制决策都可以追溯到明确的输入信息、模型依据和优化目标；第五，持续进化性——系统具备从运行数据中学习并持续改进的能力，但这种改进受到严格的版本管理和回归测试约束。</w:t>
      </w:r>
    </w:p>
    <w:p>
      <w:pPr>
        <w:spacing w:before="200" w:after="160"/>
        <w:jc w:val="left"/>
      </w:pPr>
      <w:r>
        <w:rPr>
          <w:rFonts w:ascii="SimSun" w:hAnsi="SimSun" w:eastAsia="SimSun"/>
          <w:b/>
          <w:sz w:val="24"/>
        </w:rPr>
        <w:t>2.1.4 从智能调控到自主运行的质变维度</w:t>
      </w:r>
    </w:p>
    <w:p>
      <w:pPr>
        <w:spacing w:line="400" w:lineRule="exact" w:before="60" w:after="60"/>
        <w:ind w:firstLine="482"/>
      </w:pPr>
      <w:r>
        <w:rPr>
          <w:rFonts w:ascii="SimSun" w:hAnsi="SimSun" w:eastAsia="SimSun"/>
          <w:b w:val="0"/>
          <w:sz w:val="24"/>
        </w:rPr>
        <w:t>从智能调控到自主运行，不是简单的量变，而是涉及多个核心维度的系统性质变。本节通过六个维度的系统分析，揭示这一跃迁的本质。</w:t>
      </w:r>
    </w:p>
    <w:p>
      <w:pPr>
        <w:spacing w:line="400" w:lineRule="exact" w:before="60" w:after="60"/>
        <w:ind w:firstLine="482"/>
      </w:pPr>
      <w:r>
        <w:rPr>
          <w:rFonts w:ascii="SimSun" w:hAnsi="SimSun" w:eastAsia="SimSun"/>
          <w:b w:val="0"/>
          <w:sz w:val="24"/>
        </w:rPr>
        <w:t>维度一：从“算法正确”到“系统可信”。智能调控关注的核心指标是算法在标准工况下的性能（如预测精度、优化效率）。自主运行则要求系统在极端工况、故障模式、未知扰动等“长尾场景”下仍具备可预测的行为。这一要求的实质是将验证范围从“正常运行空间”扩展到“全运行空间”[6]。</w:t>
      </w:r>
    </w:p>
    <w:p>
      <w:pPr>
        <w:spacing w:line="400" w:lineRule="exact" w:before="60" w:after="60"/>
        <w:ind w:firstLine="482"/>
      </w:pPr>
      <w:r>
        <w:rPr>
          <w:rFonts w:ascii="SimSun" w:hAnsi="SimSun" w:eastAsia="SimSun"/>
          <w:b w:val="0"/>
          <w:sz w:val="24"/>
        </w:rPr>
        <w:t>维度二：从“人工确认”到“自动闭环”。智能调控的“人在回路中”模式意味着每个控制周期都需要人工介入，系统的响应速度受限于人的认知和操作速度。自主运行将人从实时操控中解放出来，系统能够以毫秒级到秒级的速度完成闭环控制，同时通过多层安全机制确保不突破红线。</w:t>
      </w:r>
    </w:p>
    <w:p>
      <w:pPr>
        <w:spacing w:line="400" w:lineRule="exact" w:before="60" w:after="60"/>
        <w:ind w:firstLine="482"/>
      </w:pPr>
      <w:r>
        <w:rPr>
          <w:rFonts w:ascii="SimSun" w:hAnsi="SimSun" w:eastAsia="SimSun"/>
          <w:b w:val="0"/>
          <w:sz w:val="24"/>
        </w:rPr>
        <w:t>维度三：从“功能验收”到“工程准入”。当前水利信息化项目的验收通常以“功能演示”为主——演示系统能够完成预定功能即视为合格。自主运行体系要求建立类似汽车适航、航空认证的严格准入体系[7]，包括基于ODD的场景库测试、安全性证明（Safety Case）、以及持续的运行监控。</w:t>
      </w:r>
    </w:p>
    <w:p>
      <w:pPr>
        <w:spacing w:line="400" w:lineRule="exact" w:before="60" w:after="60"/>
        <w:ind w:firstLine="482"/>
      </w:pPr>
      <w:r>
        <w:rPr>
          <w:rFonts w:ascii="SimSun" w:hAnsi="SimSun" w:eastAsia="SimSun"/>
          <w:b w:val="0"/>
          <w:sz w:val="24"/>
        </w:rPr>
        <w:t>维度四：从“点状优化”到“系统架构”。智能调控往往聚焦于单个技术环节的优化（如更好的预测模型、更快的优化算法）。自主运行要求将感知、建模、决策、控制、安全、运维等环节集成为完整的系统架构，各环节之间的接口定义、故障传播分析和降级策略都必须在设计阶段得到充分考虑。</w:t>
      </w:r>
    </w:p>
    <w:p>
      <w:pPr>
        <w:spacing w:line="400" w:lineRule="exact" w:before="60" w:after="60"/>
        <w:ind w:firstLine="482"/>
      </w:pPr>
      <w:r>
        <w:rPr>
          <w:rFonts w:ascii="SimSun" w:hAnsi="SimSun" w:eastAsia="SimSun"/>
          <w:b w:val="0"/>
          <w:sz w:val="24"/>
        </w:rPr>
        <w:t>维度五：从“静态交付”到“持续运营”。智能调控成果通常以项目验收为终点。自主运行体系强调“持续运营”——模型需要自适应校核、算法需要在线更新、场景库需要持续扩充。这意味着商业模式需要从“一次性工程费”向“持续运营服务费”转变[8]。</w:t>
      </w:r>
    </w:p>
    <w:p>
      <w:pPr>
        <w:spacing w:line="400" w:lineRule="exact" w:before="60" w:after="60"/>
        <w:ind w:firstLine="482"/>
      </w:pPr>
      <w:r>
        <w:rPr>
          <w:rFonts w:ascii="SimSun" w:hAnsi="SimSun" w:eastAsia="SimSun"/>
          <w:b w:val="0"/>
          <w:sz w:val="24"/>
        </w:rPr>
        <w:t>维度六：从“技术思维”到“系统工程思维”。智能调控的核心驱动力是技术创新。自主运行的实现还需要标准体系、组织能力、人才培养、供应链管理等多维度的协同，是典型的复杂系统工程问题。钱学森提出的“系统工程”方法论[1]在此具有直接的指导意义。</w:t>
      </w:r>
    </w:p>
    <w:p>
      <w:pPr>
        <w:spacing w:before="200" w:after="160"/>
        <w:jc w:val="left"/>
      </w:pPr>
      <w:r>
        <w:rPr>
          <w:rFonts w:ascii="SimSun" w:hAnsi="SimSun" w:eastAsia="SimSun"/>
          <w:b/>
          <w:sz w:val="24"/>
        </w:rPr>
        <w:t>2.1.5 人机关系的范式转换</w:t>
      </w:r>
    </w:p>
    <w:p>
      <w:pPr>
        <w:spacing w:line="400" w:lineRule="exact" w:before="60" w:after="60"/>
        <w:ind w:firstLine="482"/>
      </w:pPr>
      <w:r>
        <w:rPr>
          <w:rFonts w:ascii="SimSun" w:hAnsi="SimSun" w:eastAsia="SimSun"/>
          <w:b w:val="0"/>
          <w:sz w:val="24"/>
        </w:rPr>
        <w:t>需要特别强调的是，自主运行并不意味着完全排除人的参与，而是将人的角色从“实时操控者”转变为“系统监督者与规则制定者”。Sheridan和Verplank在1978年的经典研究中提出了“人机功能分配”的十级量表[9]，从“人完全控制”到“机器完全自主”形成连续谱。水网自主运行的目标并非追求该量表的极端——完全排除人——而是找到安全性、效率和信任三者之间的最优平衡点。</w:t>
      </w:r>
    </w:p>
    <w:p>
      <w:pPr>
        <w:spacing w:line="400" w:lineRule="exact" w:before="60" w:after="60"/>
        <w:ind w:firstLine="482"/>
      </w:pPr>
      <w:r>
        <w:rPr>
          <w:rFonts w:ascii="SimSun" w:hAnsi="SimSun" w:eastAsia="SimSun"/>
          <w:b w:val="0"/>
          <w:sz w:val="24"/>
        </w:rPr>
        <w:t>在不同的自主等级下，人的角色发生系统性转变。在L0至L1级，人是“操作者（Operator）”，直接执行调度操作；在L2级，人是“监控者（Monitor）”，监控自动系统的运行状态；在L3级，人是“监督者（Supervisor）”，审核系统决策并处置ODD外事件；在L4级，人是“规则制定者（Governor）”，负责设定运行策略和审计系统行为[10]。即使在最高级别的自主运行系统中，人仍然负责战略目标设定、异常事件兜底和系统伦理监督。</w:t>
      </w:r>
    </w:p>
    <w:p>
      <w:pPr>
        <w:spacing w:line="400" w:lineRule="exact" w:before="60" w:after="60"/>
        <w:ind w:firstLine="482"/>
      </w:pPr>
      <w:r>
        <w:rPr>
          <w:rFonts w:ascii="SimSun" w:hAnsi="SimSun" w:eastAsia="SimSun"/>
          <w:b w:val="0"/>
          <w:sz w:val="24"/>
        </w:rPr>
        <w:t>这种人机关系的范式转换引发了一系列深层次的挑战：操作者的技能退化问题——当自动化程度提高后，操作者在需要手动接管时可能缺乏足够的技能和情境感知[11]；自动化信任问题——如何建立操作者对自动系统恰当水平的信任，避免过度信任或不信任[12]；责任归属问题——当自主系统做出错误决策时，责任如何在系统设计者、运营者和监督者之间分配。这些挑战需要在技术、管理和法规层面进行系统性的回应。</w:t>
      </w:r>
    </w:p>
    <w:p>
      <w:pPr>
        <w:spacing w:before="280" w:after="200"/>
        <w:jc w:val="left"/>
      </w:pPr>
      <w:r>
        <w:rPr>
          <w:rFonts w:ascii="SimSun" w:hAnsi="SimSun" w:eastAsia="SimSun"/>
          <w:b/>
          <w:sz w:val="28"/>
        </w:rPr>
        <w:t>2.2 分级能力体系：从L0到L4</w:t>
      </w:r>
    </w:p>
    <w:p>
      <w:pPr>
        <w:spacing w:before="200" w:after="160"/>
        <w:jc w:val="left"/>
      </w:pPr>
      <w:r>
        <w:rPr>
          <w:rFonts w:ascii="SimSun" w:hAnsi="SimSun" w:eastAsia="SimSun"/>
          <w:b/>
          <w:sz w:val="24"/>
        </w:rPr>
        <w:t>2.2.1 分级方法论</w:t>
      </w:r>
    </w:p>
    <w:p>
      <w:pPr>
        <w:spacing w:line="400" w:lineRule="exact" w:before="60" w:after="60"/>
        <w:ind w:firstLine="482"/>
      </w:pPr>
      <w:r>
        <w:rPr>
          <w:rFonts w:ascii="SimSun" w:hAnsi="SimSun" w:eastAsia="SimSun"/>
          <w:b w:val="0"/>
          <w:sz w:val="24"/>
        </w:rPr>
        <w:t>能力分级是建立有序发展路径的基础。本报告的分级方法论主要借鉴三个成熟行业的实践：汽车行业的SAE J3016自动驾驶分级标准[13]、航空行业基于DO-178C的设计保证等级（DAL）体系[14]、以及电力行业基于IEC 62264的制造执行系统集成层次模型[15]。</w:t>
      </w:r>
    </w:p>
    <w:p>
      <w:pPr>
        <w:spacing w:line="400" w:lineRule="exact" w:before="60" w:after="60"/>
        <w:ind w:firstLine="482"/>
      </w:pPr>
      <w:r>
        <w:rPr>
          <w:rFonts w:ascii="SimSun" w:hAnsi="SimSun" w:eastAsia="SimSun"/>
          <w:b w:val="0"/>
          <w:sz w:val="24"/>
        </w:rPr>
        <w:t>SAE J3016的核心洞见在于：通过“动态驾驶任务（DDT）”的分解——包括操作性DDT（转向、制动、加速）和战术性DDT（变道、超车决策）——精确定义了人与机器在不同等级下的职责边界。本报告将这一思想映射到水网领域：将“水网运行任务”分解为“操作性任务”（闸门启闭、泵站开停、阀门调节）和“战术性任务”（流量分配、水位调节、水质保障、应急处置），进而基于人机职责分配定义L0至L4各等级。</w:t>
      </w:r>
    </w:p>
    <w:p>
      <w:pPr>
        <w:spacing w:line="400" w:lineRule="exact" w:before="60" w:after="60"/>
        <w:ind w:firstLine="482"/>
      </w:pPr>
      <w:r>
        <w:rPr>
          <w:rFonts w:ascii="SimSun" w:hAnsi="SimSun" w:eastAsia="SimSun"/>
          <w:b w:val="0"/>
          <w:sz w:val="24"/>
        </w:rPr>
        <w:t>分级体系的设计遵循以下原则：互斥性——每个运行场景在特定时刻只能属于一个等级；可评估性——每个等级的达成条件可以通过客观指标测量和验证；递进性——高等级能力建立在低等级能力基础之上；实用性——等级划分与工程实践直接对应，能够指导建设投资和技术路线选择。</w:t>
      </w:r>
    </w:p>
    <w:tbl>
      <w:tblPr>
        <w:tblW w:type="auto" w:w="0"/>
        <w:jc w:val="center"/>
        <w:tblLook w:firstColumn="1" w:firstRow="1" w:lastColumn="0" w:lastRow="0" w:noHBand="0" w:noVBand="1" w:val="04A0"/>
      </w:tblPr>
      <w:tblGrid>
        <w:gridCol w:w="1860"/>
        <w:gridCol w:w="1860"/>
        <w:gridCol w:w="1860"/>
        <w:gridCol w:w="1860"/>
        <w:gridCol w:w="1860"/>
      </w:tblGrid>
      <w:tr>
        <w:tc>
          <w:tcPr>
            <w:tcW w:type="dxa" w:w="680"/>
            <w:shd w:fill="1F4E79"/>
          </w:tcPr>
          <w:p>
            <w:pPr>
              <w:jc w:val="center"/>
            </w:pPr>
            <w:r/>
            <w:r>
              <w:rPr>
                <w:rFonts w:ascii="SimSun" w:hAnsi="SimSun" w:eastAsia="SimSun"/>
                <w:b/>
                <w:color w:val="FFFFFF"/>
                <w:sz w:val="21"/>
              </w:rPr>
              <w:t>等级</w:t>
            </w:r>
          </w:p>
        </w:tc>
        <w:tc>
          <w:tcPr>
            <w:tcW w:type="dxa" w:w="1020"/>
            <w:shd w:fill="1F4E79"/>
          </w:tcPr>
          <w:p>
            <w:pPr>
              <w:jc w:val="center"/>
            </w:pPr>
            <w:r/>
            <w:r>
              <w:rPr>
                <w:rFonts w:ascii="SimSun" w:hAnsi="SimSun" w:eastAsia="SimSun"/>
                <w:b/>
                <w:color w:val="FFFFFF"/>
                <w:sz w:val="21"/>
              </w:rPr>
              <w:t>名称</w:t>
            </w:r>
          </w:p>
        </w:tc>
        <w:tc>
          <w:tcPr>
            <w:tcW w:type="dxa" w:w="2721"/>
            <w:shd w:fill="1F4E79"/>
          </w:tcPr>
          <w:p>
            <w:pPr>
              <w:jc w:val="center"/>
            </w:pPr>
            <w:r/>
            <w:r>
              <w:rPr>
                <w:rFonts w:ascii="SimSun" w:hAnsi="SimSun" w:eastAsia="SimSun"/>
                <w:b/>
                <w:color w:val="FFFFFF"/>
                <w:sz w:val="21"/>
              </w:rPr>
              <w:t>人机分工</w:t>
            </w:r>
          </w:p>
        </w:tc>
        <w:tc>
          <w:tcPr>
            <w:tcW w:type="dxa" w:w="1814"/>
            <w:shd w:fill="1F4E79"/>
          </w:tcPr>
          <w:p>
            <w:pPr>
              <w:jc w:val="center"/>
            </w:pPr>
            <w:r/>
            <w:r>
              <w:rPr>
                <w:rFonts w:ascii="SimSun" w:hAnsi="SimSun" w:eastAsia="SimSun"/>
                <w:b/>
                <w:color w:val="FFFFFF"/>
                <w:sz w:val="21"/>
              </w:rPr>
              <w:t>典型场景</w:t>
            </w:r>
          </w:p>
        </w:tc>
        <w:tc>
          <w:tcPr>
            <w:tcW w:type="dxa" w:w="1814"/>
            <w:shd w:fill="1F4E79"/>
          </w:tcPr>
          <w:p>
            <w:pPr>
              <w:jc w:val="center"/>
            </w:pPr>
            <w:r/>
            <w:r>
              <w:rPr>
                <w:rFonts w:ascii="SimSun" w:hAnsi="SimSun" w:eastAsia="SimSun"/>
                <w:b/>
                <w:color w:val="FFFFFF"/>
                <w:sz w:val="21"/>
              </w:rPr>
              <w:t>行业现状</w:t>
            </w:r>
          </w:p>
        </w:tc>
      </w:tr>
      <w:tr>
        <w:tc>
          <w:tcPr>
            <w:tcW w:type="dxa" w:w="680"/>
          </w:tcPr>
          <w:p>
            <w:pPr>
              <w:jc w:val="center"/>
            </w:pPr>
            <w:r/>
            <w:r>
              <w:rPr>
                <w:rFonts w:ascii="SimSun" w:hAnsi="SimSun" w:eastAsia="SimSun"/>
                <w:b w:val="0"/>
                <w:sz w:val="20"/>
              </w:rPr>
              <w:t>L0</w:t>
            </w:r>
          </w:p>
        </w:tc>
        <w:tc>
          <w:tcPr>
            <w:tcW w:type="dxa" w:w="1020"/>
          </w:tcPr>
          <w:p>
            <w:pPr>
              <w:jc w:val="center"/>
            </w:pPr>
            <w:r/>
            <w:r>
              <w:rPr>
                <w:rFonts w:ascii="SimSun" w:hAnsi="SimSun" w:eastAsia="SimSun"/>
                <w:b w:val="0"/>
                <w:sz w:val="20"/>
              </w:rPr>
              <w:t>辅助监测</w:t>
            </w:r>
          </w:p>
        </w:tc>
        <w:tc>
          <w:tcPr>
            <w:tcW w:type="dxa" w:w="2721"/>
          </w:tcPr>
          <w:p>
            <w:pPr>
              <w:jc w:val="center"/>
            </w:pPr>
            <w:r/>
            <w:r>
              <w:rPr>
                <w:rFonts w:ascii="SimSun" w:hAnsi="SimSun" w:eastAsia="SimSun"/>
                <w:b w:val="0"/>
                <w:sz w:val="20"/>
              </w:rPr>
              <w:t>人：全部决策与执行；机：数据采集展示</w:t>
            </w:r>
          </w:p>
        </w:tc>
        <w:tc>
          <w:tcPr>
            <w:tcW w:type="dxa" w:w="1814"/>
          </w:tcPr>
          <w:p>
            <w:pPr>
              <w:jc w:val="center"/>
            </w:pPr>
            <w:r/>
            <w:r>
              <w:rPr>
                <w:rFonts w:ascii="SimSun" w:hAnsi="SimSun" w:eastAsia="SimSun"/>
                <w:b w:val="0"/>
                <w:sz w:val="20"/>
              </w:rPr>
              <w:t>SCADA监视</w:t>
            </w:r>
          </w:p>
        </w:tc>
        <w:tc>
          <w:tcPr>
            <w:tcW w:type="dxa" w:w="1814"/>
          </w:tcPr>
          <w:p>
            <w:pPr>
              <w:jc w:val="center"/>
            </w:pPr>
            <w:r/>
            <w:r>
              <w:rPr>
                <w:rFonts w:ascii="SimSun" w:hAnsi="SimSun" w:eastAsia="SimSun"/>
                <w:b w:val="0"/>
                <w:sz w:val="20"/>
              </w:rPr>
              <w:t>70%~80%工程</w:t>
            </w:r>
          </w:p>
        </w:tc>
      </w:tr>
      <w:tr>
        <w:tc>
          <w:tcPr>
            <w:tcW w:type="dxa" w:w="680"/>
            <w:shd w:fill="F2F7FB"/>
          </w:tcPr>
          <w:p>
            <w:pPr>
              <w:jc w:val="center"/>
            </w:pPr>
            <w:r/>
            <w:r>
              <w:rPr>
                <w:rFonts w:ascii="SimSun" w:hAnsi="SimSun" w:eastAsia="SimSun"/>
                <w:b w:val="0"/>
                <w:sz w:val="20"/>
              </w:rPr>
              <w:t>L1</w:t>
            </w:r>
          </w:p>
        </w:tc>
        <w:tc>
          <w:tcPr>
            <w:tcW w:type="dxa" w:w="1020"/>
            <w:shd w:fill="F2F7FB"/>
          </w:tcPr>
          <w:p>
            <w:pPr>
              <w:jc w:val="center"/>
            </w:pPr>
            <w:r/>
            <w:r>
              <w:rPr>
                <w:rFonts w:ascii="SimSun" w:hAnsi="SimSun" w:eastAsia="SimSun"/>
                <w:b w:val="0"/>
                <w:sz w:val="20"/>
              </w:rPr>
              <w:t>辅助决策</w:t>
            </w:r>
          </w:p>
        </w:tc>
        <w:tc>
          <w:tcPr>
            <w:tcW w:type="dxa" w:w="2721"/>
            <w:shd w:fill="F2F7FB"/>
          </w:tcPr>
          <w:p>
            <w:pPr>
              <w:jc w:val="center"/>
            </w:pPr>
            <w:r/>
            <w:r>
              <w:rPr>
                <w:rFonts w:ascii="SimSun" w:hAnsi="SimSun" w:eastAsia="SimSun"/>
                <w:b w:val="0"/>
                <w:sz w:val="20"/>
              </w:rPr>
              <w:t>人：决策与执行；机：方案推荐</w:t>
            </w:r>
          </w:p>
        </w:tc>
        <w:tc>
          <w:tcPr>
            <w:tcW w:type="dxa" w:w="1814"/>
            <w:shd w:fill="F2F7FB"/>
          </w:tcPr>
          <w:p>
            <w:pPr>
              <w:jc w:val="center"/>
            </w:pPr>
            <w:r/>
            <w:r>
              <w:rPr>
                <w:rFonts w:ascii="SimSun" w:hAnsi="SimSun" w:eastAsia="SimSun"/>
                <w:b w:val="0"/>
                <w:sz w:val="20"/>
              </w:rPr>
              <w:t>决策支持系统</w:t>
            </w:r>
          </w:p>
        </w:tc>
        <w:tc>
          <w:tcPr>
            <w:tcW w:type="dxa" w:w="1814"/>
            <w:shd w:fill="F2F7FB"/>
          </w:tcPr>
          <w:p>
            <w:pPr>
              <w:jc w:val="center"/>
            </w:pPr>
            <w:r/>
            <w:r>
              <w:rPr>
                <w:rFonts w:ascii="SimSun" w:hAnsi="SimSun" w:eastAsia="SimSun"/>
                <w:b w:val="0"/>
                <w:sz w:val="20"/>
              </w:rPr>
              <w:t>15%~20%工程</w:t>
            </w:r>
          </w:p>
        </w:tc>
      </w:tr>
      <w:tr>
        <w:tc>
          <w:tcPr>
            <w:tcW w:type="dxa" w:w="680"/>
          </w:tcPr>
          <w:p>
            <w:pPr>
              <w:jc w:val="center"/>
            </w:pPr>
            <w:r/>
            <w:r>
              <w:rPr>
                <w:rFonts w:ascii="SimSun" w:hAnsi="SimSun" w:eastAsia="SimSun"/>
                <w:b w:val="0"/>
                <w:sz w:val="20"/>
              </w:rPr>
              <w:t>L2</w:t>
            </w:r>
          </w:p>
        </w:tc>
        <w:tc>
          <w:tcPr>
            <w:tcW w:type="dxa" w:w="1020"/>
          </w:tcPr>
          <w:p>
            <w:pPr>
              <w:jc w:val="center"/>
            </w:pPr>
            <w:r/>
            <w:r>
              <w:rPr>
                <w:rFonts w:ascii="SimSun" w:hAnsi="SimSun" w:eastAsia="SimSun"/>
                <w:b w:val="0"/>
                <w:sz w:val="20"/>
              </w:rPr>
              <w:t>局部闭环</w:t>
            </w:r>
          </w:p>
        </w:tc>
        <w:tc>
          <w:tcPr>
            <w:tcW w:type="dxa" w:w="2721"/>
          </w:tcPr>
          <w:p>
            <w:pPr>
              <w:jc w:val="center"/>
            </w:pPr>
            <w:r/>
            <w:r>
              <w:rPr>
                <w:rFonts w:ascii="SimSun" w:hAnsi="SimSun" w:eastAsia="SimSun"/>
                <w:b w:val="0"/>
                <w:sz w:val="20"/>
              </w:rPr>
              <w:t>人：监控+异常处置；机：单元级自动控制</w:t>
            </w:r>
          </w:p>
        </w:tc>
        <w:tc>
          <w:tcPr>
            <w:tcW w:type="dxa" w:w="1814"/>
          </w:tcPr>
          <w:p>
            <w:pPr>
              <w:jc w:val="center"/>
            </w:pPr>
            <w:r/>
            <w:r>
              <w:rPr>
                <w:rFonts w:ascii="SimSun" w:hAnsi="SimSun" w:eastAsia="SimSun"/>
                <w:b w:val="0"/>
                <w:sz w:val="20"/>
              </w:rPr>
              <w:t>恒水位控制</w:t>
            </w:r>
          </w:p>
        </w:tc>
        <w:tc>
          <w:tcPr>
            <w:tcW w:type="dxa" w:w="1814"/>
          </w:tcPr>
          <w:p>
            <w:pPr>
              <w:jc w:val="center"/>
            </w:pPr>
            <w:r/>
            <w:r>
              <w:rPr>
                <w:rFonts w:ascii="SimSun" w:hAnsi="SimSun" w:eastAsia="SimSun"/>
                <w:b w:val="0"/>
                <w:sz w:val="20"/>
              </w:rPr>
              <w:t>5%~8%工程</w:t>
            </w:r>
          </w:p>
        </w:tc>
      </w:tr>
      <w:tr>
        <w:tc>
          <w:tcPr>
            <w:tcW w:type="dxa" w:w="680"/>
            <w:shd w:fill="F2F7FB"/>
          </w:tcPr>
          <w:p>
            <w:pPr>
              <w:jc w:val="center"/>
            </w:pPr>
            <w:r/>
            <w:r>
              <w:rPr>
                <w:rFonts w:ascii="SimSun" w:hAnsi="SimSun" w:eastAsia="SimSun"/>
                <w:b w:val="0"/>
                <w:sz w:val="20"/>
              </w:rPr>
              <w:t>L3</w:t>
            </w:r>
          </w:p>
        </w:tc>
        <w:tc>
          <w:tcPr>
            <w:tcW w:type="dxa" w:w="1020"/>
            <w:shd w:fill="F2F7FB"/>
          </w:tcPr>
          <w:p>
            <w:pPr>
              <w:jc w:val="center"/>
            </w:pPr>
            <w:r/>
            <w:r>
              <w:rPr>
                <w:rFonts w:ascii="SimSun" w:hAnsi="SimSun" w:eastAsia="SimSun"/>
                <w:b w:val="0"/>
                <w:sz w:val="20"/>
              </w:rPr>
              <w:t>条件自主</w:t>
            </w:r>
          </w:p>
        </w:tc>
        <w:tc>
          <w:tcPr>
            <w:tcW w:type="dxa" w:w="2721"/>
            <w:shd w:fill="F2F7FB"/>
          </w:tcPr>
          <w:p>
            <w:pPr>
              <w:jc w:val="center"/>
            </w:pPr>
            <w:r/>
            <w:r>
              <w:rPr>
                <w:rFonts w:ascii="SimSun" w:hAnsi="SimSun" w:eastAsia="SimSun"/>
                <w:b w:val="0"/>
                <w:sz w:val="20"/>
              </w:rPr>
              <w:t>人：ODD外事件；机：系统级闭环</w:t>
            </w:r>
          </w:p>
        </w:tc>
        <w:tc>
          <w:tcPr>
            <w:tcW w:type="dxa" w:w="1814"/>
            <w:shd w:fill="F2F7FB"/>
          </w:tcPr>
          <w:p>
            <w:pPr>
              <w:jc w:val="center"/>
            </w:pPr>
            <w:r/>
            <w:r>
              <w:rPr>
                <w:rFonts w:ascii="SimSun" w:hAnsi="SimSun" w:eastAsia="SimSun"/>
                <w:b w:val="0"/>
                <w:sz w:val="20"/>
              </w:rPr>
              <w:t>MPC协调控制</w:t>
            </w:r>
          </w:p>
        </w:tc>
        <w:tc>
          <w:tcPr>
            <w:tcW w:type="dxa" w:w="1814"/>
            <w:shd w:fill="F2F7FB"/>
          </w:tcPr>
          <w:p>
            <w:pPr>
              <w:jc w:val="center"/>
            </w:pPr>
            <w:r/>
            <w:r>
              <w:rPr>
                <w:rFonts w:ascii="SimSun" w:hAnsi="SimSun" w:eastAsia="SimSun"/>
                <w:b w:val="0"/>
                <w:sz w:val="20"/>
              </w:rPr>
              <w:t>&lt;1%（试点）</w:t>
            </w:r>
          </w:p>
        </w:tc>
      </w:tr>
      <w:tr>
        <w:tc>
          <w:tcPr>
            <w:tcW w:type="dxa" w:w="680"/>
          </w:tcPr>
          <w:p>
            <w:pPr>
              <w:jc w:val="center"/>
            </w:pPr>
            <w:r/>
            <w:r>
              <w:rPr>
                <w:rFonts w:ascii="SimSun" w:hAnsi="SimSun" w:eastAsia="SimSun"/>
                <w:b w:val="0"/>
                <w:sz w:val="20"/>
              </w:rPr>
              <w:t>L4</w:t>
            </w:r>
          </w:p>
        </w:tc>
        <w:tc>
          <w:tcPr>
            <w:tcW w:type="dxa" w:w="1020"/>
          </w:tcPr>
          <w:p>
            <w:pPr>
              <w:jc w:val="center"/>
            </w:pPr>
            <w:r/>
            <w:r>
              <w:rPr>
                <w:rFonts w:ascii="SimSun" w:hAnsi="SimSun" w:eastAsia="SimSun"/>
                <w:b w:val="0"/>
                <w:sz w:val="20"/>
              </w:rPr>
              <w:t>高度自主</w:t>
            </w:r>
          </w:p>
        </w:tc>
        <w:tc>
          <w:tcPr>
            <w:tcW w:type="dxa" w:w="2721"/>
          </w:tcPr>
          <w:p>
            <w:pPr>
              <w:jc w:val="center"/>
            </w:pPr>
            <w:r/>
            <w:r>
              <w:rPr>
                <w:rFonts w:ascii="SimSun" w:hAnsi="SimSun" w:eastAsia="SimSun"/>
                <w:b w:val="0"/>
                <w:sz w:val="20"/>
              </w:rPr>
              <w:t>人：策略制定；机：自适应闭环</w:t>
            </w:r>
          </w:p>
        </w:tc>
        <w:tc>
          <w:tcPr>
            <w:tcW w:type="dxa" w:w="1814"/>
          </w:tcPr>
          <w:p>
            <w:pPr>
              <w:jc w:val="center"/>
            </w:pPr>
            <w:r/>
            <w:r>
              <w:rPr>
                <w:rFonts w:ascii="SimSun" w:hAnsi="SimSun" w:eastAsia="SimSun"/>
                <w:b w:val="0"/>
                <w:sz w:val="20"/>
              </w:rPr>
              <w:t>全域自主运行</w:t>
            </w:r>
          </w:p>
        </w:tc>
        <w:tc>
          <w:tcPr>
            <w:tcW w:type="dxa" w:w="1814"/>
          </w:tcPr>
          <w:p>
            <w:pPr>
              <w:jc w:val="center"/>
            </w:pPr>
            <w:r/>
            <w:r>
              <w:rPr>
                <w:rFonts w:ascii="SimSun" w:hAnsi="SimSun" w:eastAsia="SimSun"/>
                <w:b w:val="0"/>
                <w:sz w:val="20"/>
              </w:rPr>
              <w:t>尚无工程</w:t>
            </w:r>
          </w:p>
        </w:tc>
      </w:tr>
    </w:tbl>
    <w:p>
      <w:pPr>
        <w:spacing w:before="60" w:after="120"/>
        <w:jc w:val="center"/>
      </w:pPr>
      <w:r>
        <w:rPr>
          <w:rFonts w:ascii="SimSun" w:hAnsi="SimSun" w:eastAsia="SimSun"/>
          <w:b w:val="0"/>
          <w:i/>
          <w:color w:val="555555"/>
          <w:sz w:val="20"/>
        </w:rPr>
        <w:t>表2-1  水网自主运行能力分级总览</w:t>
      </w:r>
    </w:p>
    <w:p>
      <w:pPr>
        <w:spacing w:before="200" w:after="160"/>
        <w:jc w:val="left"/>
      </w:pPr>
      <w:r>
        <w:rPr>
          <w:rFonts w:ascii="SimSun" w:hAnsi="SimSun" w:eastAsia="SimSun"/>
          <w:b/>
          <w:sz w:val="24"/>
        </w:rPr>
        <w:t>2.2.2 L0级：辅助监测</w:t>
      </w:r>
    </w:p>
    <w:p>
      <w:pPr>
        <w:spacing w:line="400" w:lineRule="exact" w:before="60" w:after="60"/>
        <w:ind w:firstLine="482"/>
      </w:pPr>
      <w:r>
        <w:rPr>
          <w:rFonts w:ascii="SimSun" w:hAnsi="SimSun" w:eastAsia="SimSun"/>
          <w:b w:val="0"/>
          <w:sz w:val="24"/>
        </w:rPr>
        <w:t>L0级代表传统的人工全权负责模式。系统仅提供数据采集、传输与展示功能，所有的分析判断和操作决策完全由人工完成。这是当前我国绝大多数水利工程的实际运行状态。L0级的典型技术配置包括：SCADA系统提供实时数据显示但缺乏自动分析能力；调度决策完全依赖操作人员的经验判断；应急处置依据预案文本由人工逐步执行；事后分析主要依靠人工查阅历史数据记录。</w:t>
      </w:r>
    </w:p>
    <w:p>
      <w:pPr>
        <w:spacing w:line="400" w:lineRule="exact" w:before="60" w:after="60"/>
        <w:ind w:firstLine="482"/>
      </w:pPr>
      <w:r>
        <w:rPr>
          <w:rFonts w:ascii="SimSun" w:hAnsi="SimSun" w:eastAsia="SimSun"/>
          <w:b w:val="0"/>
          <w:sz w:val="24"/>
        </w:rPr>
        <w:t>L0级系统的主要问题在于四个方面。首先，人工认知容量有限——Miller的经典研究表明，人类的工作记忆容量约为7±2个信息块[16]，而一个大型水网调度场景可能同时涉及数十个关键状态变量，远超人工实时综合处理能力。其次，经验决策缺乏最优性保证，且高度依赖个人能力，不同操作者的决策质量差异显著。第三，夜间与节假日的值守薄弱，存在响应延迟风险——统计表明约40%的水利突发事件发生在非正常工作时段[17]。第四，决策过程不可追溯，难以进行系统化的事后复盘与改进。</w:t>
      </w:r>
    </w:p>
    <w:p>
      <w:pPr>
        <w:spacing w:before="200" w:after="160"/>
        <w:jc w:val="left"/>
      </w:pPr>
      <w:r>
        <w:rPr>
          <w:rFonts w:ascii="SimSun" w:hAnsi="SimSun" w:eastAsia="SimSun"/>
          <w:b/>
          <w:sz w:val="24"/>
        </w:rPr>
        <w:t>2.2.3 L1级：辅助决策</w:t>
      </w:r>
    </w:p>
    <w:p>
      <w:pPr>
        <w:spacing w:line="400" w:lineRule="exact" w:before="60" w:after="60"/>
        <w:ind w:firstLine="482"/>
      </w:pPr>
      <w:r>
        <w:rPr>
          <w:rFonts w:ascii="SimSun" w:hAnsi="SimSun" w:eastAsia="SimSun"/>
          <w:b w:val="0"/>
          <w:sz w:val="24"/>
        </w:rPr>
        <w:t>L1级系统在L0基础上增加了决策辅助功能。系统能够根据当前状态和预设规则生成调度方案建议，但最终执行权仍在人工手中。L1级的典型技术能力包括：基于规则引擎或简单模型的方案推荐——如基于水位-流量关系曲线的闸门开度建议；异常检测与告警提示——如传感器数据超阈值报警、趋势异常预警；历史案例匹配与检索——基于相似工况的历史调度方案查询；简单的趋势预测与风险预警——如基于时间序列模型的短期水位预测。</w:t>
      </w:r>
    </w:p>
    <w:p>
      <w:pPr>
        <w:spacing w:line="400" w:lineRule="exact" w:before="60" w:after="60"/>
        <w:ind w:firstLine="482"/>
      </w:pPr>
      <w:r>
        <w:rPr>
          <w:rFonts w:ascii="SimSun" w:hAnsi="SimSun" w:eastAsia="SimSun"/>
          <w:b w:val="0"/>
          <w:sz w:val="24"/>
        </w:rPr>
        <w:t>L1级是当前“智慧水利”建设的主要目标层级。以三峡水库调度决策支持系统为例，该系统能够基于水文预报信息和入库流量预测，自动生成多套调度方案供决策者选择[18]。但方案的评估、筛选和执行仍完全由人工完成。L1级系统的核心价值在于信息整合与方案生成——减轻操作者的信息过载负担，使其能够聚焦于方案评估和决策判断。其局限性在于：方案质量受限于模型精度，且人工确认环节的引入限制了系统的响应速度。</w:t>
      </w:r>
    </w:p>
    <w:p>
      <w:pPr>
        <w:spacing w:before="200" w:after="160"/>
        <w:jc w:val="left"/>
      </w:pPr>
      <w:r>
        <w:rPr>
          <w:rFonts w:ascii="SimSun" w:hAnsi="SimSun" w:eastAsia="SimSun"/>
          <w:b/>
          <w:sz w:val="24"/>
        </w:rPr>
        <w:t>2.2.4 L2级：局部闭环</w:t>
      </w:r>
    </w:p>
    <w:p>
      <w:pPr>
        <w:spacing w:line="400" w:lineRule="exact" w:before="60" w:after="60"/>
        <w:ind w:firstLine="482"/>
      </w:pPr>
      <w:r>
        <w:rPr>
          <w:rFonts w:ascii="SimSun" w:hAnsi="SimSun" w:eastAsia="SimSun"/>
          <w:b w:val="0"/>
          <w:sz w:val="24"/>
        </w:rPr>
        <w:t>L2级系统实现了单一控制单元的自动闭环运行。在明确定义的边界条件下，子系统能够自主完成感知—决策—执行循环，无需人工逐步确认。L2级的核心技术特征是“单输入单输出（SISO）”或“少输入少输出”的局部闭环控制——控制目标明确、约束条件简单、控制逻辑可验证。</w:t>
      </w:r>
    </w:p>
    <w:p>
      <w:pPr>
        <w:spacing w:line="400" w:lineRule="exact" w:before="60" w:after="60"/>
        <w:ind w:firstLine="482"/>
      </w:pPr>
      <w:r>
        <w:rPr>
          <w:rFonts w:ascii="SimSun" w:hAnsi="SimSun" w:eastAsia="SimSun"/>
          <w:b w:val="0"/>
          <w:sz w:val="24"/>
        </w:rPr>
        <w:t>典型应用场景包括三类。第一类是恒水位自动控制：单节制闸门基于下游水位反馈自动调节开度，维持目标水位。这是水利自动控制中最成熟的应用，南水北调中线工程的部分闸站已具备这一能力[19]。第二类是泵站恒压或恒流量控制：基于压力或流量传感器反馈，自动调节水泵转速或台数。第三类是单座水库的简单蓄放水控制：在预设的水位上下限内自动调节泄流闸门。</w:t>
      </w:r>
    </w:p>
    <w:p>
      <w:pPr>
        <w:spacing w:line="400" w:lineRule="exact" w:before="60" w:after="60"/>
        <w:ind w:firstLine="482"/>
      </w:pPr>
      <w:r>
        <w:rPr>
          <w:rFonts w:ascii="SimSun" w:hAnsi="SimSun" w:eastAsia="SimSun"/>
          <w:b w:val="0"/>
          <w:sz w:val="24"/>
        </w:rPr>
        <w:t>L2级的关键限制在于“局部性”——每个控制单元独立运行，不考虑与相邻单元的耦合效应。例如，当上游闸站改变下泄流量时，下游闸站的恒水位控制器可能因模型预测偏差而产生振荡。这种“局部最优但全局失调”的问题正是L3级需要解决的核心挑战。Clemmens等人在美国亚利桑那州中央灌区的实验研究中系统分析了多渠池耦合效应对局部控制器性能的影响[20]，证明了协调控制的必要性。</w:t>
      </w:r>
    </w:p>
    <w:p>
      <w:pPr>
        <w:spacing w:line="400" w:lineRule="exact" w:before="60" w:after="60"/>
        <w:ind w:firstLine="482"/>
      </w:pPr>
      <w:r>
        <w:rPr>
          <w:rFonts w:ascii="SimSun" w:hAnsi="SimSun" w:eastAsia="SimSun"/>
          <w:b w:val="0"/>
          <w:sz w:val="24"/>
        </w:rPr>
        <w:t>从L2级向L3级的跃迁，不仅是控制算法的升级，更是系统工程层面的根本转变——需要建立统一的状态空间模型、设计协调控制协议、开发系统级验证方法、构建全局安全约束管理机制。这一跃迁的技术难度和工程复杂度远超从L0到L2的渐进式提升。</w:t>
      </w:r>
    </w:p>
    <w:p>
      <w:pPr>
        <w:spacing w:before="200" w:after="160"/>
        <w:jc w:val="left"/>
      </w:pPr>
      <w:r>
        <w:rPr>
          <w:rFonts w:ascii="SimSun" w:hAnsi="SimSun" w:eastAsia="SimSun"/>
          <w:b/>
          <w:sz w:val="24"/>
        </w:rPr>
        <w:t>2.2.5 L3级：条件自主</w:t>
      </w:r>
    </w:p>
    <w:p>
      <w:pPr>
        <w:spacing w:line="400" w:lineRule="exact" w:before="60" w:after="60"/>
        <w:ind w:firstLine="482"/>
      </w:pPr>
      <w:r>
        <w:rPr>
          <w:rFonts w:ascii="SimSun" w:hAnsi="SimSun" w:eastAsia="SimSun"/>
          <w:b w:val="0"/>
          <w:sz w:val="24"/>
        </w:rPr>
        <w:t>L3级是本报告重点论述的目标层级，代表了在特定ODD内的系统级自主运行能力。其核心特征可以概括为“三个协同”：多控制单元的空间协同——中心MPC与现地控制形成层级化闭环；多时间尺度的时间协同——从秒级的实时控制到小时级的滚动优化再到日级的计划调度形成嵌套结构；多目标的决策协同——安全、经济、生态、服务等多个运行目标在统一框架内动态权衡[21]。</w:t>
      </w:r>
    </w:p>
    <w:p>
      <w:pPr>
        <w:spacing w:line="400" w:lineRule="exact" w:before="60" w:after="60"/>
        <w:ind w:firstLine="482"/>
      </w:pPr>
      <w:r>
        <w:rPr>
          <w:rFonts w:ascii="SimSun" w:hAnsi="SimSun" w:eastAsia="SimSun"/>
          <w:b w:val="0"/>
          <w:sz w:val="24"/>
        </w:rPr>
        <w:t>L3级的实现需要攻克六大关键技术。第一，大规模水网的实时状态重构与预测——在传感器覆盖不完备的条件下，利用模型和数据融合技术恢复完整的系统状态。第二，考虑耦合效应的分布式模型预测控制——在保证全局协调性的同时实现计算可扩展性。第三，基于场景库的系统级验证与准入——建立覆盖正常工况、边界工况、故障工况和极端组合工况的场景库。第四，可靠的人机交接协议——在系统感知到接近ODD边界时，能够安全、平滑地将控制权转交给人类操作者[22]。第五，全链路的决策审计与追溯机制——满足事后追溯和责任认定的需求。第六，安全约束的硬保证——确保在任何工况下系统都不会突破安全红线。</w:t>
      </w:r>
    </w:p>
    <w:p>
      <w:pPr>
        <w:spacing w:line="400" w:lineRule="exact" w:before="60" w:after="60"/>
        <w:ind w:firstLine="482"/>
      </w:pPr>
      <w:r>
        <w:rPr>
          <w:rFonts w:ascii="SimSun" w:hAnsi="SimSun" w:eastAsia="SimSun"/>
          <w:b w:val="0"/>
          <w:sz w:val="24"/>
        </w:rPr>
        <w:t>L3级的工程价值极为显著。以南水北调中线工程为例，全线1432公里设有64座节制闸、97座分水口门和54座退水闸，若实现L3级自主运行，预计可将常规工况下的人工干预频次降低80%以上，调水效率提升15%至20%，同时通过持续优化控制策略，年均节水1%至3%[23]。更重要的是，L3级系统能够在毫秒到秒级时间尺度内做出响应，显著优于人工操作的分钟级响应速度，对于应对突发工况具有不可替代的优势。</w:t>
      </w:r>
    </w:p>
    <w:p>
      <w:pPr>
        <w:spacing w:before="200" w:after="160"/>
        <w:jc w:val="left"/>
      </w:pPr>
      <w:r>
        <w:rPr>
          <w:rFonts w:ascii="SimSun" w:hAnsi="SimSun" w:eastAsia="SimSun"/>
          <w:b/>
          <w:sz w:val="24"/>
        </w:rPr>
        <w:t>2.2.6 L4级：高度自主</w:t>
      </w:r>
    </w:p>
    <w:p>
      <w:pPr>
        <w:spacing w:line="400" w:lineRule="exact" w:before="60" w:after="60"/>
        <w:ind w:firstLine="482"/>
      </w:pPr>
      <w:r>
        <w:rPr>
          <w:rFonts w:ascii="SimSun" w:hAnsi="SimSun" w:eastAsia="SimSun"/>
          <w:b w:val="0"/>
          <w:sz w:val="24"/>
        </w:rPr>
        <w:t>L4级代表了水网自主运行的远期愿景。在扩展的ODD内，系统具备自适应学习与故障容错能力，极少依赖人工介入。L4级系统不仅能处理已知工况，还能通过在线学习和模型自适应，应对一定范围内的未知扰动。其核心特征是“三个自主”：模型自适应——系统能够根据运行数据在线更新模型参数，适应缓变的物理条件变化；策略自优化——通过强化学习或进化算法持续优化控制策略，在安全约束内寻求更优的运行方案[24]；故障自愈——系统在检测到局部故障后能够自主重构控制回路，维持安全运行。</w:t>
      </w:r>
    </w:p>
    <w:p>
      <w:pPr>
        <w:spacing w:line="400" w:lineRule="exact" w:before="60" w:after="60"/>
        <w:ind w:firstLine="482"/>
      </w:pPr>
      <w:r>
        <w:rPr>
          <w:rFonts w:ascii="SimSun" w:hAnsi="SimSun" w:eastAsia="SimSun"/>
          <w:b w:val="0"/>
          <w:sz w:val="24"/>
        </w:rPr>
        <w:t>L4级的实现需要在L3级基础上进一步突破四项核心技术：在线系统辨识与模型自适应更新——基于集合卡尔曼滤波（EnKF）或贝叶斯推断的参数在线估计[25]；基于安全强化学习的策略优化——在“安全约束马尔科夫决策过程（CMDP）”框架下的策略搜索[26]；分布式故障诊断与自愈机制——基于有向图模型的故障传播分析和控制回路重构；跨系统协同与应急联动——多个水利工程之间的信息共享和协调控制。</w:t>
      </w:r>
    </w:p>
    <w:p>
      <w:pPr>
        <w:spacing w:line="400" w:lineRule="exact" w:before="60" w:after="60"/>
        <w:ind w:firstLine="482"/>
      </w:pPr>
      <w:r>
        <w:rPr>
          <w:rFonts w:ascii="SimSun" w:hAnsi="SimSun" w:eastAsia="SimSun"/>
          <w:b w:val="0"/>
          <w:sz w:val="24"/>
        </w:rPr>
        <w:t>需要指出，L4级目前在全球水利行业尚无工程实例。即使在自动驾驶领域，L4级（限定区域内的完全自动驾驶）也仅在极少数城市的特定区域实现了商业运营。水利行业实现L4级的时间节点预计在2035年以后，且首先在条件最可控的场景（如新建的标准化渠道系统）中实现突破。</w:t>
      </w:r>
    </w:p>
    <w:p>
      <w:pPr>
        <w:spacing w:before="200" w:after="160"/>
        <w:jc w:val="left"/>
      </w:pPr>
      <w:r>
        <w:rPr>
          <w:rFonts w:ascii="SimSun" w:hAnsi="SimSun" w:eastAsia="SimSun"/>
          <w:b/>
          <w:sz w:val="24"/>
        </w:rPr>
        <w:t>2.2.7 分级评估指标体系</w:t>
      </w:r>
    </w:p>
    <w:p>
      <w:pPr>
        <w:spacing w:line="400" w:lineRule="exact" w:before="60" w:after="60"/>
        <w:ind w:firstLine="482"/>
      </w:pPr>
      <w:r>
        <w:rPr>
          <w:rFonts w:ascii="SimSun" w:hAnsi="SimSun" w:eastAsia="SimSun"/>
          <w:b w:val="0"/>
          <w:sz w:val="24"/>
        </w:rPr>
        <w:t>为使分级体系具有可操作性，需要建立量化的评估指标体系。本报告提出以下六个核心评估维度，每个维度设定了从L0到L4的递进性量化指标：</w:t>
      </w:r>
    </w:p>
    <w:tbl>
      <w:tblPr>
        <w:tblW w:type="auto" w:w="0"/>
        <w:jc w:val="center"/>
        <w:tblLook w:firstColumn="1" w:firstRow="1" w:lastColumn="0" w:lastRow="0" w:noHBand="0" w:noVBand="1" w:val="04A0"/>
      </w:tblPr>
      <w:tblGrid>
        <w:gridCol w:w="1550"/>
        <w:gridCol w:w="1550"/>
        <w:gridCol w:w="1550"/>
        <w:gridCol w:w="1550"/>
        <w:gridCol w:w="1550"/>
        <w:gridCol w:w="1550"/>
      </w:tblGrid>
      <w:tr>
        <w:tc>
          <w:tcPr>
            <w:tcW w:type="dxa" w:w="1587"/>
            <w:shd w:fill="1F4E79"/>
          </w:tcPr>
          <w:p>
            <w:pPr>
              <w:jc w:val="center"/>
            </w:pPr>
            <w:r/>
            <w:r>
              <w:rPr>
                <w:rFonts w:ascii="SimSun" w:hAnsi="SimSun" w:eastAsia="SimSun"/>
                <w:b/>
                <w:color w:val="FFFFFF"/>
                <w:sz w:val="21"/>
              </w:rPr>
              <w:t>评估维度</w:t>
            </w:r>
          </w:p>
        </w:tc>
        <w:tc>
          <w:tcPr>
            <w:tcW w:type="dxa" w:w="1247"/>
            <w:shd w:fill="1F4E79"/>
          </w:tcPr>
          <w:p>
            <w:pPr>
              <w:jc w:val="center"/>
            </w:pPr>
            <w:r/>
            <w:r>
              <w:rPr>
                <w:rFonts w:ascii="SimSun" w:hAnsi="SimSun" w:eastAsia="SimSun"/>
                <w:b/>
                <w:color w:val="FFFFFF"/>
                <w:sz w:val="21"/>
              </w:rPr>
              <w:t>L0</w:t>
            </w:r>
          </w:p>
        </w:tc>
        <w:tc>
          <w:tcPr>
            <w:tcW w:type="dxa" w:w="1247"/>
            <w:shd w:fill="1F4E79"/>
          </w:tcPr>
          <w:p>
            <w:pPr>
              <w:jc w:val="center"/>
            </w:pPr>
            <w:r/>
            <w:r>
              <w:rPr>
                <w:rFonts w:ascii="SimSun" w:hAnsi="SimSun" w:eastAsia="SimSun"/>
                <w:b/>
                <w:color w:val="FFFFFF"/>
                <w:sz w:val="21"/>
              </w:rPr>
              <w:t>L1</w:t>
            </w:r>
          </w:p>
        </w:tc>
        <w:tc>
          <w:tcPr>
            <w:tcW w:type="dxa" w:w="1247"/>
            <w:shd w:fill="1F4E79"/>
          </w:tcPr>
          <w:p>
            <w:pPr>
              <w:jc w:val="center"/>
            </w:pPr>
            <w:r/>
            <w:r>
              <w:rPr>
                <w:rFonts w:ascii="SimSun" w:hAnsi="SimSun" w:eastAsia="SimSun"/>
                <w:b/>
                <w:color w:val="FFFFFF"/>
                <w:sz w:val="21"/>
              </w:rPr>
              <w:t>L2</w:t>
            </w:r>
          </w:p>
        </w:tc>
        <w:tc>
          <w:tcPr>
            <w:tcW w:type="dxa" w:w="1247"/>
            <w:shd w:fill="1F4E79"/>
          </w:tcPr>
          <w:p>
            <w:pPr>
              <w:jc w:val="center"/>
            </w:pPr>
            <w:r/>
            <w:r>
              <w:rPr>
                <w:rFonts w:ascii="SimSun" w:hAnsi="SimSun" w:eastAsia="SimSun"/>
                <w:b/>
                <w:color w:val="FFFFFF"/>
                <w:sz w:val="21"/>
              </w:rPr>
              <w:t>L3</w:t>
            </w:r>
          </w:p>
        </w:tc>
        <w:tc>
          <w:tcPr>
            <w:tcW w:type="dxa" w:w="1474"/>
            <w:shd w:fill="1F4E79"/>
          </w:tcPr>
          <w:p>
            <w:pPr>
              <w:jc w:val="center"/>
            </w:pPr>
            <w:r/>
            <w:r>
              <w:rPr>
                <w:rFonts w:ascii="SimSun" w:hAnsi="SimSun" w:eastAsia="SimSun"/>
                <w:b/>
                <w:color w:val="FFFFFF"/>
                <w:sz w:val="21"/>
              </w:rPr>
              <w:t>L4</w:t>
            </w:r>
          </w:p>
        </w:tc>
      </w:tr>
      <w:tr>
        <w:tc>
          <w:tcPr>
            <w:tcW w:type="dxa" w:w="1587"/>
          </w:tcPr>
          <w:p>
            <w:pPr>
              <w:jc w:val="center"/>
            </w:pPr>
            <w:r/>
            <w:r>
              <w:rPr>
                <w:rFonts w:ascii="SimSun" w:hAnsi="SimSun" w:eastAsia="SimSun"/>
                <w:b w:val="0"/>
                <w:sz w:val="20"/>
              </w:rPr>
              <w:t>自动化比率</w:t>
            </w:r>
          </w:p>
        </w:tc>
        <w:tc>
          <w:tcPr>
            <w:tcW w:type="dxa" w:w="1247"/>
          </w:tcPr>
          <w:p>
            <w:pPr>
              <w:jc w:val="center"/>
            </w:pPr>
            <w:r/>
            <w:r>
              <w:rPr>
                <w:rFonts w:ascii="SimSun" w:hAnsi="SimSun" w:eastAsia="SimSun"/>
                <w:b w:val="0"/>
                <w:sz w:val="20"/>
              </w:rPr>
              <w:t>&lt;5%</w:t>
            </w:r>
          </w:p>
        </w:tc>
        <w:tc>
          <w:tcPr>
            <w:tcW w:type="dxa" w:w="1247"/>
          </w:tcPr>
          <w:p>
            <w:pPr>
              <w:jc w:val="center"/>
            </w:pPr>
            <w:r/>
            <w:r>
              <w:rPr>
                <w:rFonts w:ascii="SimSun" w:hAnsi="SimSun" w:eastAsia="SimSun"/>
                <w:b w:val="0"/>
                <w:sz w:val="20"/>
              </w:rPr>
              <w:t>5~20%</w:t>
            </w:r>
          </w:p>
        </w:tc>
        <w:tc>
          <w:tcPr>
            <w:tcW w:type="dxa" w:w="1247"/>
          </w:tcPr>
          <w:p>
            <w:pPr>
              <w:jc w:val="center"/>
            </w:pPr>
            <w:r/>
            <w:r>
              <w:rPr>
                <w:rFonts w:ascii="SimSun" w:hAnsi="SimSun" w:eastAsia="SimSun"/>
                <w:b w:val="0"/>
                <w:sz w:val="20"/>
              </w:rPr>
              <w:t>20~60%</w:t>
            </w:r>
          </w:p>
        </w:tc>
        <w:tc>
          <w:tcPr>
            <w:tcW w:type="dxa" w:w="1247"/>
          </w:tcPr>
          <w:p>
            <w:pPr>
              <w:jc w:val="center"/>
            </w:pPr>
            <w:r/>
            <w:r>
              <w:rPr>
                <w:rFonts w:ascii="SimSun" w:hAnsi="SimSun" w:eastAsia="SimSun"/>
                <w:b w:val="0"/>
                <w:sz w:val="20"/>
              </w:rPr>
              <w:t>60~95%</w:t>
            </w:r>
          </w:p>
        </w:tc>
        <w:tc>
          <w:tcPr>
            <w:tcW w:type="dxa" w:w="1474"/>
          </w:tcPr>
          <w:p>
            <w:pPr>
              <w:jc w:val="center"/>
            </w:pPr>
            <w:r/>
            <w:r>
              <w:rPr>
                <w:rFonts w:ascii="SimSun" w:hAnsi="SimSun" w:eastAsia="SimSun"/>
                <w:b w:val="0"/>
                <w:sz w:val="20"/>
              </w:rPr>
              <w:t>&gt;95%</w:t>
            </w:r>
          </w:p>
        </w:tc>
      </w:tr>
      <w:tr>
        <w:tc>
          <w:tcPr>
            <w:tcW w:type="dxa" w:w="1587"/>
            <w:shd w:fill="F2F7FB"/>
          </w:tcPr>
          <w:p>
            <w:pPr>
              <w:jc w:val="center"/>
            </w:pPr>
            <w:r/>
            <w:r>
              <w:rPr>
                <w:rFonts w:ascii="SimSun" w:hAnsi="SimSun" w:eastAsia="SimSun"/>
                <w:b w:val="0"/>
                <w:sz w:val="20"/>
              </w:rPr>
              <w:t>人工干预频次(次/日)</w:t>
            </w:r>
          </w:p>
        </w:tc>
        <w:tc>
          <w:tcPr>
            <w:tcW w:type="dxa" w:w="1247"/>
            <w:shd w:fill="F2F7FB"/>
          </w:tcPr>
          <w:p>
            <w:pPr>
              <w:jc w:val="center"/>
            </w:pPr>
            <w:r/>
            <w:r>
              <w:rPr>
                <w:rFonts w:ascii="SimSun" w:hAnsi="SimSun" w:eastAsia="SimSun"/>
                <w:b w:val="0"/>
                <w:sz w:val="20"/>
              </w:rPr>
              <w:t>&gt;50</w:t>
            </w:r>
          </w:p>
        </w:tc>
        <w:tc>
          <w:tcPr>
            <w:tcW w:type="dxa" w:w="1247"/>
            <w:shd w:fill="F2F7FB"/>
          </w:tcPr>
          <w:p>
            <w:pPr>
              <w:jc w:val="center"/>
            </w:pPr>
            <w:r/>
            <w:r>
              <w:rPr>
                <w:rFonts w:ascii="SimSun" w:hAnsi="SimSun" w:eastAsia="SimSun"/>
                <w:b w:val="0"/>
                <w:sz w:val="20"/>
              </w:rPr>
              <w:t>20~50</w:t>
            </w:r>
          </w:p>
        </w:tc>
        <w:tc>
          <w:tcPr>
            <w:tcW w:type="dxa" w:w="1247"/>
            <w:shd w:fill="F2F7FB"/>
          </w:tcPr>
          <w:p>
            <w:pPr>
              <w:jc w:val="center"/>
            </w:pPr>
            <w:r/>
            <w:r>
              <w:rPr>
                <w:rFonts w:ascii="SimSun" w:hAnsi="SimSun" w:eastAsia="SimSun"/>
                <w:b w:val="0"/>
                <w:sz w:val="20"/>
              </w:rPr>
              <w:t>5~20</w:t>
            </w:r>
          </w:p>
        </w:tc>
        <w:tc>
          <w:tcPr>
            <w:tcW w:type="dxa" w:w="1247"/>
            <w:shd w:fill="F2F7FB"/>
          </w:tcPr>
          <w:p>
            <w:pPr>
              <w:jc w:val="center"/>
            </w:pPr>
            <w:r/>
            <w:r>
              <w:rPr>
                <w:rFonts w:ascii="SimSun" w:hAnsi="SimSun" w:eastAsia="SimSun"/>
                <w:b w:val="0"/>
                <w:sz w:val="20"/>
              </w:rPr>
              <w:t>1~5</w:t>
            </w:r>
          </w:p>
        </w:tc>
        <w:tc>
          <w:tcPr>
            <w:tcW w:type="dxa" w:w="1474"/>
            <w:shd w:fill="F2F7FB"/>
          </w:tcPr>
          <w:p>
            <w:pPr>
              <w:jc w:val="center"/>
            </w:pPr>
            <w:r/>
            <w:r>
              <w:rPr>
                <w:rFonts w:ascii="SimSun" w:hAnsi="SimSun" w:eastAsia="SimSun"/>
                <w:b w:val="0"/>
                <w:sz w:val="20"/>
              </w:rPr>
              <w:t>&lt;1</w:t>
            </w:r>
          </w:p>
        </w:tc>
      </w:tr>
      <w:tr>
        <w:tc>
          <w:tcPr>
            <w:tcW w:type="dxa" w:w="1587"/>
          </w:tcPr>
          <w:p>
            <w:pPr>
              <w:jc w:val="center"/>
            </w:pPr>
            <w:r/>
            <w:r>
              <w:rPr>
                <w:rFonts w:ascii="SimSun" w:hAnsi="SimSun" w:eastAsia="SimSun"/>
                <w:b w:val="0"/>
                <w:sz w:val="20"/>
              </w:rPr>
              <w:t>响应时间</w:t>
            </w:r>
          </w:p>
        </w:tc>
        <w:tc>
          <w:tcPr>
            <w:tcW w:type="dxa" w:w="1247"/>
          </w:tcPr>
          <w:p>
            <w:pPr>
              <w:jc w:val="center"/>
            </w:pPr>
            <w:r/>
            <w:r>
              <w:rPr>
                <w:rFonts w:ascii="SimSun" w:hAnsi="SimSun" w:eastAsia="SimSun"/>
                <w:b w:val="0"/>
                <w:sz w:val="20"/>
              </w:rPr>
              <w:t>&gt;10min</w:t>
            </w:r>
          </w:p>
        </w:tc>
        <w:tc>
          <w:tcPr>
            <w:tcW w:type="dxa" w:w="1247"/>
          </w:tcPr>
          <w:p>
            <w:pPr>
              <w:jc w:val="center"/>
            </w:pPr>
            <w:r/>
            <w:r>
              <w:rPr>
                <w:rFonts w:ascii="SimSun" w:hAnsi="SimSun" w:eastAsia="SimSun"/>
                <w:b w:val="0"/>
                <w:sz w:val="20"/>
              </w:rPr>
              <w:t>5~10min</w:t>
            </w:r>
          </w:p>
        </w:tc>
        <w:tc>
          <w:tcPr>
            <w:tcW w:type="dxa" w:w="1247"/>
          </w:tcPr>
          <w:p>
            <w:pPr>
              <w:jc w:val="center"/>
            </w:pPr>
            <w:r/>
            <w:r>
              <w:rPr>
                <w:rFonts w:ascii="SimSun" w:hAnsi="SimSun" w:eastAsia="SimSun"/>
                <w:b w:val="0"/>
                <w:sz w:val="20"/>
              </w:rPr>
              <w:t>1~5min</w:t>
            </w:r>
          </w:p>
        </w:tc>
        <w:tc>
          <w:tcPr>
            <w:tcW w:type="dxa" w:w="1247"/>
          </w:tcPr>
          <w:p>
            <w:pPr>
              <w:jc w:val="center"/>
            </w:pPr>
            <w:r/>
            <w:r>
              <w:rPr>
                <w:rFonts w:ascii="SimSun" w:hAnsi="SimSun" w:eastAsia="SimSun"/>
                <w:b w:val="0"/>
                <w:sz w:val="20"/>
              </w:rPr>
              <w:t>&lt;1min</w:t>
            </w:r>
          </w:p>
        </w:tc>
        <w:tc>
          <w:tcPr>
            <w:tcW w:type="dxa" w:w="1474"/>
          </w:tcPr>
          <w:p>
            <w:pPr>
              <w:jc w:val="center"/>
            </w:pPr>
            <w:r/>
            <w:r>
              <w:rPr>
                <w:rFonts w:ascii="SimSun" w:hAnsi="SimSun" w:eastAsia="SimSun"/>
                <w:b w:val="0"/>
                <w:sz w:val="20"/>
              </w:rPr>
              <w:t>&lt;10s</w:t>
            </w:r>
          </w:p>
        </w:tc>
      </w:tr>
      <w:tr>
        <w:tc>
          <w:tcPr>
            <w:tcW w:type="dxa" w:w="1587"/>
            <w:shd w:fill="F2F7FB"/>
          </w:tcPr>
          <w:p>
            <w:pPr>
              <w:jc w:val="center"/>
            </w:pPr>
            <w:r/>
            <w:r>
              <w:rPr>
                <w:rFonts w:ascii="SimSun" w:hAnsi="SimSun" w:eastAsia="SimSun"/>
                <w:b w:val="0"/>
                <w:sz w:val="20"/>
              </w:rPr>
              <w:t>场景覆盖率</w:t>
            </w:r>
          </w:p>
        </w:tc>
        <w:tc>
          <w:tcPr>
            <w:tcW w:type="dxa" w:w="1247"/>
            <w:shd w:fill="F2F7FB"/>
          </w:tcPr>
          <w:p>
            <w:pPr>
              <w:jc w:val="center"/>
            </w:pPr>
            <w:r/>
            <w:r>
              <w:rPr>
                <w:rFonts w:ascii="SimSun" w:hAnsi="SimSun" w:eastAsia="SimSun"/>
                <w:b w:val="0"/>
                <w:sz w:val="20"/>
              </w:rPr>
              <w:t>—</w:t>
            </w:r>
          </w:p>
        </w:tc>
        <w:tc>
          <w:tcPr>
            <w:tcW w:type="dxa" w:w="1247"/>
            <w:shd w:fill="F2F7FB"/>
          </w:tcPr>
          <w:p>
            <w:pPr>
              <w:jc w:val="center"/>
            </w:pPr>
            <w:r/>
            <w:r>
              <w:rPr>
                <w:rFonts w:ascii="SimSun" w:hAnsi="SimSun" w:eastAsia="SimSun"/>
                <w:b w:val="0"/>
                <w:sz w:val="20"/>
              </w:rPr>
              <w:t>—</w:t>
            </w:r>
          </w:p>
        </w:tc>
        <w:tc>
          <w:tcPr>
            <w:tcW w:type="dxa" w:w="1247"/>
            <w:shd w:fill="F2F7FB"/>
          </w:tcPr>
          <w:p>
            <w:pPr>
              <w:jc w:val="center"/>
            </w:pPr>
            <w:r/>
            <w:r>
              <w:rPr>
                <w:rFonts w:ascii="SimSun" w:hAnsi="SimSun" w:eastAsia="SimSun"/>
                <w:b w:val="0"/>
                <w:sz w:val="20"/>
              </w:rPr>
              <w:t>&lt;30%</w:t>
            </w:r>
          </w:p>
        </w:tc>
        <w:tc>
          <w:tcPr>
            <w:tcW w:type="dxa" w:w="1247"/>
            <w:shd w:fill="F2F7FB"/>
          </w:tcPr>
          <w:p>
            <w:pPr>
              <w:jc w:val="center"/>
            </w:pPr>
            <w:r/>
            <w:r>
              <w:rPr>
                <w:rFonts w:ascii="SimSun" w:hAnsi="SimSun" w:eastAsia="SimSun"/>
                <w:b w:val="0"/>
                <w:sz w:val="20"/>
              </w:rPr>
              <w:t>60~90%</w:t>
            </w:r>
          </w:p>
        </w:tc>
        <w:tc>
          <w:tcPr>
            <w:tcW w:type="dxa" w:w="1474"/>
            <w:shd w:fill="F2F7FB"/>
          </w:tcPr>
          <w:p>
            <w:pPr>
              <w:jc w:val="center"/>
            </w:pPr>
            <w:r/>
            <w:r>
              <w:rPr>
                <w:rFonts w:ascii="SimSun" w:hAnsi="SimSun" w:eastAsia="SimSun"/>
                <w:b w:val="0"/>
                <w:sz w:val="20"/>
              </w:rPr>
              <w:t>&gt;90%</w:t>
            </w:r>
          </w:p>
        </w:tc>
      </w:tr>
      <w:tr>
        <w:tc>
          <w:tcPr>
            <w:tcW w:type="dxa" w:w="1587"/>
          </w:tcPr>
          <w:p>
            <w:pPr>
              <w:jc w:val="center"/>
            </w:pPr>
            <w:r/>
            <w:r>
              <w:rPr>
                <w:rFonts w:ascii="SimSun" w:hAnsi="SimSun" w:eastAsia="SimSun"/>
                <w:b w:val="0"/>
                <w:sz w:val="20"/>
              </w:rPr>
              <w:t>SIL/HIL通过率</w:t>
            </w:r>
          </w:p>
        </w:tc>
        <w:tc>
          <w:tcPr>
            <w:tcW w:type="dxa" w:w="1247"/>
          </w:tcPr>
          <w:p>
            <w:pPr>
              <w:jc w:val="center"/>
            </w:pPr>
            <w:r/>
            <w:r>
              <w:rPr>
                <w:rFonts w:ascii="SimSun" w:hAnsi="SimSun" w:eastAsia="SimSun"/>
                <w:b w:val="0"/>
                <w:sz w:val="20"/>
              </w:rPr>
              <w:t>—</w:t>
            </w:r>
          </w:p>
        </w:tc>
        <w:tc>
          <w:tcPr>
            <w:tcW w:type="dxa" w:w="1247"/>
          </w:tcPr>
          <w:p>
            <w:pPr>
              <w:jc w:val="center"/>
            </w:pPr>
            <w:r/>
            <w:r>
              <w:rPr>
                <w:rFonts w:ascii="SimSun" w:hAnsi="SimSun" w:eastAsia="SimSun"/>
                <w:b w:val="0"/>
                <w:sz w:val="20"/>
              </w:rPr>
              <w:t>—</w:t>
            </w:r>
          </w:p>
        </w:tc>
        <w:tc>
          <w:tcPr>
            <w:tcW w:type="dxa" w:w="1247"/>
          </w:tcPr>
          <w:p>
            <w:pPr>
              <w:jc w:val="center"/>
            </w:pPr>
            <w:r/>
            <w:r>
              <w:rPr>
                <w:rFonts w:ascii="SimSun" w:hAnsi="SimSun" w:eastAsia="SimSun"/>
                <w:b w:val="0"/>
                <w:sz w:val="20"/>
              </w:rPr>
              <w:t>—</w:t>
            </w:r>
          </w:p>
        </w:tc>
        <w:tc>
          <w:tcPr>
            <w:tcW w:type="dxa" w:w="1247"/>
          </w:tcPr>
          <w:p>
            <w:pPr>
              <w:jc w:val="center"/>
            </w:pPr>
            <w:r/>
            <w:r>
              <w:rPr>
                <w:rFonts w:ascii="SimSun" w:hAnsi="SimSun" w:eastAsia="SimSun"/>
                <w:b w:val="0"/>
                <w:sz w:val="20"/>
              </w:rPr>
              <w:t>&gt;90%</w:t>
            </w:r>
          </w:p>
        </w:tc>
        <w:tc>
          <w:tcPr>
            <w:tcW w:type="dxa" w:w="1474"/>
          </w:tcPr>
          <w:p>
            <w:pPr>
              <w:jc w:val="center"/>
            </w:pPr>
            <w:r/>
            <w:r>
              <w:rPr>
                <w:rFonts w:ascii="SimSun" w:hAnsi="SimSun" w:eastAsia="SimSun"/>
                <w:b w:val="0"/>
                <w:sz w:val="20"/>
              </w:rPr>
              <w:t>&gt;98%</w:t>
            </w:r>
          </w:p>
        </w:tc>
      </w:tr>
      <w:tr>
        <w:tc>
          <w:tcPr>
            <w:tcW w:type="dxa" w:w="1587"/>
            <w:shd w:fill="F2F7FB"/>
          </w:tcPr>
          <w:p>
            <w:pPr>
              <w:jc w:val="center"/>
            </w:pPr>
            <w:r/>
            <w:r>
              <w:rPr>
                <w:rFonts w:ascii="SimSun" w:hAnsi="SimSun" w:eastAsia="SimSun"/>
                <w:b w:val="0"/>
                <w:sz w:val="20"/>
              </w:rPr>
              <w:t>决策可溯率</w:t>
            </w:r>
          </w:p>
        </w:tc>
        <w:tc>
          <w:tcPr>
            <w:tcW w:type="dxa" w:w="1247"/>
            <w:shd w:fill="F2F7FB"/>
          </w:tcPr>
          <w:p>
            <w:pPr>
              <w:jc w:val="center"/>
            </w:pPr>
            <w:r/>
            <w:r>
              <w:rPr>
                <w:rFonts w:ascii="SimSun" w:hAnsi="SimSun" w:eastAsia="SimSun"/>
                <w:b w:val="0"/>
                <w:sz w:val="20"/>
              </w:rPr>
              <w:t>&lt;10%</w:t>
            </w:r>
          </w:p>
        </w:tc>
        <w:tc>
          <w:tcPr>
            <w:tcW w:type="dxa" w:w="1247"/>
            <w:shd w:fill="F2F7FB"/>
          </w:tcPr>
          <w:p>
            <w:pPr>
              <w:jc w:val="center"/>
            </w:pPr>
            <w:r/>
            <w:r>
              <w:rPr>
                <w:rFonts w:ascii="SimSun" w:hAnsi="SimSun" w:eastAsia="SimSun"/>
                <w:b w:val="0"/>
                <w:sz w:val="20"/>
              </w:rPr>
              <w:t>30~50%</w:t>
            </w:r>
          </w:p>
        </w:tc>
        <w:tc>
          <w:tcPr>
            <w:tcW w:type="dxa" w:w="1247"/>
            <w:shd w:fill="F2F7FB"/>
          </w:tcPr>
          <w:p>
            <w:pPr>
              <w:jc w:val="center"/>
            </w:pPr>
            <w:r/>
            <w:r>
              <w:rPr>
                <w:rFonts w:ascii="SimSun" w:hAnsi="SimSun" w:eastAsia="SimSun"/>
                <w:b w:val="0"/>
                <w:sz w:val="20"/>
              </w:rPr>
              <w:t>50~80%</w:t>
            </w:r>
          </w:p>
        </w:tc>
        <w:tc>
          <w:tcPr>
            <w:tcW w:type="dxa" w:w="1247"/>
            <w:shd w:fill="F2F7FB"/>
          </w:tcPr>
          <w:p>
            <w:pPr>
              <w:jc w:val="center"/>
            </w:pPr>
            <w:r/>
            <w:r>
              <w:rPr>
                <w:rFonts w:ascii="SimSun" w:hAnsi="SimSun" w:eastAsia="SimSun"/>
                <w:b w:val="0"/>
                <w:sz w:val="20"/>
              </w:rPr>
              <w:t>80~99%</w:t>
            </w:r>
          </w:p>
        </w:tc>
        <w:tc>
          <w:tcPr>
            <w:tcW w:type="dxa" w:w="1474"/>
            <w:shd w:fill="F2F7FB"/>
          </w:tcPr>
          <w:p>
            <w:pPr>
              <w:jc w:val="center"/>
            </w:pPr>
            <w:r/>
            <w:r>
              <w:rPr>
                <w:rFonts w:ascii="SimSun" w:hAnsi="SimSun" w:eastAsia="SimSun"/>
                <w:b w:val="0"/>
                <w:sz w:val="20"/>
              </w:rPr>
              <w:t>&gt;99%</w:t>
            </w:r>
          </w:p>
        </w:tc>
      </w:tr>
    </w:tbl>
    <w:p>
      <w:pPr>
        <w:spacing w:before="60" w:after="120"/>
        <w:jc w:val="center"/>
      </w:pPr>
      <w:r>
        <w:rPr>
          <w:rFonts w:ascii="SimSun" w:hAnsi="SimSun" w:eastAsia="SimSun"/>
          <w:b w:val="0"/>
          <w:i/>
          <w:color w:val="555555"/>
          <w:sz w:val="20"/>
        </w:rPr>
        <w:t>表2-2  水网自主运行分级评估指标体系</w:t>
      </w:r>
    </w:p>
    <w:p>
      <w:pPr>
        <w:spacing w:line="400" w:lineRule="exact" w:before="60" w:after="60"/>
        <w:ind w:firstLine="482"/>
      </w:pPr>
      <w:r>
        <w:rPr>
          <w:rFonts w:ascii="SimSun" w:hAnsi="SimSun" w:eastAsia="SimSun"/>
          <w:b w:val="0"/>
          <w:sz w:val="24"/>
        </w:rPr>
        <w:t>上述指标体系的设计参考了汽车行业Euro NCAP安全评级体系[27]的多维度评估思想以及电力行业继电保护动作正确率的分级标准。“自动化比率”定义为自动完成的运行操作数占总操作数的百分比；“场景覆盖率”定义为场景库中通过验证的场景数占ODD全场景数的百分比；“决策可溯率”定义为可以完整回溯决策依据的控制决策数占总决策数的百分比。</w:t>
      </w:r>
    </w:p>
    <w:p>
      <w:pPr>
        <w:spacing w:before="280" w:after="200"/>
        <w:jc w:val="left"/>
      </w:pPr>
      <w:r>
        <w:rPr>
          <w:rFonts w:ascii="SimSun" w:hAnsi="SimSun" w:eastAsia="SimSun"/>
          <w:b/>
          <w:sz w:val="28"/>
        </w:rPr>
        <w:t>2.3 运行设计域（ODD）：自主系统的能力边界</w:t>
      </w:r>
    </w:p>
    <w:p>
      <w:pPr>
        <w:spacing w:before="200" w:after="160"/>
        <w:jc w:val="left"/>
      </w:pPr>
      <w:r>
        <w:rPr>
          <w:rFonts w:ascii="SimSun" w:hAnsi="SimSun" w:eastAsia="SimSun"/>
          <w:b/>
          <w:sz w:val="24"/>
        </w:rPr>
        <w:t>2.3.1 ODD概念的起源与发展</w:t>
      </w:r>
    </w:p>
    <w:p>
      <w:pPr>
        <w:spacing w:line="400" w:lineRule="exact" w:before="60" w:after="60"/>
        <w:ind w:firstLine="482"/>
      </w:pPr>
      <w:r>
        <w:rPr>
          <w:rFonts w:ascii="SimSun" w:hAnsi="SimSun" w:eastAsia="SimSun"/>
          <w:b w:val="0"/>
          <w:sz w:val="24"/>
        </w:rPr>
        <w:t>运行设计域（Operational Design Domain, ODD）的概念最早由SAE International在J3016标准中正式提出[13]，定义为“自动驾驶系统被设计运行的特定条件集合，包括但不限于地理区域、道路类型、速度范围、环境条件等”。ODD的本质是对自主系统能力边界的精确化定义——它回答了“这个系统在什么条件下可以安全运行”这一根本问题。</w:t>
      </w:r>
    </w:p>
    <w:p>
      <w:pPr>
        <w:spacing w:line="400" w:lineRule="exact" w:before="60" w:after="60"/>
        <w:ind w:firstLine="482"/>
      </w:pPr>
      <w:r>
        <w:rPr>
          <w:rFonts w:ascii="SimSun" w:hAnsi="SimSun" w:eastAsia="SimSun"/>
          <w:b w:val="0"/>
          <w:sz w:val="24"/>
        </w:rPr>
        <w:t>英国标准协会（BSI）在PAS 1883:2020中进一步发展了ODD的形式化描述方法[28]，提出了结构化的ODD分类体系（ODD Taxonomy），将ODD的构成要素分为“场景（Scenery）”“环境条件（Environmental Conditions）”和“动态元素（Dynamic Elements）”三大类，每类下设多个层级的子类。这一结构化方法为不同应用领域的ODD定义提供了可复用的框架。</w:t>
      </w:r>
    </w:p>
    <w:p>
      <w:pPr>
        <w:spacing w:line="400" w:lineRule="exact" w:before="60" w:after="60"/>
        <w:ind w:firstLine="482"/>
      </w:pPr>
      <w:r>
        <w:rPr>
          <w:rFonts w:ascii="SimSun" w:hAnsi="SimSun" w:eastAsia="SimSun"/>
          <w:b w:val="0"/>
          <w:sz w:val="24"/>
        </w:rPr>
        <w:t>在水利领域，ODD的概念尚未被系统性地引入。本报告的一个核心贡献在于：将ODD概念从汽车领域迁移到水利领域，并根据水网运行的特殊性进行适应性改造——水网系统的ODD不仅包括外部环境条件，还必须涵盖水力耦合关系、多目标冲突场景和设备健康状态等水利特有的维度。</w:t>
      </w:r>
    </w:p>
    <w:p>
      <w:pPr>
        <w:spacing w:before="200" w:after="160"/>
        <w:jc w:val="left"/>
      </w:pPr>
      <w:r>
        <w:rPr>
          <w:rFonts w:ascii="SimSun" w:hAnsi="SimSun" w:eastAsia="SimSun"/>
          <w:b/>
          <w:sz w:val="24"/>
        </w:rPr>
        <w:t>2.3.2 水网ODD的多维定义框架</w:t>
      </w:r>
    </w:p>
    <w:p>
      <w:pPr>
        <w:spacing w:line="400" w:lineRule="exact" w:before="60" w:after="60"/>
        <w:ind w:firstLine="482"/>
      </w:pPr>
      <w:r>
        <w:rPr>
          <w:rFonts w:ascii="SimSun" w:hAnsi="SimSun" w:eastAsia="SimSun"/>
          <w:b w:val="0"/>
          <w:sz w:val="24"/>
        </w:rPr>
        <w:t>水网自主运行的ODD需要从六个维度进行全面定义，形成一个多维超空间。每个维度定义了一个或多个连续或离散的变量区间，所有维度的笛卡尔积构成了完整的ODD空间。</w:t>
      </w:r>
    </w:p>
    <w:p>
      <w:pPr>
        <w:spacing w:line="400" w:lineRule="exact" w:before="60" w:after="60"/>
        <w:ind w:firstLine="482"/>
      </w:pPr>
      <w:r>
        <w:rPr>
          <w:rFonts w:ascii="SimSun" w:hAnsi="SimSun" w:eastAsia="SimSun"/>
          <w:b w:val="0"/>
          <w:sz w:val="24"/>
        </w:rPr>
        <w:t>维度一：水力工况范围。包括各控制断面的流量范围（最小生态流量至设计最大流量）、水位范围（死水位至设计洪水位）、流速范围（防淤流速至防冲流速）等。这些参数直接约束了水力模型的有效域和控制器的工作范围。对于明渠系统，还需考虑Froude数的范围——当Fr接近1（临界流）时，Saint-Venant方程的数值特性发生本质变化，控制策略需要相应调整[29]。</w:t>
      </w:r>
    </w:p>
    <w:p>
      <w:pPr>
        <w:spacing w:line="400" w:lineRule="exact" w:before="60" w:after="60"/>
        <w:ind w:firstLine="482"/>
      </w:pPr>
      <w:r>
        <w:rPr>
          <w:rFonts w:ascii="SimSun" w:hAnsi="SimSun" w:eastAsia="SimSun"/>
          <w:b w:val="0"/>
          <w:sz w:val="24"/>
        </w:rPr>
        <w:t>维度二：水质参数范围。包括温度、浊度、溶解氧、pH值、氨氮、高锰酸盐指数等关键水质指标的允许范围。当水质参数超出ODD范围时，可能需要启动应急处置预案（如关闭取水口、切换水源）。特别需要关注的是冰期运行条件——当水温接近0℃时，冰塞和冰坝形成可能导致水力条件发生剧变，超出常规控制模型的适用范围[30]。</w:t>
      </w:r>
    </w:p>
    <w:p>
      <w:pPr>
        <w:spacing w:line="400" w:lineRule="exact" w:before="60" w:after="60"/>
        <w:ind w:firstLine="482"/>
      </w:pPr>
      <w:r>
        <w:rPr>
          <w:rFonts w:ascii="SimSun" w:hAnsi="SimSun" w:eastAsia="SimSun"/>
          <w:b w:val="0"/>
          <w:sz w:val="24"/>
        </w:rPr>
        <w:t>维度三：气象与外部扰动。包括降雨强度、气温范围、风速、蒸发量等气象条件，以及上下游边界条件的变化范围。这一维度与水力工况维度存在强耦合——暴雨事件同时改变来水量和水质条件，需要在ODD定义中考虑维度间的相关性而非简单的独立假设。</w:t>
      </w:r>
    </w:p>
    <w:p>
      <w:pPr>
        <w:spacing w:line="400" w:lineRule="exact" w:before="60" w:after="60"/>
        <w:ind w:firstLine="482"/>
      </w:pPr>
      <w:r>
        <w:rPr>
          <w:rFonts w:ascii="SimSun" w:hAnsi="SimSun" w:eastAsia="SimSun"/>
          <w:b w:val="0"/>
          <w:sz w:val="24"/>
        </w:rPr>
        <w:t>维度四：设备与基础设施状态。包括传感器可用性（各类传感器的在线率和精度要求）、执行机构健康状态（闸门、水泵、阀门的可控性）、通信网络连通性（端—边—云各层通信链路的延迟和丢包率要求）。设备状态维度的一个关键特征是“离散性”——传感器故障可能导致系统从一个ODD瞬间跳转到另一个ODD（或退出ODD），控制系统必须具备相应的快速切换能力[31]。</w:t>
      </w:r>
    </w:p>
    <w:p>
      <w:pPr>
        <w:spacing w:line="400" w:lineRule="exact" w:before="60" w:after="60"/>
        <w:ind w:firstLine="482"/>
      </w:pPr>
      <w:r>
        <w:rPr>
          <w:rFonts w:ascii="SimSun" w:hAnsi="SimSun" w:eastAsia="SimSun"/>
          <w:b w:val="0"/>
          <w:sz w:val="24"/>
        </w:rPr>
        <w:t>维度五：时间尺度。明确系统的响应时间要求、预测时域范围和控制周期。不同的运行场景对时间尺度有不同的要求：防洪调度需要小时级的预见期，而管道水锤事件可能要求毫秒级的响应。</w:t>
      </w:r>
    </w:p>
    <w:p>
      <w:pPr>
        <w:spacing w:line="400" w:lineRule="exact" w:before="60" w:after="60"/>
        <w:ind w:firstLine="482"/>
      </w:pPr>
      <w:r>
        <w:rPr>
          <w:rFonts w:ascii="SimSun" w:hAnsi="SimSun" w:eastAsia="SimSun"/>
          <w:b w:val="0"/>
          <w:sz w:val="24"/>
        </w:rPr>
        <w:t>维度六：运行模式。定义系统在不同运行模式（正常输水、应急检修、洪水期、枯水期、冰期、水质异常期等）下的ODD差异。不同运行模式可能对应不同的控制目标、约束条件和安全阈值，ODD定义应明确各模式之间的切换条件和过渡策略。</w:t>
      </w:r>
    </w:p>
    <w:p>
      <w:pPr>
        <w:spacing w:before="200" w:after="160"/>
        <w:jc w:val="left"/>
      </w:pPr>
      <w:r>
        <w:rPr>
          <w:rFonts w:ascii="SimSun" w:hAnsi="SimSun" w:eastAsia="SimSun"/>
          <w:b/>
          <w:sz w:val="24"/>
        </w:rPr>
        <w:t>2.3.3 ODD的形式化描述方法</w:t>
      </w:r>
    </w:p>
    <w:p>
      <w:pPr>
        <w:spacing w:line="400" w:lineRule="exact" w:before="60" w:after="60"/>
        <w:ind w:firstLine="482"/>
      </w:pPr>
      <w:r>
        <w:rPr>
          <w:rFonts w:ascii="SimSun" w:hAnsi="SimSun" w:eastAsia="SimSun"/>
          <w:b w:val="0"/>
          <w:sz w:val="24"/>
        </w:rPr>
        <w:t>为使ODD定义从“文字描述”走向“可计算、可验证”，本报告借鉴自动驾驶领域的实践，提出水网ODD的三层形式化描述框架。</w:t>
      </w:r>
    </w:p>
    <w:p>
      <w:pPr>
        <w:spacing w:line="400" w:lineRule="exact" w:before="60" w:after="60"/>
        <w:ind w:firstLine="482"/>
      </w:pPr>
      <w:r>
        <w:rPr>
          <w:rFonts w:ascii="SimSun" w:hAnsi="SimSun" w:eastAsia="SimSun"/>
          <w:b w:val="0"/>
          <w:sz w:val="24"/>
        </w:rPr>
        <w:t>第一层：属性-值描述（Attribute-Value Description）。采用结构化的属性表形式，列举ODD各维度的具体参数范围。例如：流量范围[10, 350] m³/s；水位范围[135.0, 147.5] m；水温范围[2, 35] ℃；传感器在线率不低于90%；通信延迟不大于500ms。这一层提供了最直观的ODD描述，适用于工程文档和人机交互界面。</w:t>
      </w:r>
    </w:p>
    <w:p>
      <w:pPr>
        <w:spacing w:line="400" w:lineRule="exact" w:before="60" w:after="60"/>
        <w:ind w:firstLine="482"/>
      </w:pPr>
      <w:r>
        <w:rPr>
          <w:rFonts w:ascii="SimSun" w:hAnsi="SimSun" w:eastAsia="SimSun"/>
          <w:b w:val="0"/>
          <w:sz w:val="24"/>
        </w:rPr>
        <w:t>第二层：逻辑表达式描述（Logical Expression Description）。采用命题逻辑或一阶逻辑对ODD条件进行形式化编码。逻辑表达式允许描述维度间的复杂逻辑关系（与、或、非、蕴含），支持ODD边界的自动检测[32]。</w:t>
      </w:r>
    </w:p>
    <w:p>
      <w:pPr>
        <w:spacing w:line="400" w:lineRule="exact" w:before="60" w:after="60"/>
        <w:ind w:firstLine="482"/>
      </w:pPr>
      <w:r>
        <w:rPr>
          <w:rFonts w:ascii="SimSun" w:hAnsi="SimSun" w:eastAsia="SimSun"/>
          <w:b w:val="0"/>
          <w:sz w:val="24"/>
        </w:rPr>
        <w:t>第三层：状态机描述（State Machine Description）。采用有限状态机（FSM）或层次状态机（HSM）描述ODD之间的转换关系。状态机描述使得ODD的动态切换逻辑可以通过模型检验（Model Checking）工具进行完备性和一致性验证[33]。</w:t>
      </w:r>
    </w:p>
    <w:p>
      <w:pPr>
        <w:spacing w:before="200" w:after="160"/>
        <w:jc w:val="left"/>
      </w:pPr>
      <w:r>
        <w:rPr>
          <w:rFonts w:ascii="SimSun" w:hAnsi="SimSun" w:eastAsia="SimSun"/>
          <w:b/>
          <w:sz w:val="24"/>
        </w:rPr>
        <w:t>2.3.4 最小可行ODD与渐进扩展策略</w:t>
      </w:r>
    </w:p>
    <w:p>
      <w:pPr>
        <w:spacing w:line="400" w:lineRule="exact" w:before="60" w:after="60"/>
        <w:ind w:firstLine="482"/>
      </w:pPr>
      <w:r>
        <w:rPr>
          <w:rFonts w:ascii="SimSun" w:hAnsi="SimSun" w:eastAsia="SimSun"/>
          <w:b w:val="0"/>
          <w:sz w:val="24"/>
        </w:rPr>
        <w:t>在工程实践中，试图一次性定义覆盖全部运行条件的ODD是不现实的。本报告建议采用“最小可行ODD（Minimum Viable ODD, MV-ODD）”策略：首先在最核心、最可控的工况范围内验证系统能力，再通过迭代循环逐步扩展ODD覆盖范围[34]。</w:t>
      </w:r>
    </w:p>
    <w:p>
      <w:pPr>
        <w:spacing w:line="400" w:lineRule="exact" w:before="60" w:after="60"/>
        <w:ind w:firstLine="482"/>
      </w:pPr>
      <w:r>
        <w:rPr>
          <w:rFonts w:ascii="SimSun" w:hAnsi="SimSun" w:eastAsia="SimSun"/>
          <w:b w:val="0"/>
          <w:sz w:val="24"/>
        </w:rPr>
        <w:t>MV-ODD的选取应遵循三个原则。第一，“高频低险”原则——选取运行频率高但安全风险相对较低的场景作为初始ODD。例如，南水北调中线工程的非汛期常规输水工况具有流量波动小、约束条件宽松的特点，是理想的MV-ODD起点。第二，“数据充分”原则——初始ODD应选择历史运行数据最丰富的工况范围，以支撑模型校核和场景库构建。第三，“可回退”原则——初始ODD内的所有控制动作都应具有安全回退路径（fallback），即使自主控制失败，也不会导致不可逆的安全事故。</w:t>
      </w:r>
    </w:p>
    <w:p>
      <w:pPr>
        <w:spacing w:line="400" w:lineRule="exact" w:before="60" w:after="60"/>
        <w:ind w:firstLine="482"/>
      </w:pPr>
      <w:r>
        <w:rPr>
          <w:rFonts w:ascii="SimSun" w:hAnsi="SimSun" w:eastAsia="SimSun"/>
          <w:b w:val="0"/>
          <w:sz w:val="24"/>
        </w:rPr>
        <w:t>ODD的扩展遵循“验证—评审—扩展—监控”的迭代循环。每次ODD扩展都需要完成以下步骤：定义扩展后的ODD边界，补充场景库中的新增场景，在SIL/HIL环境中完成全量回归测试，通过独立评审委员会的准入评审，在实际工程中进行“影子模式（Shadow Mode）”运行验证，最终正式切换至扩展后的ODD[35]。“影子模式”是一种重要的渐进部署策略，其核心思想是：自主系统在后台运行并生成控制指令，但实际执行仍由人工完成，通过对比自主指令与人工操作的差异来评估系统性能和安全性。</w:t>
      </w:r>
    </w:p>
    <w:p>
      <w:pPr>
        <w:spacing w:before="280" w:after="200"/>
        <w:jc w:val="left"/>
      </w:pPr>
      <w:r>
        <w:rPr>
          <w:rFonts w:ascii="SimSun" w:hAnsi="SimSun" w:eastAsia="SimSun"/>
          <w:b/>
          <w:sz w:val="28"/>
        </w:rPr>
        <w:t>2.4 “四可”原则与“四原则”体系</w:t>
      </w:r>
    </w:p>
    <w:p>
      <w:pPr>
        <w:spacing w:line="400" w:lineRule="exact" w:before="60" w:after="60"/>
        <w:ind w:firstLine="482"/>
      </w:pPr>
      <w:r>
        <w:rPr>
          <w:rFonts w:ascii="SimSun" w:hAnsi="SimSun" w:eastAsia="SimSun"/>
          <w:b w:val="0"/>
          <w:sz w:val="24"/>
        </w:rPr>
        <w:t>基于自主运行的工程需求，本报告提出“四可”原则——机理可信、边界可控、场景可验、运维可溯——作为水网自主运行系统建设的基本准则。这四项原则不是孤立的技术要求，而是构成了一个有机整体：机理可信是基础——没有可信的模型就没有可靠的控制；边界可控是红线——确保系统行为始终在安全域内；场景可验是手段——通过系统性测试证明系统的可靠性；运维可溯是保障——确保系统的可问责性和持续改进能力。</w:t>
      </w:r>
    </w:p>
    <w:p>
      <w:pPr>
        <w:spacing w:before="200" w:after="160"/>
        <w:jc w:val="left"/>
      </w:pPr>
      <w:r>
        <w:rPr>
          <w:rFonts w:ascii="SimSun" w:hAnsi="SimSun" w:eastAsia="SimSun"/>
          <w:b/>
          <w:sz w:val="24"/>
        </w:rPr>
        <w:t>2.4.1 机理可信原则</w:t>
      </w:r>
    </w:p>
    <w:p>
      <w:pPr>
        <w:spacing w:line="400" w:lineRule="exact" w:before="60" w:after="60"/>
        <w:ind w:firstLine="482"/>
      </w:pPr>
      <w:r>
        <w:rPr>
          <w:rFonts w:ascii="SimSun" w:hAnsi="SimSun" w:eastAsia="SimSun"/>
          <w:b w:val="0"/>
          <w:sz w:val="24"/>
        </w:rPr>
        <w:t>机理可信原则要求：所有用于决策的模型必须具有物理可解释性，关键参数必须有明确的物理含义和合理的取值范围。这一原则并不排斥数据驱动方法的使用，但要求数据驱动组件必须嵌入物理约束框架中，输出结果必须通过物理一致性检验[36]。</w:t>
      </w:r>
    </w:p>
    <w:p>
      <w:pPr>
        <w:spacing w:line="400" w:lineRule="exact" w:before="60" w:after="60"/>
        <w:ind w:firstLine="482"/>
      </w:pPr>
      <w:r>
        <w:rPr>
          <w:rFonts w:ascii="SimSun" w:hAnsi="SimSun" w:eastAsia="SimSun"/>
          <w:b w:val="0"/>
          <w:sz w:val="24"/>
        </w:rPr>
        <w:t>机理可信原则的具体实施包括三个层次。第一层次——物理一致性检验：模型输出必须满足基本的物理守恒律（质量守恒、动量守恒、能量守恒）。例如，水力模型的输出必须满足各节点的流量平衡方程，任何违反质量守恒的预测结果应被自动标记和过滤。第二层次——参数物理合理性：模型参数必须在物理合理的范围内。例如，曼宁糙率系数n的取值必须在0.010至0.060之间（混凝土渠道至天然河道的典型范围），超出此范围的参数值应触发模型校核警告[37]。第三层次——行为可解释性：模型的预测行为必须能够用物理机理进行解释，“黑箱”模型可以用于辅助分析，但不能作为闭环控制的唯一决策依据。</w:t>
      </w:r>
    </w:p>
    <w:p>
      <w:pPr>
        <w:spacing w:before="200" w:after="160"/>
        <w:jc w:val="left"/>
      </w:pPr>
      <w:r>
        <w:rPr>
          <w:rFonts w:ascii="SimSun" w:hAnsi="SimSun" w:eastAsia="SimSun"/>
          <w:b/>
          <w:sz w:val="24"/>
        </w:rPr>
        <w:t>2.4.2 边界可控原则</w:t>
      </w:r>
    </w:p>
    <w:p>
      <w:pPr>
        <w:spacing w:line="400" w:lineRule="exact" w:before="60" w:after="60"/>
        <w:ind w:firstLine="482"/>
      </w:pPr>
      <w:r>
        <w:rPr>
          <w:rFonts w:ascii="SimSun" w:hAnsi="SimSun" w:eastAsia="SimSun"/>
          <w:b w:val="0"/>
          <w:sz w:val="24"/>
        </w:rPr>
        <w:t>边界可控原则要求：所有安全约束必须显式化、形式化，并硬编码到控制系统中，确保任何算法优化都不会突破红线。这是区分“研究性仿真”与“工程级控制”的关键分水岭。安全约束的来源包括四类：物理约束（渠道过流能力、水泵扬程曲线、闸门开度限制）、设备约束（执行机构的速率限制、启停间隔要求）、管理约束（生态流量下限、供水保证率要求、水质标准）和法规约束（防洪限制水位、汛限水位、最低通航水深等法定标准）[38]。</w:t>
      </w:r>
    </w:p>
    <w:p>
      <w:pPr>
        <w:spacing w:line="400" w:lineRule="exact" w:before="60" w:after="60"/>
        <w:ind w:firstLine="482"/>
      </w:pPr>
      <w:r>
        <w:rPr>
          <w:rFonts w:ascii="SimSun" w:hAnsi="SimSun" w:eastAsia="SimSun"/>
          <w:b w:val="0"/>
          <w:sz w:val="24"/>
        </w:rPr>
        <w:t>边界可控原则在技术实现上要求采用“硬约束+软约束”的双层架构。硬约束层是不可突破的安全红线，直接编码在控制器的约束集合中——即使优化算法试图逼近这些边界，硬约束也确保控制指令不会越界。硬约束通常对应法规要求和物理极限。软约束层是可以在特定条件下适度放松的运行目标，如经济性目标、舒适性目标等。软约束的放松需要满足预设的触发条件，并记录完整的决策依据以供审计。这一架构借鉴了航空飞行控制系统的“飞行包线保护（Flight Envelope Protection）”理念[39]。</w:t>
      </w:r>
    </w:p>
    <w:p>
      <w:pPr>
        <w:spacing w:before="200" w:after="160"/>
        <w:jc w:val="left"/>
      </w:pPr>
      <w:r>
        <w:rPr>
          <w:rFonts w:ascii="SimSun" w:hAnsi="SimSun" w:eastAsia="SimSun"/>
          <w:b/>
          <w:sz w:val="24"/>
        </w:rPr>
        <w:t>2.4.3 场景可验原则</w:t>
      </w:r>
    </w:p>
    <w:p>
      <w:pPr>
        <w:spacing w:line="400" w:lineRule="exact" w:before="60" w:after="60"/>
        <w:ind w:firstLine="482"/>
      </w:pPr>
      <w:r>
        <w:rPr>
          <w:rFonts w:ascii="SimSun" w:hAnsi="SimSun" w:eastAsia="SimSun"/>
          <w:b w:val="0"/>
          <w:sz w:val="24"/>
        </w:rPr>
        <w:t>场景可验原则要求：系统上线前必须通过基于ODD的场景库测试，覆盖正常工况、边界工况、故障工况及极端组合工况。这一原则直接借鉴了汽车行业的产品化准入思路和航空行业的适航认证体系。</w:t>
      </w:r>
    </w:p>
    <w:p>
      <w:pPr>
        <w:spacing w:line="400" w:lineRule="exact" w:before="60" w:after="60"/>
        <w:ind w:firstLine="482"/>
      </w:pPr>
      <w:r>
        <w:rPr>
          <w:rFonts w:ascii="SimSun" w:hAnsi="SimSun" w:eastAsia="SimSun"/>
          <w:b w:val="0"/>
          <w:sz w:val="24"/>
        </w:rPr>
        <w:t>场景库的构建采用“四象限”方法论[40]。第一象限——已知正常场景：基于历史运行数据提取的典型运行工况，是场景库的基础。第二象限——已知边界场景：通过工程经验和安全分析识别的极端但可预见的工况，如最大或最小流量、设备单点故障等。第三象限——已知未知场景：通过故障模式与影响分析（FMEA）、危害与可操作性研究（HAZOP）系统性识别的潜在风险场景。第四象限——未知未知场景：通过对抗性测试（Adversarial Testing）、随机模糊测试（Fuzz Testing）等方法探索的意外组合场景。</w:t>
      </w:r>
    </w:p>
    <w:p>
      <w:pPr>
        <w:spacing w:line="400" w:lineRule="exact" w:before="60" w:after="60"/>
        <w:ind w:firstLine="482"/>
      </w:pPr>
      <w:r>
        <w:rPr>
          <w:rFonts w:ascii="SimSun" w:hAnsi="SimSun" w:eastAsia="SimSun"/>
          <w:b w:val="0"/>
          <w:sz w:val="24"/>
        </w:rPr>
        <w:t>场景验证的充分性是一个核心难题。RAND公司的研究表明，要在95%的置信水平下证明自动驾驶系统比人类驾驶安全20%，需要约110亿英里的路测里程[41]——这在实际中几乎不可能完成。水利领域面临类似的挑战：极端工况的发生频率极低，纯粹依靠真实运行数据积累场景是不现实的。因此，SIL（Software-in-the-Loop）和HIL（Hardware-in-the-Loop）仿真验证成为不可或缺的手段——通过高保真度的仿真平台大规模生成和测试场景，在虚拟环境中验证系统在“千年一遇”甚至“万年一遇”极端工况下的安全性。</w:t>
      </w:r>
    </w:p>
    <w:p>
      <w:pPr>
        <w:spacing w:before="200" w:after="160"/>
        <w:jc w:val="left"/>
      </w:pPr>
      <w:r>
        <w:rPr>
          <w:rFonts w:ascii="SimSun" w:hAnsi="SimSun" w:eastAsia="SimSun"/>
          <w:b/>
          <w:sz w:val="24"/>
        </w:rPr>
        <w:t>2.4.4 运维可溯原则</w:t>
      </w:r>
    </w:p>
    <w:p>
      <w:pPr>
        <w:spacing w:line="400" w:lineRule="exact" w:before="60" w:after="60"/>
        <w:ind w:firstLine="482"/>
      </w:pPr>
      <w:r>
        <w:rPr>
          <w:rFonts w:ascii="SimSun" w:hAnsi="SimSun" w:eastAsia="SimSun"/>
          <w:b w:val="0"/>
          <w:sz w:val="24"/>
        </w:rPr>
        <w:t>运维可溯原则要求：从感知数据到决策输出的全链路信息必须完整记录、不可篡改、可按需回溯和审计。这一原则确保了系统的可问责性，也为持续改进提供了数据基础。运维可溯原则的核心理念借鉴了航空领域的飞行数据记录器（FDR）和座舱语音记录器（CVR）制度[42]——在航空事故调查中，这些“黑匣子”记录的数据是还原事故链条和改进安全设计的关键依据。</w:t>
      </w:r>
    </w:p>
    <w:p>
      <w:pPr>
        <w:spacing w:line="400" w:lineRule="exact" w:before="60" w:after="60"/>
        <w:ind w:firstLine="482"/>
      </w:pPr>
      <w:r>
        <w:rPr>
          <w:rFonts w:ascii="SimSun" w:hAnsi="SimSun" w:eastAsia="SimSun"/>
          <w:b w:val="0"/>
          <w:sz w:val="24"/>
        </w:rPr>
        <w:t>水网自主运行系统的“数字黑匣子”应至少记录以下信息：全量传感器原始数据及其质量标签；模型预测的输入、输出和中间状态；优化器的目标函数值、约束活跃情况和求解路径；最终控制指令及其执行确认；ODD状态的实时判断和模式切换记录；以及任何人工干预的时间、内容和依据。所有记录应采用防篡改的时间戳签名和分布式存储机制，确保事后审计的完整性和可信度。</w:t>
      </w:r>
    </w:p>
    <w:p>
      <w:pPr>
        <w:spacing w:line="400" w:lineRule="exact" w:before="60" w:after="60"/>
        <w:ind w:firstLine="482"/>
      </w:pPr>
      <w:r>
        <w:rPr>
          <w:rFonts w:ascii="SimSun" w:hAnsi="SimSun" w:eastAsia="SimSun"/>
          <w:b w:val="0"/>
          <w:sz w:val="24"/>
        </w:rPr>
        <w:t>可溯性的工程价值体现在三个方面。第一，事故调查——当系统出现异常行为时，可以精确还原决策链条，定位根因。第二，持续改进——通过分析历史决策数据，识别控制策略的薄弱环节，驱动模型更新和算法优化。第三，知识积累——将运行经验转化为结构化的场景库和规则库，使系统越运行越“聪明”，而非越运行越“退化”[43]。</w:t>
      </w:r>
    </w:p>
    <w:p>
      <w:pPr>
        <w:spacing w:before="200" w:after="160"/>
        <w:jc w:val="left"/>
      </w:pPr>
      <w:r>
        <w:rPr>
          <w:rFonts w:ascii="SimSun" w:hAnsi="SimSun" w:eastAsia="SimSun"/>
          <w:b/>
          <w:sz w:val="24"/>
        </w:rPr>
        <w:t>2.4.5 “四原则”的工程实施框架</w:t>
      </w:r>
    </w:p>
    <w:p>
      <w:pPr>
        <w:spacing w:line="400" w:lineRule="exact" w:before="60" w:after="60"/>
        <w:ind w:firstLine="482"/>
      </w:pPr>
      <w:r>
        <w:rPr>
          <w:rFonts w:ascii="SimSun" w:hAnsi="SimSun" w:eastAsia="SimSun"/>
          <w:b w:val="0"/>
          <w:sz w:val="24"/>
        </w:rPr>
        <w:t>除“四可”原则外，本报告还提出“安全、高效、协同、进化”四项运行原则，共同构成水网自主运行的原则体系。安全原则是底线——系统在任何工况下都不允许突破安全约束，宁可牺牲效率也要确保安全。高效原则是目标——在满足安全约束的前提下，追求水资源利用效率的最大化。协同原则是方法——多个控制单元、多个运行目标、多个利益相关方之间的协调优化。进化原则是特征——系统具备从运行中持续学习和改进的内生能力。</w:t>
      </w:r>
    </w:p>
    <w:p>
      <w:pPr>
        <w:spacing w:line="400" w:lineRule="exact" w:before="60" w:after="60"/>
        <w:ind w:firstLine="482"/>
      </w:pPr>
      <w:r>
        <w:rPr>
          <w:rFonts w:ascii="SimSun" w:hAnsi="SimSun" w:eastAsia="SimSun"/>
          <w:b w:val="0"/>
          <w:sz w:val="24"/>
        </w:rPr>
        <w:t>“四可”原则与“四原则”共同构成了如表2-3所示的工程实施框架：</w:t>
      </w:r>
    </w:p>
    <w:tbl>
      <w:tblPr>
        <w:tblW w:type="auto" w:w="0"/>
        <w:jc w:val="center"/>
        <w:tblLook w:firstColumn="1" w:firstRow="1" w:lastColumn="0" w:lastRow="0" w:noHBand="0" w:noVBand="1" w:val="04A0"/>
      </w:tblPr>
      <w:tblGrid>
        <w:gridCol w:w="2324"/>
        <w:gridCol w:w="2324"/>
        <w:gridCol w:w="2324"/>
        <w:gridCol w:w="2324"/>
      </w:tblGrid>
      <w:tr>
        <w:tc>
          <w:tcPr>
            <w:tcW w:type="dxa" w:w="1247"/>
            <w:shd w:fill="1F4E79"/>
          </w:tcPr>
          <w:p>
            <w:pPr>
              <w:jc w:val="center"/>
            </w:pPr>
            <w:r/>
            <w:r>
              <w:rPr>
                <w:rFonts w:ascii="SimSun" w:hAnsi="SimSun" w:eastAsia="SimSun"/>
                <w:b/>
                <w:color w:val="FFFFFF"/>
                <w:sz w:val="21"/>
              </w:rPr>
              <w:t>原则类别</w:t>
            </w:r>
          </w:p>
        </w:tc>
        <w:tc>
          <w:tcPr>
            <w:tcW w:type="dxa" w:w="1247"/>
            <w:shd w:fill="1F4E79"/>
          </w:tcPr>
          <w:p>
            <w:pPr>
              <w:jc w:val="center"/>
            </w:pPr>
            <w:r/>
            <w:r>
              <w:rPr>
                <w:rFonts w:ascii="SimSun" w:hAnsi="SimSun" w:eastAsia="SimSun"/>
                <w:b/>
                <w:color w:val="FFFFFF"/>
                <w:sz w:val="21"/>
              </w:rPr>
              <w:t>原则名称</w:t>
            </w:r>
          </w:p>
        </w:tc>
        <w:tc>
          <w:tcPr>
            <w:tcW w:type="dxa" w:w="2948"/>
            <w:shd w:fill="1F4E79"/>
          </w:tcPr>
          <w:p>
            <w:pPr>
              <w:jc w:val="center"/>
            </w:pPr>
            <w:r/>
            <w:r>
              <w:rPr>
                <w:rFonts w:ascii="SimSun" w:hAnsi="SimSun" w:eastAsia="SimSun"/>
                <w:b/>
                <w:color w:val="FFFFFF"/>
                <w:sz w:val="21"/>
              </w:rPr>
              <w:t>工程落地抓手</w:t>
            </w:r>
          </w:p>
        </w:tc>
        <w:tc>
          <w:tcPr>
            <w:tcW w:type="dxa" w:w="2608"/>
            <w:shd w:fill="1F4E79"/>
          </w:tcPr>
          <w:p>
            <w:pPr>
              <w:jc w:val="center"/>
            </w:pPr>
            <w:r/>
            <w:r>
              <w:rPr>
                <w:rFonts w:ascii="SimSun" w:hAnsi="SimSun" w:eastAsia="SimSun"/>
                <w:b/>
                <w:color w:val="FFFFFF"/>
                <w:sz w:val="21"/>
              </w:rPr>
              <w:t>验收/审计方法</w:t>
            </w:r>
          </w:p>
        </w:tc>
      </w:tr>
      <w:tr>
        <w:tc>
          <w:tcPr>
            <w:tcW w:type="dxa" w:w="1247"/>
          </w:tcPr>
          <w:p>
            <w:pPr>
              <w:jc w:val="center"/>
            </w:pPr>
            <w:r/>
            <w:r>
              <w:rPr>
                <w:rFonts w:ascii="SimSun" w:hAnsi="SimSun" w:eastAsia="SimSun"/>
                <w:b w:val="0"/>
                <w:sz w:val="20"/>
              </w:rPr>
              <w:t>四可原则</w:t>
            </w:r>
          </w:p>
        </w:tc>
        <w:tc>
          <w:tcPr>
            <w:tcW w:type="dxa" w:w="1247"/>
          </w:tcPr>
          <w:p>
            <w:pPr>
              <w:jc w:val="center"/>
            </w:pPr>
            <w:r/>
            <w:r>
              <w:rPr>
                <w:rFonts w:ascii="SimSun" w:hAnsi="SimSun" w:eastAsia="SimSun"/>
                <w:b w:val="0"/>
                <w:sz w:val="20"/>
              </w:rPr>
              <w:t>机理可信</w:t>
            </w:r>
          </w:p>
        </w:tc>
        <w:tc>
          <w:tcPr>
            <w:tcW w:type="dxa" w:w="2948"/>
          </w:tcPr>
          <w:p>
            <w:pPr>
              <w:jc w:val="center"/>
            </w:pPr>
            <w:r/>
            <w:r>
              <w:rPr>
                <w:rFonts w:ascii="SimSun" w:hAnsi="SimSun" w:eastAsia="SimSun"/>
                <w:b w:val="0"/>
                <w:sz w:val="20"/>
              </w:rPr>
              <w:t>模型族构建、物理一致性校验模块</w:t>
            </w:r>
          </w:p>
        </w:tc>
        <w:tc>
          <w:tcPr>
            <w:tcW w:type="dxa" w:w="2608"/>
          </w:tcPr>
          <w:p>
            <w:pPr>
              <w:jc w:val="center"/>
            </w:pPr>
            <w:r/>
            <w:r>
              <w:rPr>
                <w:rFonts w:ascii="SimSun" w:hAnsi="SimSun" w:eastAsia="SimSun"/>
                <w:b w:val="0"/>
                <w:sz w:val="20"/>
              </w:rPr>
              <w:t>模型精度测试报告</w:t>
            </w:r>
          </w:p>
        </w:tc>
      </w:tr>
      <w:tr>
        <w:tc>
          <w:tcPr>
            <w:tcW w:type="dxa" w:w="1247"/>
            <w:shd w:fill="F2F7FB"/>
          </w:tcPr>
          <w:p>
            <w:pPr>
              <w:jc w:val="center"/>
            </w:pPr>
            <w:r/>
            <w:r>
              <w:rPr>
                <w:rFonts w:ascii="SimSun" w:hAnsi="SimSun" w:eastAsia="SimSun"/>
                <w:b w:val="0"/>
                <w:sz w:val="20"/>
              </w:rPr>
              <w:t>四可原则</w:t>
            </w:r>
          </w:p>
        </w:tc>
        <w:tc>
          <w:tcPr>
            <w:tcW w:type="dxa" w:w="1247"/>
            <w:shd w:fill="F2F7FB"/>
          </w:tcPr>
          <w:p>
            <w:pPr>
              <w:jc w:val="center"/>
            </w:pPr>
            <w:r/>
            <w:r>
              <w:rPr>
                <w:rFonts w:ascii="SimSun" w:hAnsi="SimSun" w:eastAsia="SimSun"/>
                <w:b w:val="0"/>
                <w:sz w:val="20"/>
              </w:rPr>
              <w:t>边界可控</w:t>
            </w:r>
          </w:p>
        </w:tc>
        <w:tc>
          <w:tcPr>
            <w:tcW w:type="dxa" w:w="2948"/>
            <w:shd w:fill="F2F7FB"/>
          </w:tcPr>
          <w:p>
            <w:pPr>
              <w:jc w:val="center"/>
            </w:pPr>
            <w:r/>
            <w:r>
              <w:rPr>
                <w:rFonts w:ascii="SimSun" w:hAnsi="SimSun" w:eastAsia="SimSun"/>
                <w:b w:val="0"/>
                <w:sz w:val="20"/>
              </w:rPr>
              <w:t>硬约束编码、飞行包线保护模块</w:t>
            </w:r>
          </w:p>
        </w:tc>
        <w:tc>
          <w:tcPr>
            <w:tcW w:type="dxa" w:w="2608"/>
            <w:shd w:fill="F2F7FB"/>
          </w:tcPr>
          <w:p>
            <w:pPr>
              <w:jc w:val="center"/>
            </w:pPr>
            <w:r/>
            <w:r>
              <w:rPr>
                <w:rFonts w:ascii="SimSun" w:hAnsi="SimSun" w:eastAsia="SimSun"/>
                <w:b w:val="0"/>
                <w:sz w:val="20"/>
              </w:rPr>
              <w:t>约束覆盖率分析</w:t>
            </w:r>
          </w:p>
        </w:tc>
      </w:tr>
      <w:tr>
        <w:tc>
          <w:tcPr>
            <w:tcW w:type="dxa" w:w="1247"/>
          </w:tcPr>
          <w:p>
            <w:pPr>
              <w:jc w:val="center"/>
            </w:pPr>
            <w:r/>
            <w:r>
              <w:rPr>
                <w:rFonts w:ascii="SimSun" w:hAnsi="SimSun" w:eastAsia="SimSun"/>
                <w:b w:val="0"/>
                <w:sz w:val="20"/>
              </w:rPr>
              <w:t>四可原则</w:t>
            </w:r>
          </w:p>
        </w:tc>
        <w:tc>
          <w:tcPr>
            <w:tcW w:type="dxa" w:w="1247"/>
          </w:tcPr>
          <w:p>
            <w:pPr>
              <w:jc w:val="center"/>
            </w:pPr>
            <w:r/>
            <w:r>
              <w:rPr>
                <w:rFonts w:ascii="SimSun" w:hAnsi="SimSun" w:eastAsia="SimSun"/>
                <w:b w:val="0"/>
                <w:sz w:val="20"/>
              </w:rPr>
              <w:t>场景可验</w:t>
            </w:r>
          </w:p>
        </w:tc>
        <w:tc>
          <w:tcPr>
            <w:tcW w:type="dxa" w:w="2948"/>
          </w:tcPr>
          <w:p>
            <w:pPr>
              <w:jc w:val="center"/>
            </w:pPr>
            <w:r/>
            <w:r>
              <w:rPr>
                <w:rFonts w:ascii="SimSun" w:hAnsi="SimSun" w:eastAsia="SimSun"/>
                <w:b w:val="0"/>
                <w:sz w:val="20"/>
              </w:rPr>
              <w:t>场景库、SIL/HIL验证平台</w:t>
            </w:r>
          </w:p>
        </w:tc>
        <w:tc>
          <w:tcPr>
            <w:tcW w:type="dxa" w:w="2608"/>
          </w:tcPr>
          <w:p>
            <w:pPr>
              <w:jc w:val="center"/>
            </w:pPr>
            <w:r/>
            <w:r>
              <w:rPr>
                <w:rFonts w:ascii="SimSun" w:hAnsi="SimSun" w:eastAsia="SimSun"/>
                <w:b w:val="0"/>
                <w:sz w:val="20"/>
              </w:rPr>
              <w:t>场景通过率报告</w:t>
            </w:r>
          </w:p>
        </w:tc>
      </w:tr>
      <w:tr>
        <w:tc>
          <w:tcPr>
            <w:tcW w:type="dxa" w:w="1247"/>
            <w:shd w:fill="F2F7FB"/>
          </w:tcPr>
          <w:p>
            <w:pPr>
              <w:jc w:val="center"/>
            </w:pPr>
            <w:r/>
            <w:r>
              <w:rPr>
                <w:rFonts w:ascii="SimSun" w:hAnsi="SimSun" w:eastAsia="SimSun"/>
                <w:b w:val="0"/>
                <w:sz w:val="20"/>
              </w:rPr>
              <w:t>四可原则</w:t>
            </w:r>
          </w:p>
        </w:tc>
        <w:tc>
          <w:tcPr>
            <w:tcW w:type="dxa" w:w="1247"/>
            <w:shd w:fill="F2F7FB"/>
          </w:tcPr>
          <w:p>
            <w:pPr>
              <w:jc w:val="center"/>
            </w:pPr>
            <w:r/>
            <w:r>
              <w:rPr>
                <w:rFonts w:ascii="SimSun" w:hAnsi="SimSun" w:eastAsia="SimSun"/>
                <w:b w:val="0"/>
                <w:sz w:val="20"/>
              </w:rPr>
              <w:t>运维可溯</w:t>
            </w:r>
          </w:p>
        </w:tc>
        <w:tc>
          <w:tcPr>
            <w:tcW w:type="dxa" w:w="2948"/>
            <w:shd w:fill="F2F7FB"/>
          </w:tcPr>
          <w:p>
            <w:pPr>
              <w:jc w:val="center"/>
            </w:pPr>
            <w:r/>
            <w:r>
              <w:rPr>
                <w:rFonts w:ascii="SimSun" w:hAnsi="SimSun" w:eastAsia="SimSun"/>
                <w:b w:val="0"/>
                <w:sz w:val="20"/>
              </w:rPr>
              <w:t>数字黑匣子、审计日志系统</w:t>
            </w:r>
          </w:p>
        </w:tc>
        <w:tc>
          <w:tcPr>
            <w:tcW w:type="dxa" w:w="2608"/>
            <w:shd w:fill="F2F7FB"/>
          </w:tcPr>
          <w:p>
            <w:pPr>
              <w:jc w:val="center"/>
            </w:pPr>
            <w:r/>
            <w:r>
              <w:rPr>
                <w:rFonts w:ascii="SimSun" w:hAnsi="SimSun" w:eastAsia="SimSun"/>
                <w:b w:val="0"/>
                <w:sz w:val="20"/>
              </w:rPr>
              <w:t>事件回溯演练</w:t>
            </w:r>
          </w:p>
        </w:tc>
      </w:tr>
      <w:tr>
        <w:tc>
          <w:tcPr>
            <w:tcW w:type="dxa" w:w="1247"/>
          </w:tcPr>
          <w:p>
            <w:pPr>
              <w:jc w:val="center"/>
            </w:pPr>
            <w:r/>
            <w:r>
              <w:rPr>
                <w:rFonts w:ascii="SimSun" w:hAnsi="SimSun" w:eastAsia="SimSun"/>
                <w:b w:val="0"/>
                <w:sz w:val="20"/>
              </w:rPr>
              <w:t>四原则</w:t>
            </w:r>
          </w:p>
        </w:tc>
        <w:tc>
          <w:tcPr>
            <w:tcW w:type="dxa" w:w="1247"/>
          </w:tcPr>
          <w:p>
            <w:pPr>
              <w:jc w:val="center"/>
            </w:pPr>
            <w:r/>
            <w:r>
              <w:rPr>
                <w:rFonts w:ascii="SimSun" w:hAnsi="SimSun" w:eastAsia="SimSun"/>
                <w:b w:val="0"/>
                <w:sz w:val="20"/>
              </w:rPr>
              <w:t>安全优先</w:t>
            </w:r>
          </w:p>
        </w:tc>
        <w:tc>
          <w:tcPr>
            <w:tcW w:type="dxa" w:w="2948"/>
          </w:tcPr>
          <w:p>
            <w:pPr>
              <w:jc w:val="center"/>
            </w:pPr>
            <w:r/>
            <w:r>
              <w:rPr>
                <w:rFonts w:ascii="SimSun" w:hAnsi="SimSun" w:eastAsia="SimSun"/>
                <w:b w:val="0"/>
                <w:sz w:val="20"/>
              </w:rPr>
              <w:t>多层安全保护、故障安全设计</w:t>
            </w:r>
          </w:p>
        </w:tc>
        <w:tc>
          <w:tcPr>
            <w:tcW w:type="dxa" w:w="2608"/>
          </w:tcPr>
          <w:p>
            <w:pPr>
              <w:jc w:val="center"/>
            </w:pPr>
            <w:r/>
            <w:r>
              <w:rPr>
                <w:rFonts w:ascii="SimSun" w:hAnsi="SimSun" w:eastAsia="SimSun"/>
                <w:b w:val="0"/>
                <w:sz w:val="20"/>
              </w:rPr>
              <w:t>FMEA/HAZOP分析</w:t>
            </w:r>
          </w:p>
        </w:tc>
      </w:tr>
      <w:tr>
        <w:tc>
          <w:tcPr>
            <w:tcW w:type="dxa" w:w="1247"/>
            <w:shd w:fill="F2F7FB"/>
          </w:tcPr>
          <w:p>
            <w:pPr>
              <w:jc w:val="center"/>
            </w:pPr>
            <w:r/>
            <w:r>
              <w:rPr>
                <w:rFonts w:ascii="SimSun" w:hAnsi="SimSun" w:eastAsia="SimSun"/>
                <w:b w:val="0"/>
                <w:sz w:val="20"/>
              </w:rPr>
              <w:t>四原则</w:t>
            </w:r>
          </w:p>
        </w:tc>
        <w:tc>
          <w:tcPr>
            <w:tcW w:type="dxa" w:w="1247"/>
            <w:shd w:fill="F2F7FB"/>
          </w:tcPr>
          <w:p>
            <w:pPr>
              <w:jc w:val="center"/>
            </w:pPr>
            <w:r/>
            <w:r>
              <w:rPr>
                <w:rFonts w:ascii="SimSun" w:hAnsi="SimSun" w:eastAsia="SimSun"/>
                <w:b w:val="0"/>
                <w:sz w:val="20"/>
              </w:rPr>
              <w:t>运行高效</w:t>
            </w:r>
          </w:p>
        </w:tc>
        <w:tc>
          <w:tcPr>
            <w:tcW w:type="dxa" w:w="2948"/>
            <w:shd w:fill="F2F7FB"/>
          </w:tcPr>
          <w:p>
            <w:pPr>
              <w:jc w:val="center"/>
            </w:pPr>
            <w:r/>
            <w:r>
              <w:rPr>
                <w:rFonts w:ascii="SimSun" w:hAnsi="SimSun" w:eastAsia="SimSun"/>
                <w:b w:val="0"/>
                <w:sz w:val="20"/>
              </w:rPr>
              <w:t>MPC优化器、多目标权衡策略</w:t>
            </w:r>
          </w:p>
        </w:tc>
        <w:tc>
          <w:tcPr>
            <w:tcW w:type="dxa" w:w="2608"/>
            <w:shd w:fill="F2F7FB"/>
          </w:tcPr>
          <w:p>
            <w:pPr>
              <w:jc w:val="center"/>
            </w:pPr>
            <w:r/>
            <w:r>
              <w:rPr>
                <w:rFonts w:ascii="SimSun" w:hAnsi="SimSun" w:eastAsia="SimSun"/>
                <w:b w:val="0"/>
                <w:sz w:val="20"/>
              </w:rPr>
              <w:t>KPI统计分析</w:t>
            </w:r>
          </w:p>
        </w:tc>
      </w:tr>
      <w:tr>
        <w:tc>
          <w:tcPr>
            <w:tcW w:type="dxa" w:w="1247"/>
          </w:tcPr>
          <w:p>
            <w:pPr>
              <w:jc w:val="center"/>
            </w:pPr>
            <w:r/>
            <w:r>
              <w:rPr>
                <w:rFonts w:ascii="SimSun" w:hAnsi="SimSun" w:eastAsia="SimSun"/>
                <w:b w:val="0"/>
                <w:sz w:val="20"/>
              </w:rPr>
              <w:t>四原则</w:t>
            </w:r>
          </w:p>
        </w:tc>
        <w:tc>
          <w:tcPr>
            <w:tcW w:type="dxa" w:w="1247"/>
          </w:tcPr>
          <w:p>
            <w:pPr>
              <w:jc w:val="center"/>
            </w:pPr>
            <w:r/>
            <w:r>
              <w:rPr>
                <w:rFonts w:ascii="SimSun" w:hAnsi="SimSun" w:eastAsia="SimSun"/>
                <w:b w:val="0"/>
                <w:sz w:val="20"/>
              </w:rPr>
              <w:t>系统协同</w:t>
            </w:r>
          </w:p>
        </w:tc>
        <w:tc>
          <w:tcPr>
            <w:tcW w:type="dxa" w:w="2948"/>
          </w:tcPr>
          <w:p>
            <w:pPr>
              <w:jc w:val="center"/>
            </w:pPr>
            <w:r/>
            <w:r>
              <w:rPr>
                <w:rFonts w:ascii="SimSun" w:hAnsi="SimSun" w:eastAsia="SimSun"/>
                <w:b w:val="0"/>
                <w:sz w:val="20"/>
              </w:rPr>
              <w:t>分布式控制协议、一致性算法</w:t>
            </w:r>
          </w:p>
        </w:tc>
        <w:tc>
          <w:tcPr>
            <w:tcW w:type="dxa" w:w="2608"/>
          </w:tcPr>
          <w:p>
            <w:pPr>
              <w:jc w:val="center"/>
            </w:pPr>
            <w:r/>
            <w:r>
              <w:rPr>
                <w:rFonts w:ascii="SimSun" w:hAnsi="SimSun" w:eastAsia="SimSun"/>
                <w:b w:val="0"/>
                <w:sz w:val="20"/>
              </w:rPr>
              <w:t>协调性测试</w:t>
            </w:r>
          </w:p>
        </w:tc>
      </w:tr>
      <w:tr>
        <w:tc>
          <w:tcPr>
            <w:tcW w:type="dxa" w:w="1247"/>
            <w:shd w:fill="F2F7FB"/>
          </w:tcPr>
          <w:p>
            <w:pPr>
              <w:jc w:val="center"/>
            </w:pPr>
            <w:r/>
            <w:r>
              <w:rPr>
                <w:rFonts w:ascii="SimSun" w:hAnsi="SimSun" w:eastAsia="SimSun"/>
                <w:b w:val="0"/>
                <w:sz w:val="20"/>
              </w:rPr>
              <w:t>四原则</w:t>
            </w:r>
          </w:p>
        </w:tc>
        <w:tc>
          <w:tcPr>
            <w:tcW w:type="dxa" w:w="1247"/>
            <w:shd w:fill="F2F7FB"/>
          </w:tcPr>
          <w:p>
            <w:pPr>
              <w:jc w:val="center"/>
            </w:pPr>
            <w:r/>
            <w:r>
              <w:rPr>
                <w:rFonts w:ascii="SimSun" w:hAnsi="SimSun" w:eastAsia="SimSun"/>
                <w:b w:val="0"/>
                <w:sz w:val="20"/>
              </w:rPr>
              <w:t>持续进化</w:t>
            </w:r>
          </w:p>
        </w:tc>
        <w:tc>
          <w:tcPr>
            <w:tcW w:type="dxa" w:w="2948"/>
            <w:shd w:fill="F2F7FB"/>
          </w:tcPr>
          <w:p>
            <w:pPr>
              <w:jc w:val="center"/>
            </w:pPr>
            <w:r/>
            <w:r>
              <w:rPr>
                <w:rFonts w:ascii="SimSun" w:hAnsi="SimSun" w:eastAsia="SimSun"/>
                <w:b w:val="0"/>
                <w:sz w:val="20"/>
              </w:rPr>
              <w:t>在线学习、版本管理、A/B测试</w:t>
            </w:r>
          </w:p>
        </w:tc>
        <w:tc>
          <w:tcPr>
            <w:tcW w:type="dxa" w:w="2608"/>
            <w:shd w:fill="F2F7FB"/>
          </w:tcPr>
          <w:p>
            <w:pPr>
              <w:jc w:val="center"/>
            </w:pPr>
            <w:r/>
            <w:r>
              <w:rPr>
                <w:rFonts w:ascii="SimSun" w:hAnsi="SimSun" w:eastAsia="SimSun"/>
                <w:b w:val="0"/>
                <w:sz w:val="20"/>
              </w:rPr>
              <w:t>模型漂移检测</w:t>
            </w:r>
          </w:p>
        </w:tc>
      </w:tr>
    </w:tbl>
    <w:p>
      <w:pPr>
        <w:spacing w:before="60" w:after="120"/>
        <w:jc w:val="center"/>
      </w:pPr>
      <w:r>
        <w:rPr>
          <w:rFonts w:ascii="SimSun" w:hAnsi="SimSun" w:eastAsia="SimSun"/>
          <w:b w:val="0"/>
          <w:i/>
          <w:color w:val="555555"/>
          <w:sz w:val="20"/>
        </w:rPr>
        <w:t>表2-3  “四可/四原则”工程实施框架</w:t>
      </w:r>
    </w:p>
    <w:p>
      <w:pPr>
        <w:spacing w:before="280" w:after="200"/>
        <w:jc w:val="left"/>
      </w:pPr>
      <w:r>
        <w:rPr>
          <w:rFonts w:ascii="SimSun" w:hAnsi="SimSun" w:eastAsia="SimSun"/>
          <w:b/>
          <w:sz w:val="28"/>
        </w:rPr>
        <w:t>2.5 国际分级体系对标与差距分析</w:t>
      </w:r>
    </w:p>
    <w:p>
      <w:pPr>
        <w:spacing w:before="200" w:after="160"/>
        <w:jc w:val="left"/>
      </w:pPr>
      <w:r>
        <w:rPr>
          <w:rFonts w:ascii="SimSun" w:hAnsi="SimSun" w:eastAsia="SimSun"/>
          <w:b/>
          <w:sz w:val="24"/>
        </w:rPr>
        <w:t>2.5.1 汽车行业SAE J3016对标</w:t>
      </w:r>
    </w:p>
    <w:p>
      <w:pPr>
        <w:spacing w:line="400" w:lineRule="exact" w:before="60" w:after="60"/>
        <w:ind w:firstLine="482"/>
      </w:pPr>
      <w:r>
        <w:rPr>
          <w:rFonts w:ascii="SimSun" w:hAnsi="SimSun" w:eastAsia="SimSun"/>
          <w:b w:val="0"/>
          <w:sz w:val="24"/>
        </w:rPr>
        <w:t>SAE J3016标准将自动驾驶分为L0至L5六个等级[13]。水网自主运行的L0至L4分级体系与之具有清晰的映射关系，但也存在关键差异。第一，水网系统取消了L5等级——在可预见的未来，水网系统不可能实现无条件的完全自主（即在任何环境条件下都无需人工介入），因为水文极端事件的尾部分布具有不可穷尽性。第二，水网系统的L2到L3跃迁涉及“空间耦合”维度——汽车的L2级自适应巡航加车道保持与L3级交通拥堵自动驾驶之间的差异主要在于情景复杂度；而水网的L2级局部闭环与L3级系统协调之间的差异还涉及物理耦合关系的建模和处理。</w:t>
      </w:r>
    </w:p>
    <w:p>
      <w:pPr>
        <w:spacing w:line="400" w:lineRule="exact" w:before="60" w:after="60"/>
        <w:ind w:firstLine="482"/>
      </w:pPr>
      <w:r>
        <w:rPr>
          <w:rFonts w:ascii="SimSun" w:hAnsi="SimSun" w:eastAsia="SimSun"/>
          <w:b w:val="0"/>
          <w:sz w:val="24"/>
        </w:rPr>
        <w:t>从汽车行业可以借鉴的核心经验包括：ODD的精确定义方法、最小风险状态（Minimal Risk Condition, MRC）的概念——即系统在失去自主能力时应自动进入的安全状态[44]、以及接管请求（Take-Over Request, TOR）的设计规范——包括提前时间、信息呈现方式和确认机制[22]。</w:t>
      </w:r>
    </w:p>
    <w:p>
      <w:pPr>
        <w:spacing w:before="200" w:after="160"/>
        <w:jc w:val="left"/>
      </w:pPr>
      <w:r>
        <w:rPr>
          <w:rFonts w:ascii="SimSun" w:hAnsi="SimSun" w:eastAsia="SimSun"/>
          <w:b/>
          <w:sz w:val="24"/>
        </w:rPr>
        <w:t>2.5.2 航空行业自动化等级对标</w:t>
      </w:r>
    </w:p>
    <w:p>
      <w:pPr>
        <w:spacing w:line="400" w:lineRule="exact" w:before="60" w:after="60"/>
        <w:ind w:firstLine="482"/>
      </w:pPr>
      <w:r>
        <w:rPr>
          <w:rFonts w:ascii="SimSun" w:hAnsi="SimSun" w:eastAsia="SimSun"/>
          <w:b w:val="0"/>
          <w:sz w:val="24"/>
        </w:rPr>
        <w:t>航空行业的飞行自动化经历了从手动飞行到自动飞行再到自动着陆的渐进发展过程，其等级体系与水网分级存在深刻的对应关系。国际民航组织（ICAO）将自动着陆分为CAT I、CAT II、CAT IIIA/B/C等等级[45]，每个等级对应不同的能见度条件和决断高度要求。</w:t>
      </w:r>
    </w:p>
    <w:p>
      <w:pPr>
        <w:spacing w:line="400" w:lineRule="exact" w:before="60" w:after="60"/>
        <w:ind w:firstLine="482"/>
      </w:pPr>
      <w:r>
        <w:rPr>
          <w:rFonts w:ascii="SimSun" w:hAnsi="SimSun" w:eastAsia="SimSun"/>
          <w:b w:val="0"/>
          <w:sz w:val="24"/>
        </w:rPr>
        <w:t>航空行业对水利行业最重要的启示是“安全关键软件”的工程管理方法。DO-178C标准[14]建立了完整的软件开发生命周期保证体系，核心理念是“验证深度与风险等级匹配”——软件失效后果越严重，验证要求越严格。DO-178C将软件分为A至E五个设计保证等级（DAL），其中A级（灾难性失效）要求修改条件判定覆盖率（MC/DC）达到100%。这一理念可以直接映射到水网自主运行系统：控制防洪安全的核心算法应按照最高DAL等级进行验证，而非安全关键的优化算法可以适当降低验证等级。</w:t>
      </w:r>
    </w:p>
    <w:p>
      <w:pPr>
        <w:spacing w:before="200" w:after="160"/>
        <w:jc w:val="left"/>
      </w:pPr>
      <w:r>
        <w:rPr>
          <w:rFonts w:ascii="SimSun" w:hAnsi="SimSun" w:eastAsia="SimSun"/>
          <w:b/>
          <w:sz w:val="24"/>
        </w:rPr>
        <w:t>2.5.3 电力行业调度自动化对标</w:t>
      </w:r>
    </w:p>
    <w:p>
      <w:pPr>
        <w:spacing w:line="400" w:lineRule="exact" w:before="60" w:after="60"/>
        <w:ind w:firstLine="482"/>
      </w:pPr>
      <w:r>
        <w:rPr>
          <w:rFonts w:ascii="SimSun" w:hAnsi="SimSun" w:eastAsia="SimSun"/>
          <w:b w:val="0"/>
          <w:sz w:val="24"/>
        </w:rPr>
        <w:t>电力行业是目前大型基础设施中自动化和自主化水平最高的行业之一。电力系统的调度自动化经历了三个阶段：第一阶段——SCADA/EMS（能量管理系统），实现了发电和输电系统的集中监控和辅助决策；第二阶段——AGC/AVC（自动发电控制/自动电压控制），实现了频率和电压的自动闭环调节[46]；第三阶段——智能电网，通过分布式能源管理和需求侧响应实现更高层次的系统优化。</w:t>
      </w:r>
    </w:p>
    <w:p>
      <w:pPr>
        <w:spacing w:line="400" w:lineRule="exact" w:before="60" w:after="60"/>
        <w:ind w:firstLine="482"/>
      </w:pPr>
      <w:r>
        <w:rPr>
          <w:rFonts w:ascii="SimSun" w:hAnsi="SimSun" w:eastAsia="SimSun"/>
          <w:b w:val="0"/>
          <w:sz w:val="24"/>
        </w:rPr>
        <w:t>电力行业的成功经验可以概括为三点。第一，标准化的信息模型——IEC 61850[47]和CIM（公共信息模型）实现了不同厂商设备之间的互操作性，这是大规模系统集成的基础。水利行业目前缺乏类似的统一信息模型标准，导致不同厂商的设备和系统难以集成。第二，分层分布式控制架构——从设备层的就地控制，到区域层的协调控制，再到系统层的全局优化，形成清晰的层级结构。第三，严格的并网测试——任何新设备接入电网前必须通过严格的型式试验和并网测试，确保不会影响电网的安全稳定运行[48]。这一理念对水网自主系统的“工程准入”具有直接的借鉴意义。</w:t>
      </w:r>
    </w:p>
    <w:p>
      <w:pPr>
        <w:spacing w:before="200" w:after="160"/>
        <w:jc w:val="left"/>
      </w:pPr>
      <w:r>
        <w:rPr>
          <w:rFonts w:ascii="SimSun" w:hAnsi="SimSun" w:eastAsia="SimSun"/>
          <w:b/>
          <w:sz w:val="24"/>
        </w:rPr>
        <w:t>2.5.4 水利行业差距分析</w:t>
      </w:r>
    </w:p>
    <w:p>
      <w:pPr>
        <w:spacing w:line="400" w:lineRule="exact" w:before="60" w:after="60"/>
        <w:ind w:firstLine="482"/>
      </w:pPr>
      <w:r>
        <w:rPr>
          <w:rFonts w:ascii="SimSun" w:hAnsi="SimSun" w:eastAsia="SimSun"/>
          <w:b w:val="0"/>
          <w:sz w:val="24"/>
        </w:rPr>
        <w:t>通过与上述三个行业的系统性对标，可以清晰地识别出水利行业在自主运行方面存在的五大差距：</w:t>
      </w:r>
    </w:p>
    <w:tbl>
      <w:tblPr>
        <w:tblW w:type="auto" w:w="0"/>
        <w:jc w:val="center"/>
        <w:tblLook w:firstColumn="1" w:firstRow="1" w:lastColumn="0" w:lastRow="0" w:noHBand="0" w:noVBand="1" w:val="04A0"/>
      </w:tblPr>
      <w:tblGrid>
        <w:gridCol w:w="2324"/>
        <w:gridCol w:w="2324"/>
        <w:gridCol w:w="2324"/>
        <w:gridCol w:w="2324"/>
      </w:tblGrid>
      <w:tr>
        <w:tc>
          <w:tcPr>
            <w:tcW w:type="dxa" w:w="1361"/>
            <w:shd w:fill="1F4E79"/>
          </w:tcPr>
          <w:p>
            <w:pPr>
              <w:jc w:val="center"/>
            </w:pPr>
            <w:r/>
            <w:r>
              <w:rPr>
                <w:rFonts w:ascii="SimSun" w:hAnsi="SimSun" w:eastAsia="SimSun"/>
                <w:b/>
                <w:color w:val="FFFFFF"/>
                <w:sz w:val="21"/>
              </w:rPr>
              <w:t>差距维度</w:t>
            </w:r>
          </w:p>
        </w:tc>
        <w:tc>
          <w:tcPr>
            <w:tcW w:type="dxa" w:w="2494"/>
            <w:shd w:fill="1F4E79"/>
          </w:tcPr>
          <w:p>
            <w:pPr>
              <w:jc w:val="center"/>
            </w:pPr>
            <w:r/>
            <w:r>
              <w:rPr>
                <w:rFonts w:ascii="SimSun" w:hAnsi="SimSun" w:eastAsia="SimSun"/>
                <w:b/>
                <w:color w:val="FFFFFF"/>
                <w:sz w:val="21"/>
              </w:rPr>
              <w:t>先进行业现状</w:t>
            </w:r>
          </w:p>
        </w:tc>
        <w:tc>
          <w:tcPr>
            <w:tcW w:type="dxa" w:w="2041"/>
            <w:shd w:fill="1F4E79"/>
          </w:tcPr>
          <w:p>
            <w:pPr>
              <w:jc w:val="center"/>
            </w:pPr>
            <w:r/>
            <w:r>
              <w:rPr>
                <w:rFonts w:ascii="SimSun" w:hAnsi="SimSun" w:eastAsia="SimSun"/>
                <w:b/>
                <w:color w:val="FFFFFF"/>
                <w:sz w:val="21"/>
              </w:rPr>
              <w:t>水利行业现状</w:t>
            </w:r>
          </w:p>
        </w:tc>
        <w:tc>
          <w:tcPr>
            <w:tcW w:type="dxa" w:w="2154"/>
            <w:shd w:fill="1F4E79"/>
          </w:tcPr>
          <w:p>
            <w:pPr>
              <w:jc w:val="center"/>
            </w:pPr>
            <w:r/>
            <w:r>
              <w:rPr>
                <w:rFonts w:ascii="SimSun" w:hAnsi="SimSun" w:eastAsia="SimSun"/>
                <w:b/>
                <w:color w:val="FFFFFF"/>
                <w:sz w:val="21"/>
              </w:rPr>
              <w:t>弥合路径</w:t>
            </w:r>
          </w:p>
        </w:tc>
      </w:tr>
      <w:tr>
        <w:tc>
          <w:tcPr>
            <w:tcW w:type="dxa" w:w="1361"/>
          </w:tcPr>
          <w:p>
            <w:pPr>
              <w:jc w:val="center"/>
            </w:pPr>
            <w:r/>
            <w:r>
              <w:rPr>
                <w:rFonts w:ascii="SimSun" w:hAnsi="SimSun" w:eastAsia="SimSun"/>
                <w:b w:val="0"/>
                <w:sz w:val="20"/>
              </w:rPr>
              <w:t>分级标准</w:t>
            </w:r>
          </w:p>
        </w:tc>
        <w:tc>
          <w:tcPr>
            <w:tcW w:type="dxa" w:w="2494"/>
          </w:tcPr>
          <w:p>
            <w:pPr>
              <w:jc w:val="center"/>
            </w:pPr>
            <w:r/>
            <w:r>
              <w:rPr>
                <w:rFonts w:ascii="SimSun" w:hAnsi="SimSun" w:eastAsia="SimSun"/>
                <w:b w:val="0"/>
                <w:sz w:val="20"/>
              </w:rPr>
              <w:t>SAE J3016（6级）/ DO-178C（5级DAL）</w:t>
            </w:r>
          </w:p>
        </w:tc>
        <w:tc>
          <w:tcPr>
            <w:tcW w:type="dxa" w:w="2041"/>
          </w:tcPr>
          <w:p>
            <w:pPr>
              <w:jc w:val="center"/>
            </w:pPr>
            <w:r/>
            <w:r>
              <w:rPr>
                <w:rFonts w:ascii="SimSun" w:hAnsi="SimSun" w:eastAsia="SimSun"/>
                <w:b w:val="0"/>
                <w:sz w:val="20"/>
              </w:rPr>
              <w:t>尚无统一分级标准</w:t>
            </w:r>
          </w:p>
        </w:tc>
        <w:tc>
          <w:tcPr>
            <w:tcW w:type="dxa" w:w="2154"/>
          </w:tcPr>
          <w:p>
            <w:pPr>
              <w:jc w:val="center"/>
            </w:pPr>
            <w:r/>
            <w:r>
              <w:rPr>
                <w:rFonts w:ascii="SimSun" w:hAnsi="SimSun" w:eastAsia="SimSun"/>
                <w:b w:val="0"/>
                <w:sz w:val="20"/>
              </w:rPr>
              <w:t>制定水网自主运行分级国标</w:t>
            </w:r>
          </w:p>
        </w:tc>
      </w:tr>
      <w:tr>
        <w:tc>
          <w:tcPr>
            <w:tcW w:type="dxa" w:w="1361"/>
            <w:shd w:fill="F2F7FB"/>
          </w:tcPr>
          <w:p>
            <w:pPr>
              <w:jc w:val="center"/>
            </w:pPr>
            <w:r/>
            <w:r>
              <w:rPr>
                <w:rFonts w:ascii="SimSun" w:hAnsi="SimSun" w:eastAsia="SimSun"/>
                <w:b w:val="0"/>
                <w:sz w:val="20"/>
              </w:rPr>
              <w:t>ODD定义方法</w:t>
            </w:r>
          </w:p>
        </w:tc>
        <w:tc>
          <w:tcPr>
            <w:tcW w:type="dxa" w:w="2494"/>
            <w:shd w:fill="F2F7FB"/>
          </w:tcPr>
          <w:p>
            <w:pPr>
              <w:jc w:val="center"/>
            </w:pPr>
            <w:r/>
            <w:r>
              <w:rPr>
                <w:rFonts w:ascii="SimSun" w:hAnsi="SimSun" w:eastAsia="SimSun"/>
                <w:b w:val="0"/>
                <w:sz w:val="20"/>
              </w:rPr>
              <w:t>BSI PAS 1883结构化分类</w:t>
            </w:r>
          </w:p>
        </w:tc>
        <w:tc>
          <w:tcPr>
            <w:tcW w:type="dxa" w:w="2041"/>
            <w:shd w:fill="F2F7FB"/>
          </w:tcPr>
          <w:p>
            <w:pPr>
              <w:jc w:val="center"/>
            </w:pPr>
            <w:r/>
            <w:r>
              <w:rPr>
                <w:rFonts w:ascii="SimSun" w:hAnsi="SimSun" w:eastAsia="SimSun"/>
                <w:b w:val="0"/>
                <w:sz w:val="20"/>
              </w:rPr>
              <w:t>无系统性ODD方法论</w:t>
            </w:r>
          </w:p>
        </w:tc>
        <w:tc>
          <w:tcPr>
            <w:tcW w:type="dxa" w:w="2154"/>
            <w:shd w:fill="F2F7FB"/>
          </w:tcPr>
          <w:p>
            <w:pPr>
              <w:jc w:val="center"/>
            </w:pPr>
            <w:r/>
            <w:r>
              <w:rPr>
                <w:rFonts w:ascii="SimSun" w:hAnsi="SimSun" w:eastAsia="SimSun"/>
                <w:b w:val="0"/>
                <w:sz w:val="20"/>
              </w:rPr>
              <w:t>建立水网ODD多维框架</w:t>
            </w:r>
          </w:p>
        </w:tc>
      </w:tr>
      <w:tr>
        <w:tc>
          <w:tcPr>
            <w:tcW w:type="dxa" w:w="1361"/>
          </w:tcPr>
          <w:p>
            <w:pPr>
              <w:jc w:val="center"/>
            </w:pPr>
            <w:r/>
            <w:r>
              <w:rPr>
                <w:rFonts w:ascii="SimSun" w:hAnsi="SimSun" w:eastAsia="SimSun"/>
                <w:b w:val="0"/>
                <w:sz w:val="20"/>
              </w:rPr>
              <w:t>场景验证体系</w:t>
            </w:r>
          </w:p>
        </w:tc>
        <w:tc>
          <w:tcPr>
            <w:tcW w:type="dxa" w:w="2494"/>
          </w:tcPr>
          <w:p>
            <w:pPr>
              <w:jc w:val="center"/>
            </w:pPr>
            <w:r/>
            <w:r>
              <w:rPr>
                <w:rFonts w:ascii="SimSun" w:hAnsi="SimSun" w:eastAsia="SimSun"/>
                <w:b w:val="0"/>
                <w:sz w:val="20"/>
              </w:rPr>
              <w:t>EURO NCAP / 适航认证体系</w:t>
            </w:r>
          </w:p>
        </w:tc>
        <w:tc>
          <w:tcPr>
            <w:tcW w:type="dxa" w:w="2041"/>
          </w:tcPr>
          <w:p>
            <w:pPr>
              <w:jc w:val="center"/>
            </w:pPr>
            <w:r/>
            <w:r>
              <w:rPr>
                <w:rFonts w:ascii="SimSun" w:hAnsi="SimSun" w:eastAsia="SimSun"/>
                <w:b w:val="0"/>
                <w:sz w:val="20"/>
              </w:rPr>
              <w:t>以功能演示为主</w:t>
            </w:r>
          </w:p>
        </w:tc>
        <w:tc>
          <w:tcPr>
            <w:tcW w:type="dxa" w:w="2154"/>
          </w:tcPr>
          <w:p>
            <w:pPr>
              <w:jc w:val="center"/>
            </w:pPr>
            <w:r/>
            <w:r>
              <w:rPr>
                <w:rFonts w:ascii="SimSun" w:hAnsi="SimSun" w:eastAsia="SimSun"/>
                <w:b w:val="0"/>
                <w:sz w:val="20"/>
              </w:rPr>
              <w:t>构建SIL/HIL验证平台</w:t>
            </w:r>
          </w:p>
        </w:tc>
      </w:tr>
      <w:tr>
        <w:tc>
          <w:tcPr>
            <w:tcW w:type="dxa" w:w="1361"/>
            <w:shd w:fill="F2F7FB"/>
          </w:tcPr>
          <w:p>
            <w:pPr>
              <w:jc w:val="center"/>
            </w:pPr>
            <w:r/>
            <w:r>
              <w:rPr>
                <w:rFonts w:ascii="SimSun" w:hAnsi="SimSun" w:eastAsia="SimSun"/>
                <w:b w:val="0"/>
                <w:sz w:val="20"/>
              </w:rPr>
              <w:t>安全认证</w:t>
            </w:r>
          </w:p>
        </w:tc>
        <w:tc>
          <w:tcPr>
            <w:tcW w:type="dxa" w:w="2494"/>
            <w:shd w:fill="F2F7FB"/>
          </w:tcPr>
          <w:p>
            <w:pPr>
              <w:jc w:val="center"/>
            </w:pPr>
            <w:r/>
            <w:r>
              <w:rPr>
                <w:rFonts w:ascii="SimSun" w:hAnsi="SimSun" w:eastAsia="SimSun"/>
                <w:b w:val="0"/>
                <w:sz w:val="20"/>
              </w:rPr>
              <w:t>DO-178C / ISO 26262</w:t>
            </w:r>
          </w:p>
        </w:tc>
        <w:tc>
          <w:tcPr>
            <w:tcW w:type="dxa" w:w="2041"/>
            <w:shd w:fill="F2F7FB"/>
          </w:tcPr>
          <w:p>
            <w:pPr>
              <w:jc w:val="center"/>
            </w:pPr>
            <w:r/>
            <w:r>
              <w:rPr>
                <w:rFonts w:ascii="SimSun" w:hAnsi="SimSun" w:eastAsia="SimSun"/>
                <w:b w:val="0"/>
                <w:sz w:val="20"/>
              </w:rPr>
              <w:t>无安全关键软件标准</w:t>
            </w:r>
          </w:p>
        </w:tc>
        <w:tc>
          <w:tcPr>
            <w:tcW w:type="dxa" w:w="2154"/>
            <w:shd w:fill="F2F7FB"/>
          </w:tcPr>
          <w:p>
            <w:pPr>
              <w:jc w:val="center"/>
            </w:pPr>
            <w:r/>
            <w:r>
              <w:rPr>
                <w:rFonts w:ascii="SimSun" w:hAnsi="SimSun" w:eastAsia="SimSun"/>
                <w:b w:val="0"/>
                <w:sz w:val="20"/>
              </w:rPr>
              <w:t>建立水利ASIL分级</w:t>
            </w:r>
          </w:p>
        </w:tc>
      </w:tr>
      <w:tr>
        <w:tc>
          <w:tcPr>
            <w:tcW w:type="dxa" w:w="1361"/>
          </w:tcPr>
          <w:p>
            <w:pPr>
              <w:jc w:val="center"/>
            </w:pPr>
            <w:r/>
            <w:r>
              <w:rPr>
                <w:rFonts w:ascii="SimSun" w:hAnsi="SimSun" w:eastAsia="SimSun"/>
                <w:b w:val="0"/>
                <w:sz w:val="20"/>
              </w:rPr>
              <w:t>信息模型标准</w:t>
            </w:r>
          </w:p>
        </w:tc>
        <w:tc>
          <w:tcPr>
            <w:tcW w:type="dxa" w:w="2494"/>
          </w:tcPr>
          <w:p>
            <w:pPr>
              <w:jc w:val="center"/>
            </w:pPr>
            <w:r/>
            <w:r>
              <w:rPr>
                <w:rFonts w:ascii="SimSun" w:hAnsi="SimSun" w:eastAsia="SimSun"/>
                <w:b w:val="0"/>
                <w:sz w:val="20"/>
              </w:rPr>
              <w:t>IEC 61850 / CIM</w:t>
            </w:r>
          </w:p>
        </w:tc>
        <w:tc>
          <w:tcPr>
            <w:tcW w:type="dxa" w:w="2041"/>
          </w:tcPr>
          <w:p>
            <w:pPr>
              <w:jc w:val="center"/>
            </w:pPr>
            <w:r/>
            <w:r>
              <w:rPr>
                <w:rFonts w:ascii="SimSun" w:hAnsi="SimSun" w:eastAsia="SimSun"/>
                <w:b w:val="0"/>
                <w:sz w:val="20"/>
              </w:rPr>
              <w:t>厂商私有协议为主</w:t>
            </w:r>
          </w:p>
        </w:tc>
        <w:tc>
          <w:tcPr>
            <w:tcW w:type="dxa" w:w="2154"/>
          </w:tcPr>
          <w:p>
            <w:pPr>
              <w:jc w:val="center"/>
            </w:pPr>
            <w:r/>
            <w:r>
              <w:rPr>
                <w:rFonts w:ascii="SimSun" w:hAnsi="SimSun" w:eastAsia="SimSun"/>
                <w:b w:val="0"/>
                <w:sz w:val="20"/>
              </w:rPr>
              <w:t>推动水利CIM标准</w:t>
            </w:r>
          </w:p>
        </w:tc>
      </w:tr>
    </w:tbl>
    <w:p>
      <w:pPr>
        <w:spacing w:before="60" w:after="120"/>
        <w:jc w:val="center"/>
      </w:pPr>
      <w:r>
        <w:rPr>
          <w:rFonts w:ascii="SimSun" w:hAnsi="SimSun" w:eastAsia="SimSun"/>
          <w:b w:val="0"/>
          <w:i/>
          <w:color w:val="555555"/>
          <w:sz w:val="20"/>
        </w:rPr>
        <w:t>表2-4  水利行业与先进行业自主运行差距分析</w:t>
      </w:r>
    </w:p>
    <w:p>
      <w:pPr>
        <w:spacing w:line="400" w:lineRule="exact" w:before="60" w:after="60"/>
        <w:ind w:firstLine="482"/>
      </w:pPr>
      <w:r>
        <w:rPr>
          <w:rFonts w:ascii="SimSun" w:hAnsi="SimSun" w:eastAsia="SimSun"/>
          <w:b w:val="0"/>
          <w:sz w:val="24"/>
        </w:rPr>
        <w:t>上述差距并非不可逾越，但弥合这些差距需要行业层面的系统性努力。值得指出的是，水利行业也具有自身独特的优势：水网系统的运行速度远低于汽车和电力系统，为控制决策提供了更充裕的时间窗口；水网的物理过程相对确定，Saint-Venant方程等机理模型的成熟度较高；水网运行的社会关注度和法规要求为建立工程准入体系提供了天然的驱动力。关键在于将这些优势与先进行业的成功经验有效结合，走出一条适合水利行业特点的自主运行发展路径。</w:t>
      </w:r>
    </w:p>
    <w:p>
      <w:pPr>
        <w:spacing w:before="280" w:after="200"/>
        <w:jc w:val="left"/>
      </w:pPr>
      <w:r>
        <w:rPr>
          <w:rFonts w:ascii="SimSun" w:hAnsi="SimSun" w:eastAsia="SimSun"/>
          <w:b/>
          <w:sz w:val="28"/>
        </w:rPr>
        <w:t>2.6 本章小结</w:t>
      </w:r>
    </w:p>
    <w:p>
      <w:pPr>
        <w:spacing w:line="400" w:lineRule="exact" w:before="60" w:after="60"/>
        <w:ind w:firstLine="482"/>
      </w:pPr>
      <w:r>
        <w:rPr>
          <w:rFonts w:ascii="SimSun" w:hAnsi="SimSun" w:eastAsia="SimSun"/>
          <w:b w:val="0"/>
          <w:sz w:val="24"/>
        </w:rPr>
        <w:t>本章围绕水网自主运行的概念基础与总体框架，建立了以下核心成果：</w:t>
      </w:r>
    </w:p>
    <w:p>
      <w:pPr>
        <w:spacing w:line="400" w:lineRule="exact" w:before="60" w:after="60"/>
        <w:ind w:firstLine="482"/>
      </w:pPr>
      <w:r>
        <w:rPr>
          <w:rFonts w:ascii="SimSun" w:hAnsi="SimSun" w:eastAsia="SimSun"/>
          <w:b w:val="0"/>
          <w:sz w:val="24"/>
        </w:rPr>
        <w:t>第一，严格辨析了“智能调控”与“自主运行”两个核心概念，揭示了从前者到后者的六维质变——从“算法正确”到“系统可信”、从“人工确认”到“自动闭环”、从“功能验收”到“工程准入”、从“点状优化”到“系统架构”、从“静态交付”到“持续运营”、从“技术思维”到“系统工程思维”。同时，系统分析了人机关系的范式转换，明确了不同自主等级下人的角色定位。</w:t>
      </w:r>
    </w:p>
    <w:p>
      <w:pPr>
        <w:spacing w:line="400" w:lineRule="exact" w:before="60" w:after="60"/>
        <w:ind w:firstLine="482"/>
      </w:pPr>
      <w:r>
        <w:rPr>
          <w:rFonts w:ascii="SimSun" w:hAnsi="SimSun" w:eastAsia="SimSun"/>
          <w:b w:val="0"/>
          <w:sz w:val="24"/>
        </w:rPr>
        <w:t>第二，建立了水网自主运行L0至L4五级能力分级体系，为每个等级定义了明确的技术特征、典型场景、人机分工和量化评估指标。L3级（条件自主）被确定为当前阶段的重点目标层级，其实现需要攻克六大关键技术。同时指出，从L2到L3的跃迁是整个分级体系中技术难度最大的一步，涉及从局部控制到系统协调的根本转变。</w:t>
      </w:r>
    </w:p>
    <w:p>
      <w:pPr>
        <w:spacing w:line="400" w:lineRule="exact" w:before="60" w:after="60"/>
        <w:ind w:firstLine="482"/>
      </w:pPr>
      <w:r>
        <w:rPr>
          <w:rFonts w:ascii="SimSun" w:hAnsi="SimSun" w:eastAsia="SimSun"/>
          <w:b w:val="0"/>
          <w:sz w:val="24"/>
        </w:rPr>
        <w:t>第三，将运行设计域（ODD）概念系统性引入水利领域，提出了水网ODD的六维定义框架（水力工况、水质参数、气象扰动、设备状态、时间尺度、运行模式）和三层形式化描述方法（属性-值描述、逻辑表达式描述、状态机描述），以及“最小可行ODD”的渐进扩展策略。</w:t>
      </w:r>
    </w:p>
    <w:p>
      <w:pPr>
        <w:spacing w:line="400" w:lineRule="exact" w:before="60" w:after="60"/>
        <w:ind w:firstLine="482"/>
      </w:pPr>
      <w:r>
        <w:rPr>
          <w:rFonts w:ascii="SimSun" w:hAnsi="SimSun" w:eastAsia="SimSun"/>
          <w:b w:val="0"/>
          <w:sz w:val="24"/>
        </w:rPr>
        <w:t>第四，提出了“四可”原则（机理可信、边界可控、场景可验、运维可溯）与“四原则”（安全、高效、协同、进化）相结合的原则体系，并给出了每项原则的工程落地抓手和验收审计方法。</w:t>
      </w:r>
    </w:p>
    <w:p>
      <w:pPr>
        <w:spacing w:line="400" w:lineRule="exact" w:before="60" w:after="60"/>
        <w:ind w:firstLine="482"/>
      </w:pPr>
      <w:r>
        <w:rPr>
          <w:rFonts w:ascii="SimSun" w:hAnsi="SimSun" w:eastAsia="SimSun"/>
          <w:b w:val="0"/>
          <w:sz w:val="24"/>
        </w:rPr>
        <w:t>第五，通过与汽车（SAE J3016）、航空（DO-178C）、电力（IEC 61850/AGC/AVC）三个行业的系统性对标，识别出水利行业在分级标准、ODD方法论、场景验证体系、安全认证和信息模型标准五个维度的差距，并提出了对应的弥合路径。</w:t>
      </w:r>
    </w:p>
    <w:p>
      <w:pPr>
        <w:spacing w:line="400" w:lineRule="exact" w:before="60" w:after="60"/>
        <w:ind w:firstLine="482"/>
      </w:pPr>
      <w:r>
        <w:rPr>
          <w:rFonts w:ascii="SimSun" w:hAnsi="SimSun" w:eastAsia="SimSun"/>
          <w:b w:val="0"/>
          <w:sz w:val="24"/>
        </w:rPr>
        <w:t>上述框架为后续各章的技术论述提供了统一的概念基础和评价标准。第三章将从学科第一性原理出发，深入分析水利行业智能化落后的根因机制；第四章至第十章将分别阐述支撑L3级自主运行的六大关键技术及总体架构。</w:t>
      </w:r>
    </w:p>
    <w:p>
      <w:r>
        <w:br w:type="page"/>
      </w:r>
    </w:p>
    <w:p>
      <w:pPr>
        <w:spacing w:before="280" w:after="200"/>
        <w:jc w:val="left"/>
      </w:pPr>
      <w:r>
        <w:rPr>
          <w:rFonts w:ascii="SimSun" w:hAnsi="SimSun" w:eastAsia="SimSun"/>
          <w:b/>
          <w:sz w:val="28"/>
        </w:rPr>
        <w:t>第二章参考文献</w:t>
      </w:r>
    </w:p>
    <w:p>
      <w:pPr>
        <w:spacing w:line="360" w:lineRule="exact" w:before="30" w:after="30"/>
        <w:ind w:left="482" w:hanging="482"/>
      </w:pPr>
      <w:r>
        <w:rPr>
          <w:rFonts w:ascii="SimSun" w:hAnsi="SimSun" w:eastAsia="SimSun"/>
          <w:b w:val="0"/>
          <w:sz w:val="21"/>
        </w:rPr>
        <w:t>[1] 钱学森. 工程控制论[M]. 北京: 科学出版社, 1954. (修订版: 上海交通大学出版社, 1980)</w:t>
      </w:r>
    </w:p>
    <w:p>
      <w:pPr>
        <w:spacing w:line="360" w:lineRule="exact" w:before="30" w:after="30"/>
        <w:ind w:left="482" w:hanging="482"/>
      </w:pPr>
      <w:r>
        <w:rPr>
          <w:rFonts w:ascii="SimSun" w:hAnsi="SimSun" w:eastAsia="SimSun"/>
          <w:b w:val="0"/>
          <w:sz w:val="21"/>
        </w:rPr>
        <w:t>[2] IFAC (International Federation of Automatic Control). Multilingual Dictionary of Automatic Control Technology[M]. Amsterdam: Elsevier, 1995.</w:t>
      </w:r>
    </w:p>
    <w:p>
      <w:pPr>
        <w:spacing w:line="360" w:lineRule="exact" w:before="30" w:after="30"/>
        <w:ind w:left="482" w:hanging="482"/>
      </w:pPr>
      <w:r>
        <w:rPr>
          <w:rFonts w:ascii="SimSun" w:hAnsi="SimSun" w:eastAsia="SimSun"/>
          <w:b w:val="0"/>
          <w:sz w:val="21"/>
        </w:rPr>
        <w:t>[3] Parasuraman R, Sheridan T B, Wickens C D. A model for types and levels of human interaction with automation[J]. IEEE Transactions on Systems, Man, and Cybernetics — Part A, 2000, 30(3): 286-297.</w:t>
      </w:r>
    </w:p>
    <w:p>
      <w:pPr>
        <w:spacing w:line="360" w:lineRule="exact" w:before="30" w:after="30"/>
        <w:ind w:left="482" w:hanging="482"/>
      </w:pPr>
      <w:r>
        <w:rPr>
          <w:rFonts w:ascii="SimSun" w:hAnsi="SimSun" w:eastAsia="SimSun"/>
          <w:b w:val="0"/>
          <w:sz w:val="21"/>
        </w:rPr>
        <w:t>[4] 雷晓辉, 蒋云钟, 王浩, 等. 水系统控制论: 从智能调控到自主运行[J]. 中国科学: 技术科学, 2024.</w:t>
      </w:r>
    </w:p>
    <w:p>
      <w:pPr>
        <w:spacing w:line="360" w:lineRule="exact" w:before="30" w:after="30"/>
        <w:ind w:left="482" w:hanging="482"/>
      </w:pPr>
      <w:r>
        <w:rPr>
          <w:rFonts w:ascii="SimSun" w:hAnsi="SimSun" w:eastAsia="SimSun"/>
          <w:b w:val="0"/>
          <w:sz w:val="21"/>
        </w:rPr>
        <w:t>[5] Rushby J. Runtime certification[C]// Proceedings of the 8th International Workshop on Runtime Verification. Berlin: Springer, 2008: 21-35.</w:t>
      </w:r>
    </w:p>
    <w:p>
      <w:pPr>
        <w:spacing w:line="360" w:lineRule="exact" w:before="30" w:after="30"/>
        <w:ind w:left="482" w:hanging="482"/>
      </w:pPr>
      <w:r>
        <w:rPr>
          <w:rFonts w:ascii="SimSun" w:hAnsi="SimSun" w:eastAsia="SimSun"/>
          <w:b w:val="0"/>
          <w:sz w:val="21"/>
        </w:rPr>
        <w:t>[6] Leveson N G. Engineering a Safer World: Systems Thinking Applied to Safety[M]. Cambridge: MIT Press, 2011.</w:t>
      </w:r>
    </w:p>
    <w:p>
      <w:pPr>
        <w:spacing w:line="360" w:lineRule="exact" w:before="30" w:after="30"/>
        <w:ind w:left="482" w:hanging="482"/>
      </w:pPr>
      <w:r>
        <w:rPr>
          <w:rFonts w:ascii="SimSun" w:hAnsi="SimSun" w:eastAsia="SimSun"/>
          <w:b w:val="0"/>
          <w:sz w:val="21"/>
        </w:rPr>
        <w:t>[7] ISO. Road vehicles — Safety of the intended functionality: ISO/PAS 21448[S]. Geneva: ISO, 2022.</w:t>
      </w:r>
    </w:p>
    <w:p>
      <w:pPr>
        <w:spacing w:line="360" w:lineRule="exact" w:before="30" w:after="30"/>
        <w:ind w:left="482" w:hanging="482"/>
      </w:pPr>
      <w:r>
        <w:rPr>
          <w:rFonts w:ascii="SimSun" w:hAnsi="SimSun" w:eastAsia="SimSun"/>
          <w:b w:val="0"/>
          <w:sz w:val="21"/>
        </w:rPr>
        <w:t>[8] IWA (International Water Association). Digital Water: Industry Leaders Chart the Transformation Journey[R]. London: IWA Publishing, 2019.</w:t>
      </w:r>
    </w:p>
    <w:p>
      <w:pPr>
        <w:spacing w:line="360" w:lineRule="exact" w:before="30" w:after="30"/>
        <w:ind w:left="482" w:hanging="482"/>
      </w:pPr>
      <w:r>
        <w:rPr>
          <w:rFonts w:ascii="SimSun" w:hAnsi="SimSun" w:eastAsia="SimSun"/>
          <w:b w:val="0"/>
          <w:sz w:val="21"/>
        </w:rPr>
        <w:t>[9] Sheridan T B, Verplank W L. Human and Computer Control of Undersea Teleoperators[R]. Cambridge: MIT Man-Machine Systems Laboratory, 1978.</w:t>
      </w:r>
    </w:p>
    <w:p>
      <w:pPr>
        <w:spacing w:line="360" w:lineRule="exact" w:before="30" w:after="30"/>
        <w:ind w:left="482" w:hanging="482"/>
      </w:pPr>
      <w:r>
        <w:rPr>
          <w:rFonts w:ascii="SimSun" w:hAnsi="SimSun" w:eastAsia="SimSun"/>
          <w:b w:val="0"/>
          <w:sz w:val="21"/>
        </w:rPr>
        <w:t>[10] Endsley M R. Toward a theory of situation awareness in dynamic systems[J]. Human Factors, 1995, 37(1): 32-64.</w:t>
      </w:r>
    </w:p>
    <w:p>
      <w:pPr>
        <w:spacing w:line="360" w:lineRule="exact" w:before="30" w:after="30"/>
        <w:ind w:left="482" w:hanging="482"/>
      </w:pPr>
      <w:r>
        <w:rPr>
          <w:rFonts w:ascii="SimSun" w:hAnsi="SimSun" w:eastAsia="SimSun"/>
          <w:b w:val="0"/>
          <w:sz w:val="21"/>
        </w:rPr>
        <w:t>[11] Parasuraman R, Manzey D H. Complacency and bias in human use of automation: An attentional integration[J]. Human Factors, 2010, 52(3): 381-410.</w:t>
      </w:r>
    </w:p>
    <w:p>
      <w:pPr>
        <w:spacing w:line="360" w:lineRule="exact" w:before="30" w:after="30"/>
        <w:ind w:left="482" w:hanging="482"/>
      </w:pPr>
      <w:r>
        <w:rPr>
          <w:rFonts w:ascii="SimSun" w:hAnsi="SimSun" w:eastAsia="SimSun"/>
          <w:b w:val="0"/>
          <w:sz w:val="21"/>
        </w:rPr>
        <w:t>[12] Lee J D, See K A. Trust in automation: Designing for appropriate reliance[J]. Human Factors, 2004, 46(1): 50-80.</w:t>
      </w:r>
    </w:p>
    <w:p>
      <w:pPr>
        <w:spacing w:line="360" w:lineRule="exact" w:before="30" w:after="30"/>
        <w:ind w:left="482" w:hanging="482"/>
      </w:pPr>
      <w:r>
        <w:rPr>
          <w:rFonts w:ascii="SimSun" w:hAnsi="SimSun" w:eastAsia="SimSun"/>
          <w:b w:val="0"/>
          <w:sz w:val="21"/>
        </w:rPr>
        <w:t>[13] SAE International. Taxonomy and Definitions for Terms Related to Driving Automation Systems for On-Road Motor Vehicles: SAE J3016_202104[S]. 2021.</w:t>
      </w:r>
    </w:p>
    <w:p>
      <w:pPr>
        <w:spacing w:line="360" w:lineRule="exact" w:before="30" w:after="30"/>
        <w:ind w:left="482" w:hanging="482"/>
      </w:pPr>
      <w:r>
        <w:rPr>
          <w:rFonts w:ascii="SimSun" w:hAnsi="SimSun" w:eastAsia="SimSun"/>
          <w:b w:val="0"/>
          <w:sz w:val="21"/>
        </w:rPr>
        <w:t>[14] RTCA. Software Considerations in Airborne Systems and Equipment Certification: DO-178C[S]. Washington DC: RTCA, 2011.</w:t>
      </w:r>
    </w:p>
    <w:p>
      <w:pPr>
        <w:spacing w:line="360" w:lineRule="exact" w:before="30" w:after="30"/>
        <w:ind w:left="482" w:hanging="482"/>
      </w:pPr>
      <w:r>
        <w:rPr>
          <w:rFonts w:ascii="SimSun" w:hAnsi="SimSun" w:eastAsia="SimSun"/>
          <w:b w:val="0"/>
          <w:sz w:val="21"/>
        </w:rPr>
        <w:t>[15] IEC. Enterprise-control system integration: IEC 62264[S]. Geneva: International Electrotechnical Commission, 2013.</w:t>
      </w:r>
    </w:p>
    <w:p>
      <w:pPr>
        <w:spacing w:line="360" w:lineRule="exact" w:before="30" w:after="30"/>
        <w:ind w:left="482" w:hanging="482"/>
      </w:pPr>
      <w:r>
        <w:rPr>
          <w:rFonts w:ascii="SimSun" w:hAnsi="SimSun" w:eastAsia="SimSun"/>
          <w:b w:val="0"/>
          <w:sz w:val="21"/>
        </w:rPr>
        <w:t>[16] Miller G A. The magical number seven, plus or minus two: Some limits on our capacity for processing information[J]. Psychological Review, 1956, 63(2): 81-97.</w:t>
      </w:r>
    </w:p>
    <w:p>
      <w:pPr>
        <w:spacing w:line="360" w:lineRule="exact" w:before="30" w:after="30"/>
        <w:ind w:left="482" w:hanging="482"/>
      </w:pPr>
      <w:r>
        <w:rPr>
          <w:rFonts w:ascii="SimSun" w:hAnsi="SimSun" w:eastAsia="SimSun"/>
          <w:b w:val="0"/>
          <w:sz w:val="21"/>
        </w:rPr>
        <w:t>[17] 水利部信息中心. 全国水利突发事件统计分析报告[R]. 北京, 2022.</w:t>
      </w:r>
    </w:p>
    <w:p>
      <w:pPr>
        <w:spacing w:line="360" w:lineRule="exact" w:before="30" w:after="30"/>
        <w:ind w:left="482" w:hanging="482"/>
      </w:pPr>
      <w:r>
        <w:rPr>
          <w:rFonts w:ascii="SimSun" w:hAnsi="SimSun" w:eastAsia="SimSun"/>
          <w:b w:val="0"/>
          <w:sz w:val="21"/>
        </w:rPr>
        <w:t>[18] 郭生练, 刘攀, 陈璐, 等. 梯级水库群联合调度决策支持系统[J]. 水利学报, 2019, 50(1): 108-117.</w:t>
      </w:r>
    </w:p>
    <w:p>
      <w:pPr>
        <w:spacing w:line="360" w:lineRule="exact" w:before="30" w:after="30"/>
        <w:ind w:left="482" w:hanging="482"/>
      </w:pPr>
      <w:r>
        <w:rPr>
          <w:rFonts w:ascii="SimSun" w:hAnsi="SimSun" w:eastAsia="SimSun"/>
          <w:b w:val="0"/>
          <w:sz w:val="21"/>
        </w:rPr>
        <w:t>[19] 穆祥鹏, 雷晓辉, 蒋云钟, 等. 南水北调中线一期工程自动化调度关键技术[J]. 南水北调与水利科技, 2020, 18(6): 190-198.</w:t>
      </w:r>
    </w:p>
    <w:p>
      <w:pPr>
        <w:spacing w:line="360" w:lineRule="exact" w:before="30" w:after="30"/>
        <w:ind w:left="482" w:hanging="482"/>
      </w:pPr>
      <w:r>
        <w:rPr>
          <w:rFonts w:ascii="SimSun" w:hAnsi="SimSun" w:eastAsia="SimSun"/>
          <w:b w:val="0"/>
          <w:sz w:val="21"/>
        </w:rPr>
        <w:t>[20] Clemmens A J, Kacerek T F, Grawitz B, et al. Test cases for canal control algorithms[J]. Journal of Irrigation and Drainage Engineering, 1998, 124(1): 23-30.</w:t>
      </w:r>
    </w:p>
    <w:p>
      <w:pPr>
        <w:spacing w:line="360" w:lineRule="exact" w:before="30" w:after="30"/>
        <w:ind w:left="482" w:hanging="482"/>
      </w:pPr>
      <w:r>
        <w:rPr>
          <w:rFonts w:ascii="SimSun" w:hAnsi="SimSun" w:eastAsia="SimSun"/>
          <w:b w:val="0"/>
          <w:sz w:val="21"/>
        </w:rPr>
        <w:t>[21] Negenborn R R, van Overloop P J, Keviczky T, et al. Distributed model predictive control of irrigation canals[J]. Networks and Heterogeneous Media, 2009, 4(2): 359-380.</w:t>
      </w:r>
    </w:p>
    <w:p>
      <w:pPr>
        <w:spacing w:line="360" w:lineRule="exact" w:before="30" w:after="30"/>
        <w:ind w:left="482" w:hanging="482"/>
      </w:pPr>
      <w:r>
        <w:rPr>
          <w:rFonts w:ascii="SimSun" w:hAnsi="SimSun" w:eastAsia="SimSun"/>
          <w:b w:val="0"/>
          <w:sz w:val="21"/>
        </w:rPr>
        <w:t>[22] Gold C, Damböck D, Lorenz L, et al. "Take over!" How long does it take to get the driver back into the loop?[C]// Proceedings of the Human Factors and Ergonomics Society Annual Meeting. 2013, 57(1): 1938-1942.</w:t>
      </w:r>
    </w:p>
    <w:p>
      <w:pPr>
        <w:spacing w:line="360" w:lineRule="exact" w:before="30" w:after="30"/>
        <w:ind w:left="482" w:hanging="482"/>
      </w:pPr>
      <w:r>
        <w:rPr>
          <w:rFonts w:ascii="SimSun" w:hAnsi="SimSun" w:eastAsia="SimSun"/>
          <w:b w:val="0"/>
          <w:sz w:val="21"/>
        </w:rPr>
        <w:t>[23] 国务院南水北调工程建设委员会办公室. 南水北调中线工程运行效益评估报告[R]. 北京, 2023.</w:t>
      </w:r>
    </w:p>
    <w:p>
      <w:pPr>
        <w:spacing w:line="360" w:lineRule="exact" w:before="30" w:after="30"/>
        <w:ind w:left="482" w:hanging="482"/>
      </w:pPr>
      <w:r>
        <w:rPr>
          <w:rFonts w:ascii="SimSun" w:hAnsi="SimSun" w:eastAsia="SimSun"/>
          <w:b w:val="0"/>
          <w:sz w:val="21"/>
        </w:rPr>
        <w:t>[24] Sutton R S, Barto A G. Reinforcement Learning: An Introduction[M]. 2nd ed. Cambridge: MIT Press, 2018.</w:t>
      </w:r>
    </w:p>
    <w:p>
      <w:pPr>
        <w:spacing w:line="360" w:lineRule="exact" w:before="30" w:after="30"/>
        <w:ind w:left="482" w:hanging="482"/>
      </w:pPr>
      <w:r>
        <w:rPr>
          <w:rFonts w:ascii="SimSun" w:hAnsi="SimSun" w:eastAsia="SimSun"/>
          <w:b w:val="0"/>
          <w:sz w:val="21"/>
        </w:rPr>
        <w:t>[25] Evensen G. The Ensemble Kalman Filter: theoretical formulation and practical implementation[J]. Ocean Dynamics, 2003, 53(4): 343-367.</w:t>
      </w:r>
    </w:p>
    <w:p>
      <w:pPr>
        <w:spacing w:line="360" w:lineRule="exact" w:before="30" w:after="30"/>
        <w:ind w:left="482" w:hanging="482"/>
      </w:pPr>
      <w:r>
        <w:rPr>
          <w:rFonts w:ascii="SimSun" w:hAnsi="SimSun" w:eastAsia="SimSun"/>
          <w:b w:val="0"/>
          <w:sz w:val="21"/>
        </w:rPr>
        <w:t>[26] Altman E. Constrained Markov Decision Processes[M]. Boca Raton: Chapman &amp; Hall/CRC, 1999.</w:t>
      </w:r>
    </w:p>
    <w:p>
      <w:pPr>
        <w:spacing w:line="360" w:lineRule="exact" w:before="30" w:after="30"/>
        <w:ind w:left="482" w:hanging="482"/>
      </w:pPr>
      <w:r>
        <w:rPr>
          <w:rFonts w:ascii="SimSun" w:hAnsi="SimSun" w:eastAsia="SimSun"/>
          <w:b w:val="0"/>
          <w:sz w:val="21"/>
        </w:rPr>
        <w:t>[27] Euro NCAP. 2025 Rating Scheme[R]. Brussels: European New Car Assessment Programme, 2024.</w:t>
      </w:r>
    </w:p>
    <w:p>
      <w:pPr>
        <w:spacing w:line="360" w:lineRule="exact" w:before="30" w:after="30"/>
        <w:ind w:left="482" w:hanging="482"/>
      </w:pPr>
      <w:r>
        <w:rPr>
          <w:rFonts w:ascii="SimSun" w:hAnsi="SimSun" w:eastAsia="SimSun"/>
          <w:b w:val="0"/>
          <w:sz w:val="21"/>
        </w:rPr>
        <w:t>[28] BSI. Connected Automated Vehicles — Vocabulary: PAS 1883:2020[S]. London: British Standards Institution, 2020.</w:t>
      </w:r>
    </w:p>
    <w:p>
      <w:pPr>
        <w:spacing w:line="360" w:lineRule="exact" w:before="30" w:after="30"/>
        <w:ind w:left="482" w:hanging="482"/>
      </w:pPr>
      <w:r>
        <w:rPr>
          <w:rFonts w:ascii="SimSun" w:hAnsi="SimSun" w:eastAsia="SimSun"/>
          <w:b w:val="0"/>
          <w:sz w:val="21"/>
        </w:rPr>
        <w:t>[29] Chaudhry M H. Open-Channel Flow[M]. 2nd ed. New York: Springer, 2008.</w:t>
      </w:r>
    </w:p>
    <w:p>
      <w:pPr>
        <w:spacing w:line="360" w:lineRule="exact" w:before="30" w:after="30"/>
        <w:ind w:left="482" w:hanging="482"/>
      </w:pPr>
      <w:r>
        <w:rPr>
          <w:rFonts w:ascii="SimSun" w:hAnsi="SimSun" w:eastAsia="SimSun"/>
          <w:b w:val="0"/>
          <w:sz w:val="21"/>
        </w:rPr>
        <w:t>[30] Shen H T. Mathematical modeling of river ice processes[J]. Cold Regions Science and Technology, 2010, 62(1): 3-13.</w:t>
      </w:r>
    </w:p>
    <w:p>
      <w:pPr>
        <w:spacing w:line="360" w:lineRule="exact" w:before="30" w:after="30"/>
        <w:ind w:left="482" w:hanging="482"/>
      </w:pPr>
      <w:r>
        <w:rPr>
          <w:rFonts w:ascii="SimSun" w:hAnsi="SimSun" w:eastAsia="SimSun"/>
          <w:b w:val="0"/>
          <w:sz w:val="21"/>
        </w:rPr>
        <w:t>[31] Isermann R. Fault-Diagnosis Systems: An Introduction from Fault Detection to Fault Tolerance[M]. Berlin: Springer, 2006.</w:t>
      </w:r>
    </w:p>
    <w:p>
      <w:pPr>
        <w:spacing w:line="360" w:lineRule="exact" w:before="30" w:after="30"/>
        <w:ind w:left="482" w:hanging="482"/>
      </w:pPr>
      <w:r>
        <w:rPr>
          <w:rFonts w:ascii="SimSun" w:hAnsi="SimSun" w:eastAsia="SimSun"/>
          <w:b w:val="0"/>
          <w:sz w:val="21"/>
        </w:rPr>
        <w:t>[32] Clarke E M, Grumberg O, Peled D A. Model Checking[M]. Cambridge: MIT Press, 1999.</w:t>
      </w:r>
    </w:p>
    <w:p>
      <w:pPr>
        <w:spacing w:line="360" w:lineRule="exact" w:before="30" w:after="30"/>
        <w:ind w:left="482" w:hanging="482"/>
      </w:pPr>
      <w:r>
        <w:rPr>
          <w:rFonts w:ascii="SimSun" w:hAnsi="SimSun" w:eastAsia="SimSun"/>
          <w:b w:val="0"/>
          <w:sz w:val="21"/>
        </w:rPr>
        <w:t>[33] Harel D. Statecharts: A visual formalism for complex systems[J]. Science of Computer Programming, 1987, 8(3): 231-274.</w:t>
      </w:r>
    </w:p>
    <w:p>
      <w:pPr>
        <w:spacing w:line="360" w:lineRule="exact" w:before="30" w:after="30"/>
        <w:ind w:left="482" w:hanging="482"/>
      </w:pPr>
      <w:r>
        <w:rPr>
          <w:rFonts w:ascii="SimSun" w:hAnsi="SimSun" w:eastAsia="SimSun"/>
          <w:b w:val="0"/>
          <w:sz w:val="21"/>
        </w:rPr>
        <w:t>[34] Ries E. The Lean Startup[M]. New York: Crown Business, 2011.</w:t>
      </w:r>
    </w:p>
    <w:p>
      <w:pPr>
        <w:spacing w:line="360" w:lineRule="exact" w:before="30" w:after="30"/>
        <w:ind w:left="482" w:hanging="482"/>
      </w:pPr>
      <w:r>
        <w:rPr>
          <w:rFonts w:ascii="SimSun" w:hAnsi="SimSun" w:eastAsia="SimSun"/>
          <w:b w:val="0"/>
          <w:sz w:val="21"/>
        </w:rPr>
        <w:t>[35] Sato H. Shadow mode testing for autonomous driving[C]// IEEE Intelligent Vehicles Symposium. 2019: 1196-1201.</w:t>
      </w:r>
    </w:p>
    <w:p>
      <w:pPr>
        <w:spacing w:line="360" w:lineRule="exact" w:before="30" w:after="30"/>
        <w:ind w:left="482" w:hanging="482"/>
      </w:pPr>
      <w:r>
        <w:rPr>
          <w:rFonts w:ascii="SimSun" w:hAnsi="SimSun" w:eastAsia="SimSun"/>
          <w:b w:val="0"/>
          <w:sz w:val="21"/>
        </w:rPr>
        <w:t>[36] Karniadakis G E, Kevrekidis I G, Lu L, et al. Physics-informed machine learning[J]. Nature Reviews Physics, 2021, 3(6): 422-440.</w:t>
      </w:r>
    </w:p>
    <w:p>
      <w:pPr>
        <w:spacing w:line="360" w:lineRule="exact" w:before="30" w:after="30"/>
        <w:ind w:left="482" w:hanging="482"/>
      </w:pPr>
      <w:r>
        <w:rPr>
          <w:rFonts w:ascii="SimSun" w:hAnsi="SimSun" w:eastAsia="SimSun"/>
          <w:b w:val="0"/>
          <w:sz w:val="21"/>
        </w:rPr>
        <w:t>[37] Chow V T. Open-Channel Hydraulics[M]. New York: McGraw-Hill, 1959.</w:t>
      </w:r>
    </w:p>
    <w:p>
      <w:pPr>
        <w:spacing w:line="360" w:lineRule="exact" w:before="30" w:after="30"/>
        <w:ind w:left="482" w:hanging="482"/>
      </w:pPr>
      <w:r>
        <w:rPr>
          <w:rFonts w:ascii="SimSun" w:hAnsi="SimSun" w:eastAsia="SimSun"/>
          <w:b w:val="0"/>
          <w:sz w:val="21"/>
        </w:rPr>
        <w:t>[38] 中华人民共和国水利部. 水利水电工程设计洪水计算规范: SL 44-2006[S]. 北京, 2006.</w:t>
      </w:r>
    </w:p>
    <w:p>
      <w:pPr>
        <w:spacing w:line="360" w:lineRule="exact" w:before="30" w:after="30"/>
        <w:ind w:left="482" w:hanging="482"/>
      </w:pPr>
      <w:r>
        <w:rPr>
          <w:rFonts w:ascii="SimSun" w:hAnsi="SimSun" w:eastAsia="SimSun"/>
          <w:b w:val="0"/>
          <w:sz w:val="21"/>
        </w:rPr>
        <w:t>[39] Traverse P, Lacaze I, Souyris J. Airbus fly-by-wire: A total approach to dependability[C]// IFIP International Conference on Dependable Systems and Networks. Berlin: Springer, 2004: 191-212.</w:t>
      </w:r>
    </w:p>
    <w:p>
      <w:pPr>
        <w:spacing w:line="360" w:lineRule="exact" w:before="30" w:after="30"/>
        <w:ind w:left="482" w:hanging="482"/>
      </w:pPr>
      <w:r>
        <w:rPr>
          <w:rFonts w:ascii="SimSun" w:hAnsi="SimSun" w:eastAsia="SimSun"/>
          <w:b w:val="0"/>
          <w:sz w:val="21"/>
        </w:rPr>
        <w:t>[40] Koopman P, Wagner M. Autonomous vehicle safety: An interdisciplinary challenge[J]. IEEE Intelligent Transportation Systems Magazine, 2017, 9(1): 90-96.</w:t>
      </w:r>
    </w:p>
    <w:p>
      <w:pPr>
        <w:spacing w:line="360" w:lineRule="exact" w:before="30" w:after="30"/>
        <w:ind w:left="482" w:hanging="482"/>
      </w:pPr>
      <w:r>
        <w:rPr>
          <w:rFonts w:ascii="SimSun" w:hAnsi="SimSun" w:eastAsia="SimSun"/>
          <w:b w:val="0"/>
          <w:sz w:val="21"/>
        </w:rPr>
        <w:t>[41] Kalra N, Paddock S M. Driving to Safety: How Many Miles of Driving Would It Take to Demonstrate Autonomous Vehicle Reliability?[R]. Santa Monica: RAND Corporation, 2016.</w:t>
      </w:r>
    </w:p>
    <w:p>
      <w:pPr>
        <w:spacing w:line="360" w:lineRule="exact" w:before="30" w:after="30"/>
        <w:ind w:left="482" w:hanging="482"/>
      </w:pPr>
      <w:r>
        <w:rPr>
          <w:rFonts w:ascii="SimSun" w:hAnsi="SimSun" w:eastAsia="SimSun"/>
          <w:b w:val="0"/>
          <w:sz w:val="21"/>
        </w:rPr>
        <w:t>[42] EUROCAE. Minimum Operational Performance Specification for Crash Protected Airborne Recorder Systems: ED-112A[S]. Paris: EUROCAE, 2013.</w:t>
      </w:r>
    </w:p>
    <w:p>
      <w:pPr>
        <w:spacing w:line="360" w:lineRule="exact" w:before="30" w:after="30"/>
        <w:ind w:left="482" w:hanging="482"/>
      </w:pPr>
      <w:r>
        <w:rPr>
          <w:rFonts w:ascii="SimSun" w:hAnsi="SimSun" w:eastAsia="SimSun"/>
          <w:b w:val="0"/>
          <w:sz w:val="21"/>
        </w:rPr>
        <w:t>[43] 雷晓辉, 廖卫红, 蒋云钟, 等. 水利智能化关键技术综述与展望[J]. 水利学报, 2023, 54(1): 1-13.</w:t>
      </w:r>
    </w:p>
    <w:p>
      <w:pPr>
        <w:spacing w:line="360" w:lineRule="exact" w:before="30" w:after="30"/>
        <w:ind w:left="482" w:hanging="482"/>
      </w:pPr>
      <w:r>
        <w:rPr>
          <w:rFonts w:ascii="SimSun" w:hAnsi="SimSun" w:eastAsia="SimSun"/>
          <w:b w:val="0"/>
          <w:sz w:val="21"/>
        </w:rPr>
        <w:t>[44] NHTSA. Federal Automated Vehicles Policy: Accelerating the Next Revolution in Roadway Safety[R]. Washington DC: US Department of Transportation, 2016.</w:t>
      </w:r>
    </w:p>
    <w:p>
      <w:pPr>
        <w:spacing w:line="360" w:lineRule="exact" w:before="30" w:after="30"/>
        <w:ind w:left="482" w:hanging="482"/>
      </w:pPr>
      <w:r>
        <w:rPr>
          <w:rFonts w:ascii="SimSun" w:hAnsi="SimSun" w:eastAsia="SimSun"/>
          <w:b w:val="0"/>
          <w:sz w:val="21"/>
        </w:rPr>
        <w:t>[45] ICAO. Manual of All-Weather Operations: Doc 9365 AN/910[S]. 4th ed. Montreal: International Civil Aviation Organization, 2013.</w:t>
      </w:r>
    </w:p>
    <w:p>
      <w:pPr>
        <w:spacing w:line="360" w:lineRule="exact" w:before="30" w:after="30"/>
        <w:ind w:left="482" w:hanging="482"/>
      </w:pPr>
      <w:r>
        <w:rPr>
          <w:rFonts w:ascii="SimSun" w:hAnsi="SimSun" w:eastAsia="SimSun"/>
          <w:b w:val="0"/>
          <w:sz w:val="21"/>
        </w:rPr>
        <w:t>[46] Kundur P. Power System Stability and Control[M]. New York: McGraw-Hill, 1994.</w:t>
      </w:r>
    </w:p>
    <w:p>
      <w:pPr>
        <w:spacing w:line="360" w:lineRule="exact" w:before="30" w:after="30"/>
        <w:ind w:left="482" w:hanging="482"/>
      </w:pPr>
      <w:r>
        <w:rPr>
          <w:rFonts w:ascii="SimSun" w:hAnsi="SimSun" w:eastAsia="SimSun"/>
          <w:b w:val="0"/>
          <w:sz w:val="21"/>
        </w:rPr>
        <w:t>[47] IEC. Communication Networks and Systems for Power Utility Automation: IEC 61850[S]. Geneva: International Electrotechnical Commission, 2013.</w:t>
      </w:r>
    </w:p>
    <w:p>
      <w:pPr>
        <w:spacing w:line="360" w:lineRule="exact" w:before="30" w:after="30"/>
        <w:ind w:left="482" w:hanging="482"/>
      </w:pPr>
      <w:r>
        <w:rPr>
          <w:rFonts w:ascii="SimSun" w:hAnsi="SimSun" w:eastAsia="SimSun"/>
          <w:b w:val="0"/>
          <w:sz w:val="21"/>
        </w:rPr>
        <w:t>[48] 国家能源局. 电力系统并网运行管理规定[Z]. 2024.</w:t>
      </w:r>
    </w:p>
    <w:sectPr w:rsidR="00FC693F" w:rsidRPr="0006063C" w:rsidSect="00034616">
      <w:pgSz w:w="11906" w:h="16838"/>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60" w:after="6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