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SimHei" w:cs="SimHei" w:eastAsia="SimHei" w:hAnsi="SimHei"/>
          <w:b/>
          <w:bCs/>
          <w:sz w:val="36"/>
          <w:szCs w:val="36"/>
        </w:rPr>
        <w:t xml:space="preserve">第十章</w:t>
      </w:r>
    </w:p>
    <w:p>
      <w:pPr>
        <w:spacing w:after="80"/>
        <w:jc w:val="center"/>
      </w:pPr>
      <w:r>
        <w:rPr>
          <w:rFonts w:ascii="SimHei" w:cs="SimHei" w:eastAsia="SimHei" w:hAnsi="SimHei"/>
          <w:b/>
          <w:bCs/>
          <w:sz w:val="32"/>
          <w:szCs w:val="32"/>
        </w:rPr>
        <w:t xml:space="preserve">关键技术六：运维可溯与持续改进</w:t>
      </w:r>
    </w:p>
    <w:p>
      <w:pPr>
        <w:spacing w:after="400"/>
        <w:jc w:val="center"/>
      </w:pPr>
      <w:r>
        <w:rPr>
          <w:rFonts w:ascii="SimHei" w:cs="SimHei" w:eastAsia="SimHei" w:hAnsi="SimHei"/>
          <w:color w:val="555555"/>
          <w:sz w:val="26"/>
          <w:szCs w:val="26"/>
        </w:rPr>
        <w:t xml:space="preserve">—— 数字线程、知识闭环与证据驱动的系统进化</w:t>
      </w:r>
    </w:p>
    <w:p>
      <w:pPr>
        <w:pStyle w:val="Heading2"/>
        <w:spacing w:before="300" w:after="160"/>
      </w:pPr>
      <w:r>
        <w:t xml:space="preserve">10.1  问题定位：从“事后复盘”到“全链路可追溯”</w:t>
      </w:r>
    </w:p>
    <w:p>
      <w:pPr>
        <w:spacing w:after="160" w:line="360"/>
        <w:jc w:val="both"/>
      </w:pPr>
      <w:r>
        <w:t xml:space="preserve">水网智能调控系统在完成“感知—预测—决策—控制”闭环之后，面临一个常被忽视却至关重要的工程问题：当系统运行产生偏差、触发告警甚至引发事故时，如何快速、精确地回溯整条决策链条，定位根因并形成改进措施？传统水利工程的运维模式高度依赖纸质台账与值班人员个人经验，运行记录碎片化、决策逻辑不透明、事件归因依赖主观判断，这种状态从根本上无法支撑复杂系统的安全审计与持续优化需求。</w:t>
      </w:r>
    </w:p>
    <w:p>
      <w:pPr>
        <w:spacing w:after="160" w:line="360"/>
        <w:jc w:val="both"/>
      </w:pPr>
      <w:r>
        <w:t xml:space="preserve">从控制论的视角审视，“可追溯性”并非仅仅是管理层面的合规要求，而是系统闭环的有机组成部分。一个完整的控制闭环不仅包含“感知→状态重构→预测→决策→执行”的前向通路，还必须包含“执行反馈→偏差分析→根因归因→知识更新→模型/策略修正”的后向通路。前向通路决定了系统“当下能做什么”，后向通路决定了系统“未来能进化到什么程度”。缺失后向通路的系统，如同一个只会执行却永远不会反思的操作员，无论前向算法多么精巧，其整体能力都将被锁定在初始水平。</w:t>
      </w:r>
    </w:p>
    <w:p>
      <w:pPr>
        <w:spacing w:after="160" w:line="360"/>
        <w:jc w:val="both"/>
      </w:pPr>
      <w:r>
        <w:t xml:space="preserve">在航空与汽车等先进行业，“可追溯性”早已被提升到系统安全论证的核心支柱地位。航空软件安全标准DO-178C明确要求软件开发全过程——从需求定义到设计、编码、测试、部署——的双向可追溯性，任何需求变更都必须能追溯到受影响的代码与测试用例[1]。汽车功能安全标准ISO 26262则要求建立从安全目标到技术安全需求、再到硬件/软件设计与验证活动的完整追溯矩阵[2]。在核电领域，IEC 61513进一步将可追溯性要求扩展到仪控系统的全生命周期，包括运行阶段的变更管理[3]。这些行业的共同经验表明：可追溯性不是“锦上添花”的附加功能，而是系统获得工程准入的必要条件。</w:t>
      </w:r>
    </w:p>
    <w:p>
      <w:pPr>
        <w:spacing w:after="160" w:line="360"/>
        <w:jc w:val="both"/>
      </w:pPr>
      <w:r>
        <w:t xml:space="preserve">在水利行业内部，这种可追溯能力的缺失表现得尤为严重。与水电行业天然具备的电网调度记录体系相比，水利工程的运行数据往往分散在不同管理单位的SCADA系统、纸质值班日志与Excel表格中，缺乏统一的时间基准与关联索引。一旦发生跨渠段、跨泵站的联合调度异常，回溯分析几乎无从入手。与水务行业在商业化压力下逐步建立起的资产管理与运维信息系统相比，水利工程由于“重建轻管”的体制惯性，运维信息化投入长期不足，“有数据但不可用”的问题普遍存在。</w:t>
      </w:r>
    </w:p>
    <w:p>
      <w:pPr>
        <w:spacing w:after="160" w:line="360"/>
        <w:jc w:val="both"/>
      </w:pPr>
      <w:r>
        <w:t xml:space="preserve">水网自主运行系统若要实现从试验到工程落地的跨越，必须建立等效的运维可溯能力。本章提出以数字线程（Digital Thread）为骨架、以知识闭环为引擎、以版本治理为保障的运维可溯与持续改进体系，为水网系统的长期可信运行提供制度基础与技术支撑。需要特别强调的是，运维可溯不是“建完系统之后再考虑”的附加功能，而是应当从系统架构设计阶段就嵌入的核心能力。正如航空界的格言所述：“如果没有记录，就等于没有发生。”对于追求L3级以上自主运行能力的水网系统而言，没有完整的运维可溯体系，任何安全论证都将失去根基。</w:t>
      </w:r>
    </w:p>
    <w:p>
      <w:pPr>
        <w:pStyle w:val="Heading2"/>
        <w:spacing w:before="300" w:after="160"/>
      </w:pPr>
      <w:r>
        <w:t xml:space="preserve">10.2  数字线程：构建全链路证据链</w:t>
      </w:r>
    </w:p>
    <w:p>
      <w:pPr>
        <w:pStyle w:val="Heading3"/>
        <w:spacing w:before="240" w:after="120"/>
      </w:pPr>
      <w:r>
        <w:t xml:space="preserve">10.2.1  概念溯源与水网语境适配</w:t>
      </w:r>
    </w:p>
    <w:p>
      <w:pPr>
        <w:spacing w:after="160" w:line="360"/>
        <w:jc w:val="both"/>
      </w:pPr>
      <w:r>
        <w:t xml:space="preserve">数字线程（Digital Thread）的概念最早由美国空军研究实验室（AFRL）在21世纪初提出，其初始目标是将航空装备全生命周期的设计、制造与保障数据以统一、连贯的方式组织起来，消除传统“数据孤岛”带来的信息断裂[4]。此后，美国国防部在《数字工程战略》中进一步将数字线程定义为“连接系统工程活动中各权威数据源的通信框架”，使得不同阶段、不同利益相关方能够基于一致的数据视图进行协同决策[5]。Singh与Willcox将数字线程从制造业扩展到工程设计领域，提出数字线程应支持“设计—分析—制造—运行”的全链路数据流动[6]。</w:t>
      </w:r>
    </w:p>
    <w:p>
      <w:pPr>
        <w:spacing w:after="160" w:line="360"/>
        <w:jc w:val="both"/>
      </w:pPr>
      <w:r>
        <w:t xml:space="preserve">在水网智能调控语境下，数字线程的含义需要进行适配性重定义。不同于航空制造业中“从设计图纸到成品检验”的线性数据流，水网系统的数字线程更侧重于“运行时”的循环数据流——它需要串联感知、状态重构、预测、决策、控制执行与审计复盘六个环节，并在每一轮控制周期中持续积累证据。这一特征使得水网数字线程更接近于过程工业中“运行数据记录仪”（如航空器的飞行数据记录器FDR）的功能定位[7]，但其数据维度更多、时间尺度跨度更大（从毫秒级的闸门控制到月级的水量调配），工程实现难度也更高。</w:t>
      </w:r>
    </w:p>
    <w:p>
      <w:pPr>
        <w:pStyle w:val="Heading3"/>
        <w:spacing w:before="240" w:after="120"/>
      </w:pPr>
      <w:r>
        <w:t xml:space="preserve">10.2.2  六层数据架构</w:t>
      </w:r>
    </w:p>
    <w:p>
      <w:pPr>
        <w:spacing w:after="160" w:line="360"/>
        <w:jc w:val="both"/>
      </w:pPr>
      <w:r>
        <w:t xml:space="preserve">水网数字线程需要串联以下六个关键数据层，形成完整的证据链条：</w:t>
      </w:r>
    </w:p>
    <w:p>
      <w:pPr>
        <w:spacing w:after="160" w:line="360"/>
        <w:jc w:val="both"/>
      </w:pPr>
      <w:r>
        <w:rPr>
          <w:b/>
          <w:bCs/>
        </w:rPr>
        <w:t xml:space="preserve">第一层：感知层记录。</w:t>
      </w:r>
      <w:r>
        <w:t xml:space="preserve">原始传感器数据（水位、流量、雨量、闸位、泵站运行状态、水质参数等）必须带精确时间戳和质量标记进行存储。数据清洗、插补与异常值剔除的方法、参数与判据应同步记录，确保任何时刻都能区分“原始观测”与“处理后数据”。对于关键传感器，建议采用冗余校验机制，记录多源数据的一致性检查结果[8]。</w:t>
      </w:r>
    </w:p>
    <w:p>
      <w:pPr>
        <w:spacing w:after="160" w:line="360"/>
        <w:jc w:val="both"/>
      </w:pPr>
      <w:r>
        <w:rPr>
          <w:b/>
          <w:bCs/>
        </w:rPr>
        <w:t xml:space="preserve">第二层：状态重构层记录。</w:t>
      </w:r>
      <w:r>
        <w:t xml:space="preserve">数据同化过程中的关键中间变量必须完整保留。以集合卡尔曼滤波（EnKF）为例[9]，需要记录的内容包括：先验集合均值与离散度、观测增益矩阵（或其关键特征值）、后验修正量、模型-观测残差（innovation）序列以及同化后的状态估计与不确定性区间。这些数据不仅是事后审计的依据，也是评估同化算法长期性能退化的关键指标。当残差序列出现系统性偏移时，往往预示着模型参数漂移或传感器标定失准，能够为预防性维护提供早期预警。</w:t>
      </w:r>
    </w:p>
    <w:p>
      <w:pPr>
        <w:spacing w:after="160" w:line="360"/>
        <w:jc w:val="both"/>
      </w:pPr>
      <w:r>
        <w:rPr>
          <w:b/>
          <w:bCs/>
        </w:rPr>
        <w:t xml:space="preserve">第三层：预测层记录。</w:t>
      </w:r>
      <w:r>
        <w:t xml:space="preserve">来水预报、需水预测与气象驱动数据的完整归档，包括：预报模型版本号、输入特征集合、模型超参数、预报结果（点预测与不确定性区间）以及事后的预报评估指标（如Nash-Sutcliffe效率系数、均方根误差等）[10]。在多模型集成预报的场景下，各成员模型的权重及其动态调整逻辑也应纳入记录范围。</w:t>
      </w:r>
    </w:p>
    <w:p>
      <w:pPr>
        <w:spacing w:after="160" w:line="360"/>
        <w:jc w:val="both"/>
      </w:pPr>
      <w:r>
        <w:rPr>
          <w:b/>
          <w:bCs/>
        </w:rPr>
        <w:t xml:space="preserve">第四层：决策层记录。</w:t>
      </w:r>
      <w:r>
        <w:t xml:space="preserve">模型预测控制（MPC）优化过程的全量记录是数字线程中最核心也最具技术挑战的部分。需要归档的内容包括：当前状态估计值、预测时域长度、目标函数的数学表达与权重设置、硬约束集合（红线水位、最大流量变化率等）与软约束集合（波动率惩罚、能耗上限等）、求解器类型与收敛状态、最优解序列以及若干备选次优解[11]。在分布式MPC（DMPC）场景下，还需记录各子问题之间的协调变量交换过程与收敛迭代次数[12]。决策层记录的完整性直接决定了事后能否回答“当时为什么下发了这条指令”这一关键审计问题。</w:t>
      </w:r>
    </w:p>
    <w:p>
      <w:pPr>
        <w:spacing w:after="160" w:line="360"/>
        <w:jc w:val="both"/>
      </w:pPr>
      <w:r>
        <w:rPr>
          <w:b/>
          <w:bCs/>
        </w:rPr>
        <w:t xml:space="preserve">第五层：控制执行层记录。</w:t>
      </w:r>
      <w:r>
        <w:t xml:space="preserve">下发指令的时间戳、目标值与实际执行反馈之间的偏差、本地保护逻辑的触发情况以及通信延迟/中断事件。对于关键执行机构（如大型闸门与泵组），还应记录设备健康状态指标（振动、温度、电流等），以便将控制偏差归因到“算法问题”还是“设备问题”[13]。</w:t>
      </w:r>
    </w:p>
    <w:p>
      <w:pPr>
        <w:spacing w:after="160" w:line="360"/>
        <w:jc w:val="both"/>
      </w:pPr>
      <w:r>
        <w:rPr>
          <w:b/>
          <w:bCs/>
        </w:rPr>
        <w:t xml:space="preserve">第六层：审计与复盘层。</w:t>
      </w:r>
      <w:r>
        <w:t xml:space="preserve">将上述五层数据按事件ID或时间窗口进行关联索引，形成可查询、可回放、可对比的“决策回放链”。审计层还应支持“假设分析”（What-if Analysis）功能：在回放历史场景的同时，允许修改某一层的输入或参数，观察对下游决策与控制结果的影响，从而支持深度归因与策略优化[14]。</w:t>
      </w:r>
    </w:p>
    <w:p>
      <w:pPr>
        <w:pStyle w:val="Heading3"/>
        <w:spacing w:before="240" w:after="120"/>
      </w:pPr>
      <w:r>
        <w:t xml:space="preserve">10.2.3  工程实现的关键技术要素</w:t>
      </w:r>
    </w:p>
    <w:p>
      <w:pPr>
        <w:spacing w:after="160" w:line="360"/>
        <w:jc w:val="both"/>
      </w:pPr>
      <w:r>
        <w:t xml:space="preserve">数字线程的工程实现涉及多项关键技术。首先是统一数据模型。建议参照电力行业的公共信息模型（CIM, IEC 61970）[15]，建立面向水网的统一语义模型（Water-CIM），对资产（渠道、闸门、泵站、水库等）、拓扑关系与运行属性进行标准化表达。统一语义模型是消除“数据孤岛”、实现跨系统数据关联的前提条件。</w:t>
      </w:r>
    </w:p>
    <w:p>
      <w:pPr>
        <w:spacing w:after="160" w:line="360"/>
        <w:jc w:val="both"/>
      </w:pPr>
      <w:r>
        <w:t xml:space="preserve">其次是高性能时序数据管理。水网运行数据具有典型的时序特征，且数据量随传感器密度与控制周期频率的提升而急剧增长。建议借鉴工业互联网中的时序数据库技术[16]，采用列式存储、流式压缩与分级存储策略，确保海量运行数据的高效写入、压缩存储与快速检索。对于高频控制数据（秒级或更快），可采用边缘节点本地缓存加云端异步同步的架构，在满足实时性要求的同时降低中心存储压力。</w:t>
      </w:r>
    </w:p>
    <w:p>
      <w:pPr>
        <w:spacing w:after="160" w:line="360"/>
        <w:jc w:val="both"/>
      </w:pPr>
      <w:r>
        <w:t xml:space="preserve">第三是数据完整性与防篡改保障。为满足安全审计与责任认定的法律要求，关键决策节点的数据摘要应采用密码学哈希（如SHA-256）进行锚定。可引入默克尔树（Merkle Tree）结构对批量数据进行高效验证[17]，或在更高安全等级要求下引入区块链技术实现分布式存证[18]。需要强调的是，防篡改机制的设计应以“不显著增加系统延迟”为原则，避免对实时控制性能产生负面影响。</w:t>
      </w:r>
    </w:p>
    <w:p>
      <w:pPr>
        <w:spacing w:after="160" w:line="360"/>
        <w:jc w:val="both"/>
      </w:pPr>
      <w:r>
        <w:t xml:space="preserve">第四是开放接口与互操作性。数字线程涉及多个子系统（SCADA、数据同化引擎、MPC求解器、设备管理系统等），必须通过标准化接口实现数据的无缝流动。建议采用OpenMI等模型耦合接口标准[19]实现模型间的双向数据交换，并利用RESTful API或消息队列（如Apache Kafka）实现跨系统的事件驱动数据推送。</w:t>
      </w:r>
    </w:p>
    <w:p>
      <w:pPr>
        <w:pStyle w:val="Heading2"/>
        <w:spacing w:before="300" w:after="160"/>
      </w:pPr>
      <w:r>
        <w:t xml:space="preserve">10.3  知识闭环：从“数据沉淀”到“系统进化”</w:t>
      </w:r>
    </w:p>
    <w:p>
      <w:pPr>
        <w:pStyle w:val="Heading3"/>
        <w:spacing w:before="240" w:after="120"/>
      </w:pPr>
      <w:r>
        <w:t xml:space="preserve">10.3.1  知识闭环的必要性</w:t>
      </w:r>
    </w:p>
    <w:p>
      <w:pPr>
        <w:spacing w:after="160" w:line="360"/>
        <w:jc w:val="both"/>
      </w:pPr>
      <w:r>
        <w:t xml:space="preserve">数字线程解决的是“记得住、查得到”的问题，而知识闭环解决的是“学得会、用得上”的问题。水网系统在长期运行过程中积累的海量数据，如果不能被系统性地转化为可复用的结构化知识，并通过明确的机制反馈到模型优化与策略改进中，便只是不断增长的沉没成本。这一问题在水利行业尤为突出——大量工程积累了数十年的运行数据，但由于缺乏知识提取与闭环机制，这些数据的价值远未得到充分释放。</w:t>
      </w:r>
    </w:p>
    <w:p>
      <w:pPr>
        <w:spacing w:after="160" w:line="360"/>
        <w:jc w:val="both"/>
      </w:pPr>
      <w:r>
        <w:t xml:space="preserve">知识闭环的理论基础可以追溯到Deming的PDCA循环（Plan-Do-Check-Act）[20]以及Argyris与Schön提出的“双环学习”（Double-Loop Learning）理论[21]。单环学习仅修正“做法”（如调整PID参数），而双环学习还会质疑和修正“假设”（如重新审视模型结构或约束设定）。水网系统的知识闭环应具备双环学习能力，不仅能在参数层面进行自适应调整，还能在模型结构与运行策略层面进行反思性改进。</w:t>
      </w:r>
    </w:p>
    <w:p>
      <w:pPr>
        <w:pStyle w:val="Heading3"/>
        <w:spacing w:before="240" w:after="120"/>
      </w:pPr>
      <w:r>
        <w:t xml:space="preserve">10.3.2  知识闭环的四阶段流程</w:t>
      </w:r>
    </w:p>
    <w:p>
      <w:pPr>
        <w:spacing w:after="160" w:line="360"/>
        <w:jc w:val="both"/>
      </w:pPr>
      <w:r>
        <w:rPr>
          <w:b/>
          <w:bCs/>
        </w:rPr>
        <w:t xml:space="preserve">第一阶段：事件检测与异常识别。</w:t>
      </w:r>
      <w:r>
        <w:t xml:space="preserve">利用统计过程控制（SPC）方法[22]，对关键运行指标（如水位偏差、流量波动率、能耗单耗等）建立控制图。当指标超出控制限或呈现趋势性漂移时，自动触发事件标记。除传统SPC方法外，还可引入基于机器学习的异常检测算法（如Isolation Forest、LSTM自编码器等），识别隐藏在高维运行数据中的异常模式[23]。事件检测的目标不是简单的“超限报警”，而是能够区分“随机波动”“趋势性退化”“突发事件”和“组合风险”等不同类型的异常，为后续归因分析提供准确的输入。</w:t>
      </w:r>
    </w:p>
    <w:p>
      <w:pPr>
        <w:spacing w:after="160" w:line="360"/>
        <w:jc w:val="both"/>
      </w:pPr>
      <w:r>
        <w:rPr>
          <w:b/>
          <w:bCs/>
        </w:rPr>
        <w:t xml:space="preserve">第二阶段：根因分析与因果归因。</w:t>
      </w:r>
      <w:r>
        <w:t xml:space="preserve">异常检测发现“出了什么问题”，根因分析回答“为什么出问题”。这是知识闭环中技术难度最大的环节。传统的关联分析（如相关性检验、Granger因果检验）仅能发现统计关联，无法建立真正的因果关系。建议引入Pearl提出的结构因果模型（SCM）框架[24]，结合数字线程提供的全链路数据，构建水网运行的因果图（Causal Graph）。基于因果图，可以通过do-calculus进行反事实推理：“如果当时MPC的约束设定不同，结果会怎样？”这种能力对于区分“模型失准”“预报偏差”“约束遗漏”“执行延迟”“设备故障”等不同根因至关重要。在工程实践中，可先从专家知识出发构建初始因果图，再利用数据驱动的因果发现算法（如PC算法、FCI算法）进行校验与补充[25]。</w:t>
      </w:r>
    </w:p>
    <w:p>
      <w:pPr>
        <w:spacing w:after="160" w:line="360"/>
        <w:jc w:val="both"/>
      </w:pPr>
      <w:r>
        <w:rPr>
          <w:b/>
          <w:bCs/>
        </w:rPr>
        <w:t xml:space="preserve">第三阶段：知识提取与结构化沉淀。</w:t>
      </w:r>
      <w:r>
        <w:t xml:space="preserve">将归因分析的结果转化为结构化的知识条目，纳入工程知识图谱。每一条知识条目应包含标准化的要素集：触发条件（工况组合）、影响范围（受影响的控制单元与指标）、根因类别、处置方案、处置效果评估以及置信度评级[26]。知识图谱的构建可参照本体工程（Ontology Engineering）的方法论[27]，建立水网运行领域的概念体系与关系网络。随着知识条目的积累，知识图谱将逐步成为水网运行的“集体记忆”，为新建工程的策略初始化、运维人员的决策辅助以及AI模型的训练数据增强提供支撑。</w:t>
      </w:r>
    </w:p>
    <w:p>
      <w:pPr>
        <w:spacing w:after="160" w:line="360"/>
        <w:jc w:val="both"/>
      </w:pPr>
      <w:r>
        <w:rPr>
          <w:b/>
          <w:bCs/>
        </w:rPr>
        <w:t xml:space="preserve">第四阶段：模型与策略更新及验证部署。</w:t>
      </w:r>
      <w:r>
        <w:t xml:space="preserve">根据提取的知识对系统组件进行针对性优化：若根因在模型层，则触发参数重标定或模型结构调整（如增加非线性项、调整时滞参数等）；若在策略层，则更新约束模板或调整MPC权重矩阵；若在场景层，则将新发现的风险场景补充到场景库中，驱动回归测试与覆盖度评估。至关重要的是，任何模型或策略更新在上线前都必须重新通过本报告第九章所述的SIL/HIL验证流程，获得“准入”后方可部署到生产环境[28]。这一约束确保了知识闭环的改进是“受控的进化”而非“失控的变异”，维护了系统安全论证的连续性与完整性。</w:t>
      </w:r>
    </w:p>
    <w:p>
      <w:pPr>
        <w:pStyle w:val="Heading2"/>
        <w:spacing w:before="300" w:after="160"/>
      </w:pPr>
      <w:r>
        <w:t xml:space="preserve">10.4  大语言模型在运维可溯与知识闭环中的角色</w:t>
      </w:r>
    </w:p>
    <w:p>
      <w:pPr>
        <w:spacing w:after="160" w:line="360"/>
        <w:jc w:val="both"/>
      </w:pPr>
      <w:r>
        <w:t xml:space="preserve">在AGI与Agentic AI快速发展的背景下，大语言模型（LLM）等生成式AI技术可在运维可溯与知识闭环的多个环节发挥显著的效率提升作用。具体应用场景包括以下几个方面。</w:t>
      </w:r>
    </w:p>
    <w:p>
      <w:pPr>
        <w:spacing w:after="160" w:line="360"/>
        <w:jc w:val="both"/>
      </w:pPr>
      <w:r>
        <w:t xml:space="preserve">其一，运维日志的自动解析与结构化。水网系统的运维日志通常以自然语言形式记录，格式不统一，信息密度参差不齐。LLM可以自动将非结构化的日志文本解析为结构化的事件记录（包含时间、位置、事件类型、处置措施、结果等标准化字段），极大降低知识提取的人工成本[29]。</w:t>
      </w:r>
    </w:p>
    <w:p>
      <w:pPr>
        <w:spacing w:after="160" w:line="360"/>
        <w:jc w:val="both"/>
      </w:pPr>
      <w:r>
        <w:t xml:space="preserve">其二，场景描述与测试用例的辅助生成。基于知识图谱中已有的风险场景知识，LLM可以通过组合推理自动生成新的边界场景描述与对应的SIL测试用例框架，提高场景库的覆盖度扩展效率[30]。</w:t>
      </w:r>
    </w:p>
    <w:p>
      <w:pPr>
        <w:spacing w:after="160" w:line="360"/>
        <w:jc w:val="both"/>
      </w:pPr>
      <w:r>
        <w:t xml:space="preserve">其三，自然语言交互式决策回放。运维人员可以通过自然语言向系统提问（如“昨天下午3点渠段B5的水位为什么偏高？”），LLM结合数字线程中的结构化数据，生成可读性强的归因分析报告，降低决策回放的技术门槛。</w:t>
      </w:r>
    </w:p>
    <w:p>
      <w:pPr>
        <w:spacing w:after="160" w:line="360"/>
        <w:jc w:val="both"/>
      </w:pPr>
      <w:r>
        <w:t xml:space="preserve">其四，技术文档与安全报告的自动起草。SIL/HIL测试报告、Safety Case文档等工程准入所需的技术文件编制工作量巨大。LLM可以基于结构化的测试数据与模板，自动生成报告初稿，将工程师从繁琐的文档工作中解放出来，使其能够将精力集中在审核与判断上。</w:t>
      </w:r>
    </w:p>
    <w:p>
      <w:pPr>
        <w:spacing w:after="160" w:line="360"/>
        <w:jc w:val="both"/>
      </w:pPr>
      <w:r>
        <w:t xml:space="preserve">然而，必须严格界定LLM在水网系统运维中的角色边界。LLM的输出应始终定位为“辅助建议”而非“最终决策”。所有涉及安全约束变更、控制策略修改、模型参数调整的操作，必须经过形式化验证流程（SIL/HIL测试 + 变更控制委员会审批）后方可生效。正如本报告第3.8节所强调的：AI是加速器，控制工程是安全基座。在运维可溯与知识闭环的语境下，LLM加速了数据到知识的转化效率，但安全证据链的严密性不能因为效率的提升而有任何折扣。</w:t>
      </w:r>
    </w:p>
    <w:p>
      <w:pPr>
        <w:pStyle w:val="Heading2"/>
        <w:spacing w:before="300" w:after="160"/>
      </w:pPr>
      <w:r>
        <w:t xml:space="preserve">10.5  持续改进的度量体系</w:t>
      </w:r>
    </w:p>
    <w:p>
      <w:pPr>
        <w:spacing w:after="160" w:line="360"/>
        <w:jc w:val="both"/>
      </w:pPr>
      <w:r>
        <w:t xml:space="preserve">持续改进不能依赖主观判断，必须建立量化度量体系，使系统的进化过程可衡量、可比较、可审计。基于国际标准和先进行业实践[31][32]，建议建立以下核心度量指标体系。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指标类别</w:t>
            </w:r>
          </w:p>
        </w:tc>
        <w:tc>
          <w:tcPr>
            <w:tcW w:type="dxa" w:w="341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具体指标</w:t>
            </w:r>
          </w:p>
        </w:tc>
        <w:tc>
          <w:tcPr>
            <w:tcW w:type="dxa" w:w="3413"/>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center"/>
            </w:pPr>
            <w:r>
              <w:rPr>
                <w:rFonts w:ascii="SimSun" w:cs="SimSun" w:eastAsia="SimSun" w:hAnsi="SimSun"/>
                <w:b/>
                <w:bCs/>
                <w:color w:val="FFFFFF"/>
                <w:sz w:val="20"/>
                <w:szCs w:val="20"/>
              </w:rPr>
              <w:t xml:space="preserve">度量方法与意义</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学习速度</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知识更新频率（条/月）</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单位时间内新增或修订的知识条目数量，反映系统从运行数据中提取知识的效率</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风险发现能力</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场景库覆盖率增长率（%/季度）</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通过知识闭环新发现并补充到场景库中的风险场景占比增速，反映系统识别长尾风险的能力</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模型精度趋势</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预测与重构精度的滑动窗口评估</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以RMSE、Nash-Sutcliffe等指标的时间序列追踪模型性能演化，识别退化趋势</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自主能力提升</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人工干预频次下降率（%/年）</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在相同ODD条件下，单位时间内人工干预次数的变化趋势，是系统自主运行能力的综合指标</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归因效率</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平均归因时间（MTTA）</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从异常检测到根因确认的平均用时，反映数字线程与知识图谱对故障定位的支撑效果</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闭环时效</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知识闭环周转时间</w:t>
            </w:r>
          </w:p>
        </w:tc>
        <w:tc>
          <w:tcPr>
            <w:tcW w:type="dxa" w:w="3413"/>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40"/>
            </w:pPr>
            <w:r>
              <w:rPr>
                <w:rFonts w:ascii="SimSun" w:cs="SimSun" w:eastAsia="SimSun" w:hAnsi="SimSun"/>
                <w:sz w:val="20"/>
                <w:szCs w:val="20"/>
              </w:rPr>
              <w:t xml:space="preserve">从发现问题到改进措施通过验证并上线的平均周期，反映持续改进流程的运转效率</w:t>
            </w:r>
          </w:p>
        </w:tc>
      </w:tr>
    </w:tbl>
    <w:p>
      <w:pPr>
        <w:spacing w:after="160" w:line="360"/>
        <w:jc w:val="both"/>
      </w:pPr>
      <w:r>
        <w:t xml:space="preserve"/>
      </w:r>
    </w:p>
    <w:p>
      <w:pPr>
        <w:spacing w:after="160" w:line="360"/>
        <w:jc w:val="both"/>
      </w:pPr>
      <w:r>
        <w:t xml:space="preserve">上述指标应以仪表盘形式进行可视化展示，并纳入系统运行的定期评审机制。建议每季度进行一次全面的度量评审，识别改进停滞或退化的环节，驱动管理层关注与资源配置。同时，度量数据本身也应纳入数字线程的归档范围，为长期的能力演进分析提供数据基础。</w:t>
      </w:r>
    </w:p>
    <w:p>
      <w:pPr>
        <w:spacing w:after="160" w:line="360"/>
        <w:jc w:val="both"/>
      </w:pPr>
      <w:r>
        <w:t xml:space="preserve">在度量体系的实施层面，需要注意几个关键问题。首先，指标定义必须精确且可操作化，避免因定义模糊导致的度量失真。例如，“人工干预”需要明确界定：操作员的日常巡检确认是否算作“干预”？系统在ODD边界自动请求人工确认是否算作“干预”？建议区分“主动干预”（系统偏差触发的人工介入）与“确认性操作”（系统设计中的人工确认节点），只将前者纳入自主能力评估指标。其次，指标之间可能存在冲突与权衡关系。例如，为了提高知识闭环的周转时间，可能倾向于降低变更审批的严格程度，但这又可能增加系统风险。因此，度量体系的使用必须结合多指标综合判断，而不能对单一指标进行过度优化。第三，度量基线的建立至关重要。系统上线初期应设定合理的基线值，后续的改进评估以基线为参照进行趋势分析，而非追求绝对指标值的达标。</w:t>
      </w:r>
    </w:p>
    <w:p>
      <w:pPr>
        <w:pStyle w:val="Heading2"/>
        <w:spacing w:before="300" w:after="160"/>
      </w:pPr>
      <w:r>
        <w:t xml:space="preserve">10.6  版本治理与变更控制</w:t>
      </w:r>
    </w:p>
    <w:p>
      <w:pPr>
        <w:spacing w:after="160" w:line="360"/>
        <w:jc w:val="both"/>
      </w:pPr>
      <w:r>
        <w:t xml:space="preserve">知识闭环驱动的持续改进，必然导致模型、策略与约束参数的频繁更新。如果缺乏严格的版本治理机制，频繁的变更不但不会带来能力提升，反而会引入新的风险源——这正是许多信息系统“越升级越不稳定”的根源。水网自主运行系统必须建立与航空、汽车行业等效的变更控制体系。</w:t>
      </w:r>
    </w:p>
    <w:p>
      <w:pPr>
        <w:pStyle w:val="Heading3"/>
        <w:spacing w:before="240" w:after="120"/>
      </w:pPr>
      <w:r>
        <w:t xml:space="preserve">10.6.1  版本标识与配置管理</w:t>
      </w:r>
    </w:p>
    <w:p>
      <w:pPr>
        <w:spacing w:after="160" w:line="360"/>
        <w:jc w:val="both"/>
      </w:pPr>
      <w:r>
        <w:t xml:space="preserve">系统中所有可变更的组件——包括物理模型参数集、MPC权重矩阵、约束模板、场景库版本、控制策略逻辑以及数据同化算法参数——都应纳入配置管理范围。每一个配置项必须有唯一的版本标识（Version ID），采用语义化版本号（Semantic Versioning, 如v2.3.1）进行编号[33]。每次变更都应生成完整的变更记录（Change Log），包含变更原因、变更内容、影响分析、审批人与生效时间。参照IEEE 828标准[34]的配置管理框架，建议将配置项分为三个控制等级：安全关键配置（如硬约束阈值，需最高级别审批）、性能相关配置（如MPC权重，需常规审批）和一般配置（如显示参数，可简化审批）。</w:t>
      </w:r>
    </w:p>
    <w:p>
      <w:pPr>
        <w:pStyle w:val="Heading3"/>
        <w:spacing w:before="240" w:after="120"/>
      </w:pPr>
      <w:r>
        <w:t xml:space="preserve">10.6.2  变更控制委员会（CCB）</w:t>
      </w:r>
    </w:p>
    <w:p>
      <w:pPr>
        <w:spacing w:after="160" w:line="360"/>
        <w:jc w:val="both"/>
      </w:pPr>
      <w:r>
        <w:t xml:space="preserve">建议设立变更控制委员会（Configuration Control Board, CCB），由系统工程师、运行管理人员、安全专家和相关领域专家组成。任何安全关键配置和性能相关配置的变更，都必须经过CCB的“提案→评审→测试→批准”标准流程。评审内容包括：变更的必要性论证、影响范围分析、回退方案、SIL/HIL测试结果以及对现有Safety Case的影响评估。在紧急情况下（如发现影响安全的缺陷），可启动快速通道进行变更，但事后必须补充完整的审批与归档流程。</w:t>
      </w:r>
    </w:p>
    <w:p>
      <w:pPr>
        <w:pStyle w:val="Heading3"/>
        <w:spacing w:before="240" w:after="120"/>
      </w:pPr>
      <w:r>
        <w:t xml:space="preserve">10.6.3  灰度发布与回退机制</w:t>
      </w:r>
    </w:p>
    <w:p>
      <w:pPr>
        <w:spacing w:after="160" w:line="360"/>
        <w:jc w:val="both"/>
      </w:pPr>
      <w:r>
        <w:t xml:space="preserve">借鉴互联网行业的灰度发布（Canary Release）实践[35]，新版本上线时可先在部分控制单元（如单个渠段或泵站）进行试运行，在确认无异常后再逐步扩展到全网。系统必须具备快速回退能力：当新版本出现性能退化或安全隐患时，能在一个控制周期内自动切换回上一稳定版本。回退触发条件应预先定义并纳入自动化监控体系，避免依赖人工判断导致的延迟。每次版本切换（包括灰度发布与回退）的全过程应纳入数字线程记录，确保可追溯性。</w:t>
      </w:r>
    </w:p>
    <w:p>
      <w:pPr>
        <w:pStyle w:val="Heading2"/>
        <w:spacing w:before="300" w:after="160"/>
      </w:pPr>
      <w:r>
        <w:t xml:space="preserve">10.7  与工程准入体系的衔接</w:t>
      </w:r>
    </w:p>
    <w:p>
      <w:pPr>
        <w:spacing w:after="160" w:line="360"/>
        <w:jc w:val="both"/>
      </w:pPr>
      <w:r>
        <w:t xml:space="preserve">运维可溯与持续改进体系并非孤立存在，而是与本报告提出的“工程准入”框架深度耦合。具体而言，数字线程为准入提供“证据”：系统在运行期间持续积累的全链路数据，构成了Safety Case的“运行证据”部分，是对设计阶段Safety Case的“活证据”补充[36]。知识闭环为准入提供“进化路径”：通过持续发现风险、补充场景库、优化模型与策略，系统的ODD可以在受控条件下逐步扩展，自主运行等级可以从L2逐步提升到L3乃至L4。版本治理为准入提供“可控性保障”：每一个在线运行的版本都能追溯到其对应的场景库测试报告、SIL/HIL验证结果和CCB审批记录，确保准入状态的连续有效性。</w:t>
      </w:r>
    </w:p>
    <w:p>
      <w:pPr>
        <w:spacing w:after="160" w:line="360"/>
        <w:jc w:val="both"/>
      </w:pPr>
      <w:r>
        <w:t xml:space="preserve">在工程实践中，建议将“运维可溯与持续改进能力”作为工程准入评估的必检项目。具体评估内容应包括：数字线程的六层数据覆盖率与完整性；知识闭环的运转频率与闭环率（即发现问题后实际完成“归因→改进→验证→部署”全流程的比例）；版本治理的规范执行率；以及上述度量指标的趋势表现。只有具备成熟的运维可溯与持续改进能力的系统，才有资格申请ODD扩展和自主运行等级提升。</w:t>
      </w:r>
    </w:p>
    <w:p>
      <w:pPr>
        <w:pStyle w:val="Heading2"/>
        <w:spacing w:before="300" w:after="160"/>
      </w:pPr>
      <w:r>
        <w:t xml:space="preserve">10.8  本章小结</w:t>
      </w:r>
    </w:p>
    <w:p>
      <w:pPr>
        <w:spacing w:after="160" w:line="360"/>
        <w:jc w:val="both"/>
      </w:pPr>
      <w:r>
        <w:t xml:space="preserve">运维可溯与持续改进是水网自主运行技术体系中承上启下的关键环节。数字线程为系统提供“记忆”，使每一次决策都有据可查、有迹可循；知识闭环为系统注入“学习能力”，使经验教训能够转化为实质性的能力提升；版本治理与变更控制确保进化过程是“受控”的，不会因为追求改进而引入新的风险。三者共同构成了系统从“静态部署”走向“持续进化”的驱动引擎。</w:t>
      </w:r>
    </w:p>
    <w:p>
      <w:pPr>
        <w:spacing w:after="160" w:line="360"/>
        <w:jc w:val="both"/>
      </w:pPr>
      <w:r>
        <w:t xml:space="preserve">从更宏观的视角审视，运维可溯与持续改进体系的建立，标志着水网管理范式的根本性转变——从“经验驱动”转向“证据驱动”。在经验驱动的范式下，系统能力取决于核心人员的经验积累，具有不可复制、不可验证、不可传承的局限性。而在证据驱动的范式下，系统能力沉淀在数字线程、知识图谱与通过验证的版本中，具有可复制、可审计、可持续进化的特质。这一转变不仅是技术层面的进步，更是水利行业从“重建轻管”走向“建管并重”的制度性保障。唯有在工程准入框架下，持续积累安全证据、逐步扩展运行能力，才能最终实现国家水网主骨架的高度自主运行目标。</w:t>
      </w:r>
    </w:p>
    <w:p>
      <w:pPr>
        <w:spacing w:after="160" w:line="360"/>
        <w:jc w:val="both"/>
      </w:pPr>
      <w:r>
        <w:t xml:space="preserve">展望未来，随着物联网传感器密度的持续提升、边缘计算能力的增强以及大语言模型在知识提取领域的日益成熟，运维可溯与持续改进体系的构建成本将显著降低，而其产出价值将不断放大。但技术进步不能替代制度建设。数字线程的价值只有在“证据被审计”的制度环境中才能实现；知识闭环的进化只有在“变更被控制”的治理框架中才是安全的。因此，本章的核心建议可以浓缩为一句话：以数字线程为骨、以知识闭环为魂、以版本治理为纲，构建水网自主运行系统的“证据驱动型持续进化”能力。这一能力是水网从L2级局部闭环迈向L3级条件自主、乃至L4级高度自主的必经之路，也是水利行业真正实现“智慧水利”愿景的底层基础设施。</w:t>
      </w:r>
    </w:p>
    <w:p>
      <w:pPr>
        <w:spacing w:before="400"/>
      </w:pPr>
    </w:p>
    <w:p>
      <w:pPr>
        <w:spacing w:after="200"/>
        <w:jc w:val="center"/>
      </w:pPr>
      <w:r>
        <w:rPr>
          <w:color w:val="AAAAAA"/>
        </w:rPr>
        <w:t xml:space="preserve">────────────────────────────────────────</w:t>
      </w:r>
    </w:p>
    <w:p>
      <w:pPr>
        <w:pStyle w:val="Heading2"/>
        <w:spacing w:before="300" w:after="160"/>
      </w:pPr>
      <w:r>
        <w:t xml:space="preserve">本章参考文献</w:t>
      </w:r>
    </w:p>
    <w:p>
      <w:pPr>
        <w:spacing w:after="80" w:line="300"/>
      </w:pPr>
      <w:r>
        <w:rPr>
          <w:sz w:val="20"/>
          <w:szCs w:val="20"/>
        </w:rPr>
        <w:t xml:space="preserve">[1] RTCA. (2011). DO-178C: Software Considerations in Airborne Systems and Equipment Certification. RTCA, Inc.</w:t>
      </w:r>
    </w:p>
    <w:p>
      <w:pPr>
        <w:spacing w:after="80" w:line="300"/>
      </w:pPr>
      <w:r>
        <w:rPr>
          <w:sz w:val="20"/>
          <w:szCs w:val="20"/>
        </w:rPr>
        <w:t xml:space="preserve">[2] ISO. (2018). ISO 26262: Road vehicles — Functional safety. International Organization for Standardization.</w:t>
      </w:r>
    </w:p>
    <w:p>
      <w:pPr>
        <w:spacing w:after="80" w:line="300"/>
      </w:pPr>
      <w:r>
        <w:rPr>
          <w:sz w:val="20"/>
          <w:szCs w:val="20"/>
        </w:rPr>
        <w:t xml:space="preserve">[3] IEC. (2011). IEC 61513: Nuclear power plants — Instrumentation and control important to safety — General requirements for systems. International Electrotechnical Commission.</w:t>
      </w:r>
    </w:p>
    <w:p>
      <w:pPr>
        <w:spacing w:after="80" w:line="300"/>
      </w:pPr>
      <w:r>
        <w:rPr>
          <w:sz w:val="20"/>
          <w:szCs w:val="20"/>
        </w:rPr>
        <w:t xml:space="preserve">[4] Hedberg, T., et al. (2016). “Toward a lifecycle information framework and technology in manufacturing.” Journal of Computing and Information Science in Engineering, 16(2), 021010.</w:t>
      </w:r>
    </w:p>
    <w:p>
      <w:pPr>
        <w:spacing w:after="80" w:line="300"/>
      </w:pPr>
      <w:r>
        <w:rPr>
          <w:sz w:val="20"/>
          <w:szCs w:val="20"/>
        </w:rPr>
        <w:t xml:space="preserve">[5] U.S. Department of Defense. (2018). Digital Engineering Strategy. Office of the Deputy Assistant Secretary of Defense for Systems Engineering.</w:t>
      </w:r>
    </w:p>
    <w:p>
      <w:pPr>
        <w:spacing w:after="80" w:line="300"/>
      </w:pPr>
      <w:r>
        <w:rPr>
          <w:sz w:val="20"/>
          <w:szCs w:val="20"/>
        </w:rPr>
        <w:t xml:space="preserve">[6] Singh, V., &amp; Willcox, K. E. (2018). “Engineering design with digital thread.” AIAA Journal, 56(11), 4515–4528.</w:t>
      </w:r>
    </w:p>
    <w:p>
      <w:pPr>
        <w:spacing w:after="80" w:line="300"/>
      </w:pPr>
      <w:r>
        <w:rPr>
          <w:sz w:val="20"/>
          <w:szCs w:val="20"/>
        </w:rPr>
        <w:t xml:space="preserve">[7] ICAO. (2020). Annex 6: Operation of Aircraft — Part I: International Commercial Air Transport. International Civil Aviation Organization.</w:t>
      </w:r>
    </w:p>
    <w:p>
      <w:pPr>
        <w:spacing w:after="80" w:line="300"/>
      </w:pPr>
      <w:r>
        <w:rPr>
          <w:sz w:val="20"/>
          <w:szCs w:val="20"/>
        </w:rPr>
        <w:t xml:space="preserve">[8] Jiang, J., et al. (2020). “Outlier detection approaches based on machine learning in the Internet-of-Things.” IEEE Internet of Things Journal, 7(6), 5070–5080.</w:t>
      </w:r>
    </w:p>
    <w:p>
      <w:pPr>
        <w:spacing w:after="80" w:line="300"/>
      </w:pPr>
      <w:r>
        <w:rPr>
          <w:sz w:val="20"/>
          <w:szCs w:val="20"/>
        </w:rPr>
        <w:t xml:space="preserve">[9] Evensen, G. (2009). Data Assimilation: The Ensemble Kalman Filter (2nd ed.). Springer.</w:t>
      </w:r>
    </w:p>
    <w:p>
      <w:pPr>
        <w:spacing w:after="80" w:line="300"/>
      </w:pPr>
      <w:r>
        <w:rPr>
          <w:sz w:val="20"/>
          <w:szCs w:val="20"/>
        </w:rPr>
        <w:t xml:space="preserve">[10] Nash, J. E., &amp; Sutcliffe, J. V. (1970). “River flow forecasting through conceptual models Part I — A discussion of principles.” Journal of Hydrology, 10(3), 282–290.</w:t>
      </w:r>
    </w:p>
    <w:p>
      <w:pPr>
        <w:spacing w:after="80" w:line="300"/>
      </w:pPr>
      <w:r>
        <w:rPr>
          <w:sz w:val="20"/>
          <w:szCs w:val="20"/>
        </w:rPr>
        <w:t xml:space="preserve">[11] Camacho, E. F., &amp; Bordons, C. (2013). Model Predictive Control (2nd ed.). Springer.</w:t>
      </w:r>
    </w:p>
    <w:p>
      <w:pPr>
        <w:spacing w:after="80" w:line="300"/>
      </w:pPr>
      <w:r>
        <w:rPr>
          <w:sz w:val="20"/>
          <w:szCs w:val="20"/>
        </w:rPr>
        <w:t xml:space="preserve">[12] Negenborn, R. R., et al. (2009). “Distributed model predictive control of irrigation canals.” Networks and Heterogeneous Media, 4(2), 359–380.</w:t>
      </w:r>
    </w:p>
    <w:p>
      <w:pPr>
        <w:spacing w:after="80" w:line="300"/>
      </w:pPr>
      <w:r>
        <w:rPr>
          <w:sz w:val="20"/>
          <w:szCs w:val="20"/>
        </w:rPr>
        <w:t xml:space="preserve">[13] ISO. (2014). ISO 55000: Asset management — Overview, principles and terminology. International Organization for Standardization.</w:t>
      </w:r>
    </w:p>
    <w:p>
      <w:pPr>
        <w:spacing w:after="80" w:line="300"/>
      </w:pPr>
      <w:r>
        <w:rPr>
          <w:sz w:val="20"/>
          <w:szCs w:val="20"/>
        </w:rPr>
        <w:t xml:space="preserve">[14] Grieves, M., &amp; Vickers, J. (2017). “Digital twin: Mitigating unpredictable, undesirable emergent behavior in complex systems.” In Transdisciplinary Perspectives on Complex Systems, Springer, pp. 85–113.</w:t>
      </w:r>
    </w:p>
    <w:p>
      <w:pPr>
        <w:spacing w:after="80" w:line="300"/>
      </w:pPr>
      <w:r>
        <w:rPr>
          <w:sz w:val="20"/>
          <w:szCs w:val="20"/>
        </w:rPr>
        <w:t xml:space="preserve">[15] IEC. (2020). IEC 61970: Energy management system application program interface (EMS-API) — Part 301: Common information model (CIM) base. International Electrotechnical Commission.</w:t>
      </w:r>
    </w:p>
    <w:p>
      <w:pPr>
        <w:spacing w:after="80" w:line="300"/>
      </w:pPr>
      <w:r>
        <w:rPr>
          <w:sz w:val="20"/>
          <w:szCs w:val="20"/>
        </w:rPr>
        <w:t xml:space="preserve">[16] Jensen, S. K., Pedersen, T. B., &amp; Thomsen, C. (2017). “Time series management systems: A survey.” IEEE Transactions on Knowledge and Data Engineering, 29(11), 2581–2600.</w:t>
      </w:r>
    </w:p>
    <w:p>
      <w:pPr>
        <w:spacing w:after="80" w:line="300"/>
      </w:pPr>
      <w:r>
        <w:rPr>
          <w:sz w:val="20"/>
          <w:szCs w:val="20"/>
        </w:rPr>
        <w:t xml:space="preserve">[17] Merkle, R. C. (1988). “A digital signature based on a conventional encryption function.” In Advances in Cryptology — CRYPTO’87, Springer, pp. 369–378.</w:t>
      </w:r>
    </w:p>
    <w:p>
      <w:pPr>
        <w:spacing w:after="80" w:line="300"/>
      </w:pPr>
      <w:r>
        <w:rPr>
          <w:sz w:val="20"/>
          <w:szCs w:val="20"/>
        </w:rPr>
        <w:t xml:space="preserve">[18] Hasan, H. R., &amp; Salah, K. (2019). “Combating deepfake videos using blockchain and smart contracts.” IEEE Access, 7, 41596–41606.</w:t>
      </w:r>
    </w:p>
    <w:p>
      <w:pPr>
        <w:spacing w:after="80" w:line="300"/>
      </w:pPr>
      <w:r>
        <w:rPr>
          <w:sz w:val="20"/>
          <w:szCs w:val="20"/>
        </w:rPr>
        <w:t xml:space="preserve">[19] Gregersen, J. B., Gijsbers, P. J. A., &amp; Westen, S. J. P. (2007). “OpenMI: Open modelling interface.” Journal of Hydroinformatics, 9(3), 175–191.</w:t>
      </w:r>
    </w:p>
    <w:p>
      <w:pPr>
        <w:spacing w:after="80" w:line="300"/>
      </w:pPr>
      <w:r>
        <w:rPr>
          <w:sz w:val="20"/>
          <w:szCs w:val="20"/>
        </w:rPr>
        <w:t xml:space="preserve">[20] Deming, W. E. (1986). Out of the Crisis. MIT Press.</w:t>
      </w:r>
    </w:p>
    <w:p>
      <w:pPr>
        <w:spacing w:after="80" w:line="300"/>
      </w:pPr>
      <w:r>
        <w:rPr>
          <w:sz w:val="20"/>
          <w:szCs w:val="20"/>
        </w:rPr>
        <w:t xml:space="preserve">[21] Argyris, C., &amp; Schön, D. A. (1978). Organizational Learning: A Theory of Action Perspective. Addison-Wesley.</w:t>
      </w:r>
    </w:p>
    <w:p>
      <w:pPr>
        <w:spacing w:after="80" w:line="300"/>
      </w:pPr>
      <w:r>
        <w:rPr>
          <w:sz w:val="20"/>
          <w:szCs w:val="20"/>
        </w:rPr>
        <w:t xml:space="preserve">[22] Montgomery, D. C. (2019). Introduction to Statistical Quality Control (8th ed.). Wiley.</w:t>
      </w:r>
    </w:p>
    <w:p>
      <w:pPr>
        <w:spacing w:after="80" w:line="300"/>
      </w:pPr>
      <w:r>
        <w:rPr>
          <w:sz w:val="20"/>
          <w:szCs w:val="20"/>
        </w:rPr>
        <w:t xml:space="preserve">[23] Chandola, V., Banerjee, A., &amp; Kumar, V. (2009). “Anomaly detection: A survey.” ACM Computing Surveys, 41(3), 1–58.</w:t>
      </w:r>
    </w:p>
    <w:p>
      <w:pPr>
        <w:spacing w:after="80" w:line="300"/>
      </w:pPr>
      <w:r>
        <w:rPr>
          <w:sz w:val="20"/>
          <w:szCs w:val="20"/>
        </w:rPr>
        <w:t xml:space="preserve">[24] Pearl, J. (2009). Causality: Models, Reasoning, and Inference (2nd ed.). Cambridge University Press.</w:t>
      </w:r>
    </w:p>
    <w:p>
      <w:pPr>
        <w:spacing w:after="80" w:line="300"/>
      </w:pPr>
      <w:r>
        <w:rPr>
          <w:sz w:val="20"/>
          <w:szCs w:val="20"/>
        </w:rPr>
        <w:t xml:space="preserve">[25] Spirtes, P., Glymour, C., &amp; Scheines, R. (2000). Causation, Prediction, and Search (2nd ed.). MIT Press.</w:t>
      </w:r>
    </w:p>
    <w:p>
      <w:pPr>
        <w:spacing w:after="80" w:line="300"/>
      </w:pPr>
      <w:r>
        <w:rPr>
          <w:sz w:val="20"/>
          <w:szCs w:val="20"/>
        </w:rPr>
        <w:t xml:space="preserve">[26] Studer, R., Benjamins, V. R., &amp; Fensel, D. (1998). “Knowledge engineering: Principles and methods.” Data &amp; Knowledge Engineering, 25(1–2), 161–197.</w:t>
      </w:r>
    </w:p>
    <w:p>
      <w:pPr>
        <w:spacing w:after="80" w:line="300"/>
      </w:pPr>
      <w:r>
        <w:rPr>
          <w:sz w:val="20"/>
          <w:szCs w:val="20"/>
        </w:rPr>
        <w:t xml:space="preserve">[27] Noy, N. F., &amp; McGuinness, D. L. (2001). Ontology Development 101: A Guide to Creating Your First Ontology. Stanford Knowledge Systems Laboratory Technical Report.</w:t>
      </w:r>
    </w:p>
    <w:p>
      <w:pPr>
        <w:spacing w:after="80" w:line="300"/>
      </w:pPr>
      <w:r>
        <w:rPr>
          <w:sz w:val="20"/>
          <w:szCs w:val="20"/>
        </w:rPr>
        <w:t xml:space="preserve">[28] Koopman, P., &amp; Wagner, M. (2016). “Challenges in autonomous vehicle testing and validation.” SAE International Journal of Transportation Safety, 4(1), 15–24.</w:t>
      </w:r>
    </w:p>
    <w:p>
      <w:pPr>
        <w:spacing w:after="80" w:line="300"/>
      </w:pPr>
      <w:r>
        <w:rPr>
          <w:sz w:val="20"/>
          <w:szCs w:val="20"/>
        </w:rPr>
        <w:t xml:space="preserve">[29] Zhao, W. X., et al. (2023). “A survey of large language models.” arXiv preprint arXiv:2303.18223.</w:t>
      </w:r>
    </w:p>
    <w:p>
      <w:pPr>
        <w:spacing w:after="80" w:line="300"/>
      </w:pPr>
      <w:r>
        <w:rPr>
          <w:sz w:val="20"/>
          <w:szCs w:val="20"/>
        </w:rPr>
        <w:t xml:space="preserve">[30] Zhong, Z., et al. (2023). “Goal driven discovery of distributional differences via language descriptions.” arXiv preprint arXiv:2302.14233.</w:t>
      </w:r>
    </w:p>
    <w:p>
      <w:pPr>
        <w:spacing w:after="80" w:line="300"/>
      </w:pPr>
      <w:r>
        <w:rPr>
          <w:sz w:val="20"/>
          <w:szCs w:val="20"/>
        </w:rPr>
        <w:t xml:space="preserve">[31] ISO. (2015). ISO 9001: Quality management systems — Requirements. International Organization for Standardization.</w:t>
      </w:r>
    </w:p>
    <w:p>
      <w:pPr>
        <w:spacing w:after="80" w:line="300"/>
      </w:pPr>
      <w:r>
        <w:rPr>
          <w:sz w:val="20"/>
          <w:szCs w:val="20"/>
        </w:rPr>
        <w:t xml:space="preserve">[32] Castelletti, A., et al. (2023). “Model predictive control of water resources systems: A review and research agenda.” Annual Reviews in Control, 55, 442–465.</w:t>
      </w:r>
    </w:p>
    <w:p>
      <w:pPr>
        <w:spacing w:after="80" w:line="300"/>
      </w:pPr>
      <w:r>
        <w:rPr>
          <w:sz w:val="20"/>
          <w:szCs w:val="20"/>
        </w:rPr>
        <w:t xml:space="preserve">[33] Preston-Werner, T. (2013). Semantic Versioning 2.0.0. https://semver.org/.</w:t>
      </w:r>
    </w:p>
    <w:p>
      <w:pPr>
        <w:spacing w:after="80" w:line="300"/>
      </w:pPr>
      <w:r>
        <w:rPr>
          <w:sz w:val="20"/>
          <w:szCs w:val="20"/>
        </w:rPr>
        <w:t xml:space="preserve">[34] IEEE. (2012). IEEE 828-2012: Standard for Configuration Management in Systems and Software Engineering. Institute of Electrical and Electronics Engineers.</w:t>
      </w:r>
    </w:p>
    <w:p>
      <w:pPr>
        <w:spacing w:after="80" w:line="300"/>
      </w:pPr>
      <w:r>
        <w:rPr>
          <w:sz w:val="20"/>
          <w:szCs w:val="20"/>
        </w:rPr>
        <w:t xml:space="preserve">[35] Sato, D. (2014). “CanaryRelease.” MartinFowler.com. https://martinfowler.com/bliki/CanaryRelease.html.</w:t>
      </w:r>
    </w:p>
    <w:p>
      <w:pPr>
        <w:spacing w:after="80" w:line="300"/>
      </w:pPr>
      <w:r>
        <w:rPr>
          <w:sz w:val="20"/>
          <w:szCs w:val="20"/>
        </w:rPr>
        <w:t xml:space="preserve">[36] Kelly, T. P. (1998). Arguing Safety: A Systematic Approach to Managing Safety Cases. PhD Thesis, University of York.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 </w:t>
    </w:r>
    <w:r>
      <w:rPr>
        <w:color w:val="999999"/>
        <w:sz w:val="18"/>
        <w:szCs w:val="18"/>
      </w:rPr>
      <w:fldChar w:fldCharType="begin"/>
      <w:instrText xml:space="preserve">PAGE</w:instrText>
      <w:fldChar w:fldCharType="separate"/>
      <w:fldChar w:fldCharType="end"/>
    </w:r>
    <w:r>
      <w:rPr>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Sun" w:cs="SimSun" w:eastAsia="SimSun" w:hAnsi="SimSun"/>
        <w:color w:val="999999"/>
        <w:sz w:val="16"/>
        <w:szCs w:val="16"/>
      </w:rPr>
      <w:t xml:space="preserve">水网智能调控与自主运行关键技术研究报告  |  第十章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imHei" w:cs="SimHei" w:eastAsia="SimHei" w:hAnsi="SimHei"/>
      <w:b/>
      <w:bCs/>
      <w:color w:val="1F4E79"/>
      <w:sz w:val="36"/>
      <w:szCs w:val="36"/>
    </w:rPr>
  </w:style>
  <w:style w:type="paragraph" w:styleId="Heading2">
    <w:name w:val="Heading 2"/>
    <w:basedOn w:val="Normal"/>
    <w:next w:val="Normal"/>
    <w:qFormat/>
    <w:pPr>
      <w:spacing w:before="300" w:after="160"/>
      <w:outlineLvl w:val="1"/>
    </w:pPr>
    <w:rPr>
      <w:rFonts w:ascii="SimHei" w:cs="SimHei" w:eastAsia="SimHei" w:hAnsi="SimHei"/>
      <w:b/>
      <w:bCs/>
      <w:color w:val="2E75B6"/>
      <w:sz w:val="30"/>
      <w:szCs w:val="30"/>
    </w:rPr>
  </w:style>
  <w:style w:type="paragraph" w:styleId="Heading3">
    <w:name w:val="Heading 3"/>
    <w:basedOn w:val="Normal"/>
    <w:next w:val="Normal"/>
    <w:qFormat/>
    <w:pPr>
      <w:spacing w:before="240" w:after="120"/>
      <w:outlineLvl w:val="2"/>
    </w:pPr>
    <w:rPr>
      <w:rFonts w:ascii="SimHei" w:cs="SimHei" w:eastAsia="SimHei" w:hAnsi="SimHe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2026-02-04T08:36:25.514Z</dcterms:created>
  <dcterms:modified xsi:type="dcterms:W3CDTF">2026-02-04T08:36:25.515Z</dcterms:modified>
</cp:coreProperties>
</file>

<file path=docProps/custom.xml><?xml version="1.0" encoding="utf-8"?>
<Properties xmlns="http://schemas.openxmlformats.org/officeDocument/2006/custom-properties" xmlns:vt="http://schemas.openxmlformats.org/officeDocument/2006/docPropsVTypes"/>
</file>