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360" w:after="240"/>
      </w:pPr>
      <w:r>
        <w:rPr>
          <w:rFonts w:ascii="SimHei" w:cs="SimHei" w:eastAsia="SimHei" w:hAnsi="SimHei"/>
          <w:b/>
          <w:bCs/>
          <w:sz w:val="36"/>
          <w:szCs w:val="36"/>
        </w:rPr>
        <w:t xml:space="preserve">11. 标准体系与生态：互操作、数据模型与工程交付</w:t>
      </w:r>
    </w:p>
    <w:p>
      <w:pPr>
        <w:spacing w:after="120" w:line="360"/>
      </w:pPr>
      <w:r>
        <w:rPr>
          <w:rFonts w:ascii="SimSun" w:cs="SimSun" w:eastAsia="SimSun" w:hAnsi="SimSun"/>
          <w:sz w:val="24"/>
          <w:szCs w:val="24"/>
        </w:rPr>
        <w:t xml:space="preserve">水网智能调控与自主运行的工程落地，不仅取决于核心算法与控制策略的突破，更取决于能否建立一套贯通数据、模型、接口与交付的标准体系。缺乏标准体系的智慧水利建设，必然陷入“烟囱林立、数据孤岛、厂商锁定”的困境，重蹈“有数字、无智能”的覆辙。本章从与现有国际标准的衔接、发布自主国际标准的路径、国内行业标准的布局三个维度，系统阐述水网智能调控系统所需的标准体系框架及推进策略。</w:t>
      </w:r>
    </w:p>
    <w:p>
      <w:pPr>
        <w:pStyle w:val="Heading2"/>
        <w:spacing w:before="300" w:after="180"/>
      </w:pPr>
      <w:r>
        <w:rPr>
          <w:rFonts w:ascii="SimHei" w:cs="SimHei" w:eastAsia="SimHei" w:hAnsi="SimHei"/>
          <w:b/>
          <w:bCs/>
          <w:sz w:val="30"/>
          <w:szCs w:val="30"/>
        </w:rPr>
        <w:t xml:space="preserve">11.1 与现有国际模型耦合标准的关系定位</w:t>
      </w:r>
    </w:p>
    <w:p>
      <w:pPr>
        <w:pStyle w:val="Heading3"/>
        <w:spacing w:before="240" w:after="120"/>
      </w:pPr>
      <w:r>
        <w:rPr>
          <w:rFonts w:ascii="SimHei" w:cs="SimHei" w:eastAsia="SimHei" w:hAnsi="SimHei"/>
          <w:b/>
          <w:bCs/>
          <w:sz w:val="26"/>
          <w:szCs w:val="26"/>
        </w:rPr>
        <w:t xml:space="preserve">11.1.1 OpenMI：从水利仿真耦合到实时控制的继承与超越</w:t>
      </w:r>
    </w:p>
    <w:p>
      <w:pPr>
        <w:spacing w:after="120" w:line="360"/>
      </w:pPr>
      <w:r>
        <w:rPr>
          <w:rFonts w:ascii="SimSun" w:cs="SimSun" w:eastAsia="SimSun" w:hAnsi="SimSun"/>
          <w:sz w:val="24"/>
          <w:szCs w:val="24"/>
        </w:rPr>
        <w:t xml:space="preserve">OpenMI（Open Modelling Interface）是目前环境模型耦合领域应用最广泛的国际标准。该标准起源于欧盟第五框架计划资助的HarmonIT项目，最初面向水文-水力学模型集成需求设计，旨在解决欧盟《水框架指令》提出的流域综合管理建模需求[1]。经过HarmonIT（2002-2005）和OpenMI-LIFE（2006-2010）两期项目的发展，OpenMI于2014年7月经OGC（Open Geospatial Consortium）成员投票正式批准为OGC标准（OGC 14-068），由OpenMI Association（荷兰注册的非营利法人实体）负责维护知识产权[2][3]。</w:t>
      </w:r>
    </w:p>
    <w:p>
      <w:pPr>
        <w:spacing w:after="120" w:line="360"/>
      </w:pPr>
      <w:r>
        <w:rPr>
          <w:rFonts w:ascii="SimSun" w:cs="SimSun" w:eastAsia="SimSun" w:hAnsi="SimSun"/>
          <w:sz w:val="24"/>
          <w:szCs w:val="24"/>
        </w:rPr>
        <w:t xml:space="preserve">OpenMI 2.0的核心架构基于“请求-响应”（pull-based）的管线-过滤器模式，定义了标准化的数据交换接口IExchangeItem，使得符合OpenMI规范的模型组件可以在运行时动态交换内存数据，实现双向耦合[2]。其技术特点包括：模型定义接口允许其他可连接组件发现模型可交换的量及其空间位置；配置接口定义两个模型连接后实际交换的内容；运行时接口控制数据交换的时序与触发机制。OpenMI已在C#和Java中提供了参考实现，并通过FluidEarth 2等工具实现了跨平台支持[4]。在水利领域，OpenMI已成功应用于Deltares SOBEK与RTC-Tools的渠道-闸控耦合[5]、Thames综合模型[2]、以及多个欧洲流域的水文-水力-水质综合模拟[6]。</w:t>
      </w:r>
    </w:p>
    <w:p>
      <w:pPr>
        <w:spacing w:after="120" w:line="360"/>
      </w:pPr>
      <w:r>
        <w:rPr>
          <w:rFonts w:ascii="SimSun" w:cs="SimSun" w:eastAsia="SimSun" w:hAnsi="SimSun"/>
          <w:sz w:val="24"/>
          <w:szCs w:val="24"/>
        </w:rPr>
        <w:t xml:space="preserve">然而，OpenMI本质上是一个面向离线/准离线仿真场景的模型耦合标准，其设计未充分考虑水网自主运行所需的实时控制场景。具体而言，存在以下三个关键缺口：第一，OpenMI缺乏对实时通信协议（如MQTT、OPC UA）的原生支持，无法满足毫秒至秒级的控制时延要求；第二，OpenMI不包含模型健康状态监测与降级切换机制，当某个模型组件出现数值发散或运行异常时，缺乏自动隔离与回退能力；第三，OpenMI不涵盖模型版本管理与安全审计功能，无法确保在线运行的模型版本与经过SIL/HIL验证的版本严格一致。</w:t>
      </w:r>
    </w:p>
    <w:p>
      <w:pPr>
        <w:spacing w:after="120" w:line="360"/>
      </w:pPr>
      <w:r>
        <w:rPr>
          <w:rFonts w:ascii="SimSun" w:cs="SimSun" w:eastAsia="SimSun" w:hAnsi="SimSun"/>
          <w:b/>
          <w:bCs/>
          <w:i w:val="false"/>
          <w:iCs w:val="false"/>
          <w:sz w:val="24"/>
          <w:szCs w:val="24"/>
        </w:rPr>
        <w:t xml:space="preserve">因此，水网智能调控的模型耦合标准应采取“继承OpenMI语义框架，扩展实时控制能力”的策略。</w:t>
      </w:r>
      <w:r>
        <w:rPr>
          <w:rFonts w:ascii="SimSun" w:cs="SimSun" w:eastAsia="SimSun" w:hAnsi="SimSun"/>
          <w:sz w:val="24"/>
          <w:szCs w:val="24"/>
        </w:rPr>
        <w:t xml:space="preserve">具体而言，在模型描述层和数据交换语义层复用OpenMI 2.0的接口定义（IIdentifiable、IExchangeItem、ITimeSpaceComponent等），同时在其上叠加三个扩展层：实时通信适配层（RealTime Communication Adapter）、模型健康监控层（Model Health Monitor）和版本审计层（Version Audit Trail）。这种“继承+扩展”的技术路线既保持了与国际主流标准的兼容性，又填补了从仿真到控制的关键能力缺口。</w:t>
      </w:r>
    </w:p>
    <w:p>
      <w:pPr>
        <w:pStyle w:val="Heading3"/>
        <w:spacing w:before="240" w:after="120"/>
      </w:pPr>
      <w:r>
        <w:rPr>
          <w:rFonts w:ascii="SimHei" w:cs="SimHei" w:eastAsia="SimHei" w:hAnsi="SimHei"/>
          <w:b/>
          <w:bCs/>
          <w:sz w:val="26"/>
          <w:szCs w:val="26"/>
        </w:rPr>
        <w:t xml:space="preserve">11.1.2 OpenGMS：地理模拟资源共享平台与水网标准的互补关系</w:t>
      </w:r>
    </w:p>
    <w:p>
      <w:pPr>
        <w:spacing w:after="120" w:line="360"/>
      </w:pPr>
      <w:r>
        <w:rPr>
          <w:rFonts w:ascii="SimSun" w:cs="SimSun" w:eastAsia="SimSun" w:hAnsi="SimSun"/>
          <w:sz w:val="24"/>
          <w:szCs w:val="24"/>
        </w:rPr>
        <w:t xml:space="preserve">OpenGMS（Open Geographic Modeling and Simulation）是南京师范大学虚拟地理环境教育部重点实验室主导开发的地理建模与仿真开放平台[7]。OpenGMS的核心贡献在于定义了面向Web服务的模型封装标准OpenGMS-IS（Invocation Standard），采用模型描述语言MDL（Model Description Language）统一描述模型的基本属性、行为和运行环境，并通过OGMS-WS（Wrapper System）将模型封装为Web服务，实现跨网络的模型共享与调用[8][9]。OpenGMS已集成了SWAT、SWMM、WRF等多个涉水模型，遵循FAIR原则（Findable、Accessible、Interoperable、Reusable）构建了地理模拟资源门户[10]。</w:t>
      </w:r>
    </w:p>
    <w:p>
      <w:pPr>
        <w:spacing w:after="120" w:line="360"/>
      </w:pPr>
      <w:r>
        <w:rPr>
          <w:rFonts w:ascii="SimSun" w:cs="SimSun" w:eastAsia="SimSun" w:hAnsi="SimSun"/>
          <w:sz w:val="24"/>
          <w:szCs w:val="24"/>
        </w:rPr>
        <w:t xml:space="preserve">OpenGMS与OpenMI在技术路线上形成互补：OpenMI侧重运行时的内存级数据交换，解决模型间的紧耦合问题；OpenGMS侧重Web环境下的模型封装与远程调用，解决模型资源的发现、共享与松耦合集成问题。但两者之间以及与BMI（Basic Model Interface，由CSDMS社区维护）之间存在异构性问题——不同标准的模型描述字段、封装格式与调用协议各不相同，导致跨标准的模型互操作困难。Zhang等人（2021）针对这一问题设计了互操作引擎（Interoperability Engine），通过字段映射、函数转换和组件重组实现了OpenMI、BMI与OpenGMS-IS三种标准之间的模型互操作，并以SWMM、FDS等模型进行了验证[11]。</w:t>
      </w:r>
    </w:p>
    <w:p>
      <w:pPr>
        <w:spacing w:after="120" w:line="360"/>
      </w:pPr>
      <w:r>
        <w:rPr>
          <w:rFonts w:ascii="SimSun" w:cs="SimSun" w:eastAsia="SimSun" w:hAnsi="SimSun"/>
          <w:sz w:val="24"/>
          <w:szCs w:val="24"/>
        </w:rPr>
        <w:t xml:space="preserve">对于水网智能调控标准而言，OpenGMS的价值主要体现在两个方面：第一，水网涉及的大量水文、水力、水质模型需要统一的Web服务化封装与资源管理标准，OpenGMS的MDL描述体系和FAIR化资源门户提供了可借鉴的参考架构；第二，水网调控系统需要在云侧承载长周期滚动优化和知识服务，这些任务适合采用OpenGMS的服务导向架构进行模型组合与流程编排。</w:t>
      </w:r>
      <w:r>
        <w:rPr>
          <w:rFonts w:ascii="SimSun" w:cs="SimSun" w:eastAsia="SimSun" w:hAnsi="SimSun"/>
          <w:b/>
          <w:bCs/>
          <w:i w:val="false"/>
          <w:iCs w:val="false"/>
          <w:sz w:val="24"/>
          <w:szCs w:val="24"/>
        </w:rPr>
        <w:t xml:space="preserve">水网标准体系应在模型资源管理层兼容OpenGMS-IS的描述规范，同时在核心控制回路中采用基于OpenMI扩展的紧耦合接口，形成“松耦合管理+紧耦合控制”的双层架构。</w:t>
      </w:r>
    </w:p>
    <w:p>
      <w:pPr>
        <w:pStyle w:val="Heading3"/>
        <w:spacing w:before="240" w:after="120"/>
      </w:pPr>
      <w:r>
        <w:rPr>
          <w:rFonts w:ascii="SimHei" w:cs="SimHei" w:eastAsia="SimHei" w:hAnsi="SimHei"/>
          <w:b/>
          <w:bCs/>
          <w:sz w:val="26"/>
          <w:szCs w:val="26"/>
        </w:rPr>
        <w:t xml:space="preserve">11.1.3 BMI与CSDMS生态：标准化封装的轻量级路径</w:t>
      </w:r>
    </w:p>
    <w:p>
      <w:pPr>
        <w:spacing w:after="120" w:line="360"/>
      </w:pPr>
      <w:r>
        <w:rPr>
          <w:rFonts w:ascii="SimSun" w:cs="SimSun" w:eastAsia="SimSun" w:hAnsi="SimSun"/>
          <w:sz w:val="24"/>
          <w:szCs w:val="24"/>
        </w:rPr>
        <w:t xml:space="preserve">CSDMS（Community Surface Dynamics Modeling System）维护的BMI（Basic Model Interface）是另一个重要的模型接口标准[12]。BMI的设计哲学是“最小侵入”——仅要求模型实现initialize、update、finalize等少量标准函数，极大降低了已有模型的迁移成本。CSDMS模型库已收录380余个开源地球科学模型，其中相当数量已完成BMI化封装[13]。BMI的轻量级特性使其特别适合水网系统中大量已有工程模型（如各类水文预报模型、水质模型）的快速标准化封装。水网标准体系可将BMI作为模型准入的最低合规要求——任何拟接入水网调控平台的模型，至少应实现BMI接口，以确保基本的初始化、步进和终止控制能力。</w:t>
      </w:r>
    </w:p>
    <w:p>
      <w:pPr>
        <w:pStyle w:val="Heading3"/>
        <w:spacing w:before="240" w:after="120"/>
      </w:pPr>
      <w:r>
        <w:rPr>
          <w:rFonts w:ascii="SimHei" w:cs="SimHei" w:eastAsia="SimHei" w:hAnsi="SimHei"/>
          <w:b/>
          <w:bCs/>
          <w:sz w:val="26"/>
          <w:szCs w:val="26"/>
        </w:rPr>
        <w:t xml:space="preserve">11.1.4 OGC WaterML与SensorThings API：水文量测数据的语义基准</w:t>
      </w:r>
    </w:p>
    <w:p>
      <w:pPr>
        <w:spacing w:after="120" w:line="360"/>
      </w:pPr>
      <w:r>
        <w:rPr>
          <w:rFonts w:ascii="SimSun" w:cs="SimSun" w:eastAsia="SimSun" w:hAnsi="SimSun"/>
          <w:sz w:val="24"/>
          <w:szCs w:val="24"/>
        </w:rPr>
        <w:t xml:space="preserve">在数据标准层面，OGC发布的WaterML 2.0（OGC 10-126r4）为水文时间序列数据定义了标准化的XML编码格式，覆盖了量测站点、时间序列、数据质量标记等核心语义[14]。OGC SensorThings API（OGC 15-078r6）进一步将物联网传感器的数据访问标准化为RESTful API，支持MQTT实时推送[15]。这两项标准应作为Water-CIM量测与状态层的语义基准，确保水网中各类传感器数据的时空一致性表达与跨系统互操作。</w:t>
      </w:r>
    </w:p>
    <w:p>
      <w:pPr>
        <w:pStyle w:val="Heading2"/>
        <w:spacing w:before="300" w:after="180"/>
      </w:pPr>
      <w:r>
        <w:rPr>
          <w:rFonts w:ascii="SimHei" w:cs="SimHei" w:eastAsia="SimHei" w:hAnsi="SimHei"/>
          <w:b/>
          <w:bCs/>
          <w:sz w:val="30"/>
          <w:szCs w:val="30"/>
        </w:rPr>
        <w:t xml:space="preserve">11.2 发布自主国际标准的具体路径</w:t>
      </w:r>
    </w:p>
    <w:p>
      <w:pPr>
        <w:spacing w:after="120" w:line="360"/>
      </w:pPr>
      <w:r>
        <w:rPr>
          <w:rFonts w:ascii="SimSun" w:cs="SimSun" w:eastAsia="SimSun" w:hAnsi="SimSun"/>
          <w:sz w:val="24"/>
          <w:szCs w:val="24"/>
        </w:rPr>
        <w:t xml:space="preserve">水网智能调控领域具有鲜明的中国特色与全球引领潜力——中国拥有世界上规模最大、复杂度最高的跨流域调水工程群和国家水网基础设施，由此积累的运行控制经验与技术体系具备输出为国际标准的条件。发布自主国际标准应从以下三条路径同步推进。</w:t>
      </w:r>
    </w:p>
    <w:p>
      <w:pPr>
        <w:pStyle w:val="Heading3"/>
        <w:spacing w:before="240" w:after="120"/>
      </w:pPr>
      <w:r>
        <w:rPr>
          <w:rFonts w:ascii="SimHei" w:cs="SimHei" w:eastAsia="SimHei" w:hAnsi="SimHei"/>
          <w:b/>
          <w:bCs/>
          <w:sz w:val="26"/>
          <w:szCs w:val="26"/>
        </w:rPr>
        <w:t xml:space="preserve">11.2.1 路径一：通过ISO/TC 224/WG 15提出新工作项提案（NWIP）</w:t>
      </w:r>
    </w:p>
    <w:p>
      <w:pPr>
        <w:spacing w:after="120" w:line="360"/>
      </w:pPr>
      <w:r>
        <w:rPr>
          <w:rFonts w:ascii="SimSun" w:cs="SimSun" w:eastAsia="SimSun" w:hAnsi="SimSun"/>
          <w:sz w:val="24"/>
          <w:szCs w:val="24"/>
        </w:rPr>
        <w:t xml:space="preserve">ISO/TC 224（饮用水、废水和雨水系统及服务）是智慧水管理领域最核心的ISO技术委员会，成立于2001年，目前已建立18个工作组，发布了33项国际标准，另有13项在研[16]。其中，WG 15（智慧水管理工作组）是与水网智能调控最直接相关的归口工作组，已发布ISO 24591-1:2024（智慧水管理 第1部分：通用指南与治理）和ISO 24591-2:2024（第2部分：数据管理指南）两项标准[17][18]，正在推进ISO/TR 25371（智慧水管理最佳实践案例）、ISO/NP 25407（废水系统智慧管理指南）和ISO/NP 25288（集成AI技术的智慧饮用水服务管理指南）三项新标准[19]。</w:t>
      </w:r>
    </w:p>
    <w:p>
      <w:pPr>
        <w:spacing w:after="120" w:line="360"/>
      </w:pPr>
      <w:r>
        <w:rPr>
          <w:rFonts w:ascii="SimSun" w:cs="SimSun" w:eastAsia="SimSun" w:hAnsi="SimSun"/>
          <w:sz w:val="24"/>
          <w:szCs w:val="24"/>
        </w:rPr>
        <w:t xml:space="preserve">通过ISO/TC 224/WG 15提出新工作项提案的具体操作流程如下：</w:t>
      </w:r>
    </w:p>
    <w:p>
      <w:pPr>
        <w:spacing w:after="120" w:line="360"/>
      </w:pPr>
      <w:r>
        <w:rPr>
          <w:rFonts w:ascii="SimSun" w:cs="SimSun" w:eastAsia="SimSun" w:hAnsi="SimSun"/>
          <w:b/>
          <w:bCs/>
          <w:i w:val="false"/>
          <w:iCs w:val="false"/>
          <w:sz w:val="24"/>
          <w:szCs w:val="24"/>
        </w:rPr>
        <w:t xml:space="preserve">第一步，确定提案主题与范围。</w:t>
      </w:r>
      <w:r>
        <w:rPr>
          <w:rFonts w:ascii="SimSun" w:cs="SimSun" w:eastAsia="SimSun" w:hAnsi="SimSun"/>
          <w:sz w:val="24"/>
          <w:szCs w:val="24"/>
        </w:rPr>
        <w:t xml:space="preserve">建议提出“Water Network Autonomous Operations — Guidelines for operational design domain, scenario-based verification and engineering acceptance”（水网自主运行——运行设计域、场景化验证与工程准入指南）为主题，填补ISO 24591系列在“自主运行分级”和“工程准入”方面的空白。该主题应避免与WG 15现有项目重叠，聚焦于ISO 24591系列尚未覆盖的控制系统验证与准入层面。</w:t>
      </w:r>
    </w:p>
    <w:p>
      <w:pPr>
        <w:spacing w:after="120" w:line="360"/>
      </w:pPr>
      <w:r>
        <w:rPr>
          <w:rFonts w:ascii="SimSun" w:cs="SimSun" w:eastAsia="SimSun" w:hAnsi="SimSun"/>
          <w:b/>
          <w:bCs/>
          <w:i w:val="false"/>
          <w:iCs w:val="false"/>
          <w:sz w:val="24"/>
          <w:szCs w:val="24"/>
        </w:rPr>
        <w:t xml:space="preserve">第二步，经由国内对口单位提交ISO Form 4。</w:t>
      </w:r>
      <w:r>
        <w:rPr>
          <w:rFonts w:ascii="SimSun" w:cs="SimSun" w:eastAsia="SimSun" w:hAnsi="SimSun"/>
          <w:sz w:val="24"/>
          <w:szCs w:val="24"/>
        </w:rPr>
        <w:t xml:space="preserve">中国参加ISO活动的国家成员体为SAC（国家标准化管理委员会）[20]。任何NWIP须由P成员国的国家标准化机构向TC/SC秘书处提交ISO Form 4表格，内容包括标准的范围定义（Scope）、社会需求论证（Justification）、与可持续发展目标的关联（SDG alignment）、利益相关方识别（Stakeholders）、以及项目负责人（Project Leader）提名[21]。</w:t>
      </w:r>
    </w:p>
    <w:p>
      <w:pPr>
        <w:spacing w:after="120" w:line="360"/>
      </w:pPr>
      <w:r>
        <w:rPr>
          <w:rFonts w:ascii="SimSun" w:cs="SimSun" w:eastAsia="SimSun" w:hAnsi="SimSun"/>
          <w:b/>
          <w:bCs/>
          <w:i w:val="false"/>
          <w:iCs w:val="false"/>
          <w:sz w:val="24"/>
          <w:szCs w:val="24"/>
        </w:rPr>
        <w:t xml:space="preserve">第三步，投票与工作组运作。</w:t>
      </w:r>
      <w:r>
        <w:rPr>
          <w:rFonts w:ascii="SimSun" w:cs="SimSun" w:eastAsia="SimSun" w:hAnsi="SimSun"/>
          <w:sz w:val="24"/>
          <w:szCs w:val="24"/>
        </w:rPr>
        <w:t xml:space="preserve">NWIP需获得TC 224 P成员国三分之二多数赞成票且否决票不超过总投票的四分之一方可通过[22]。通过后进入WD（Working Draft）→CD（Committee Draft）→DIS（Draft International Standard）→FDIS（Final Draft International Standard）→发布的标准开发流程。根据项目复杂度，可选择18、24、36或48个月四个开发周期[22]。建议在NWIP提交时同时附上已有的技术报告或标准草案初稿，以加速审批进程。</w:t>
      </w:r>
    </w:p>
    <w:p>
      <w:pPr>
        <w:spacing w:after="120" w:line="360"/>
      </w:pPr>
      <w:r>
        <w:rPr>
          <w:rFonts w:ascii="SimSun" w:cs="SimSun" w:eastAsia="SimSun" w:hAnsi="SimSun"/>
          <w:b/>
          <w:bCs/>
          <w:i w:val="false"/>
          <w:iCs w:val="false"/>
          <w:sz w:val="24"/>
          <w:szCs w:val="24"/>
        </w:rPr>
        <w:t xml:space="preserve">关键策略提示：</w:t>
      </w:r>
      <w:r>
        <w:rPr>
          <w:rFonts w:ascii="SimSun" w:cs="SimSun" w:eastAsia="SimSun" w:hAnsi="SimSun"/>
          <w:sz w:val="24"/>
          <w:szCs w:val="24"/>
        </w:rPr>
        <w:t xml:space="preserve">ISO/TC 224/WG 15当前正在推进的ISO/NP 25288（集成AI技术的智慧饮用水服务管理指南）为中国团队提供了一个近期可参与的窗口——建议首先以专家身份积极参与ISO/NP 25288的起草工作，在WG 15内建立技术影响力和人脉关系，为后续提出水网自主运行相关的NWIP奠定合作基础。</w:t>
      </w:r>
    </w:p>
    <w:p>
      <w:pPr>
        <w:pStyle w:val="Heading3"/>
        <w:spacing w:before="240" w:after="120"/>
      </w:pPr>
      <w:r>
        <w:rPr>
          <w:rFonts w:ascii="SimHei" w:cs="SimHei" w:eastAsia="SimHei" w:hAnsi="SimHei"/>
          <w:b/>
          <w:bCs/>
          <w:sz w:val="26"/>
          <w:szCs w:val="26"/>
        </w:rPr>
        <w:t xml:space="preserve">11.2.2 路径二：通过OGC提交标准提案</w:t>
      </w:r>
    </w:p>
    <w:p>
      <w:pPr>
        <w:spacing w:after="120" w:line="360"/>
      </w:pPr>
      <w:r>
        <w:rPr>
          <w:rFonts w:ascii="SimSun" w:cs="SimSun" w:eastAsia="SimSun" w:hAnsi="SimSun"/>
          <w:sz w:val="24"/>
          <w:szCs w:val="24"/>
        </w:rPr>
        <w:t xml:space="preserve">OGC（Open Geospatial Consortium）是地理空间信息标准领域的主要国际标准组织，OpenMI 2.0和WaterML 2.0均由OGC发布。OGC采用成员驱动的标准开发流程，主要有三种文件类型：标准（Standard）、最佳实践（Best Practice）和讨论文件（Discussion Paper）[23]。相比ISO的正式标准开发流程（通常需要3-5年），OGC标准的开发周期较短，且对技术创新的接受度更高。</w:t>
      </w:r>
    </w:p>
    <w:p>
      <w:pPr>
        <w:spacing w:after="120" w:line="360"/>
      </w:pPr>
      <w:r>
        <w:rPr>
          <w:rFonts w:ascii="SimSun" w:cs="SimSun" w:eastAsia="SimSun" w:hAnsi="SimSun"/>
          <w:sz w:val="24"/>
          <w:szCs w:val="24"/>
        </w:rPr>
        <w:t xml:space="preserve">建议将水网模型耦合的实时控制扩展（即前述“继承OpenMI+扩展实时控制能力”的技术方案）以OGC讨论文件或工程报告（Engineering Report）的形式首先发布，在OGC社区建立技术影响力后，再推动其升级为OGC正式标准。这种“先OGC后ISO”的路径在OpenMI自身的发展历程中已有先例——OpenMI 2.0首先在OpenMI Association内部完成技术开发，随后经OGC采纳为OGC标准，再通过OGC与ISO的联络关系向ISO/TC 211（地理信息）辐射影响力[2]。</w:t>
      </w:r>
    </w:p>
    <w:p>
      <w:pPr>
        <w:spacing w:after="120" w:line="360"/>
      </w:pPr>
      <w:r>
        <w:rPr>
          <w:rFonts w:ascii="SimSun" w:cs="SimSun" w:eastAsia="SimSun" w:hAnsi="SimSun"/>
          <w:sz w:val="24"/>
          <w:szCs w:val="24"/>
        </w:rPr>
        <w:t xml:space="preserve">具体而言，可考虑在OGC框架下提出以下两项标准化工作：第一，“Water Network CIM Profile”——基于OGC已有的地理信息标准体系，定义面向水网资产、拓扑与控制语义的公共信息模型Profile；第二，“OpenMI Real-Time Control Extension”——定义OpenMI 2.0接口在实时控制场景下的扩展规范，涵盖实时通信适配、模型健康监控与版本审计。</w:t>
      </w:r>
    </w:p>
    <w:p>
      <w:pPr>
        <w:pStyle w:val="Heading3"/>
        <w:spacing w:before="240" w:after="120"/>
      </w:pPr>
      <w:r>
        <w:rPr>
          <w:rFonts w:ascii="SimHei" w:cs="SimHei" w:eastAsia="SimHei" w:hAnsi="SimHei"/>
          <w:b/>
          <w:bCs/>
          <w:sz w:val="26"/>
          <w:szCs w:val="26"/>
        </w:rPr>
        <w:t xml:space="preserve">11.2.3 路径三：通过IAHR与SWAN Forum推动行业共识文件</w:t>
      </w:r>
    </w:p>
    <w:p>
      <w:pPr>
        <w:spacing w:after="120" w:line="360"/>
      </w:pPr>
      <w:r>
        <w:rPr>
          <w:rFonts w:ascii="SimSun" w:cs="SimSun" w:eastAsia="SimSun" w:hAnsi="SimSun"/>
          <w:sz w:val="24"/>
          <w:szCs w:val="24"/>
        </w:rPr>
        <w:t xml:space="preserve">IAHR（International Association for Hydro-Environment Engineering and Research）是水利与水环境工程领域最具影响力的国际学术组织，其技术委员会与工作组体系覆盖了水力学、水资源管理、水系统运行等核心领域[24]。IAHR Water System Operations Working Group（水系统运行工作组）已成功举办了两届国际学术研讨会（ISWSO2018北京、ISWSO2020布里斯托），聚焦水系统的监测、建模与优化运行[25][26]。</w:t>
      </w:r>
    </w:p>
    <w:p>
      <w:pPr>
        <w:spacing w:after="120" w:line="360"/>
      </w:pPr>
      <w:r>
        <w:rPr>
          <w:rFonts w:ascii="SimSun" w:cs="SimSun" w:eastAsia="SimSun" w:hAnsi="SimSun"/>
          <w:sz w:val="24"/>
          <w:szCs w:val="24"/>
        </w:rPr>
        <w:t xml:space="preserve">SWAN Forum（Smart Water Networks Forum）是智慧水网领域的全球行业联盟，专注于推动水务行业的数字化转型与智能化升级。通过IAHR与SWAN两个渠道，可以推动形成以下行业共识文件：第一，“Water Network Autonomy Levels”白皮书——参照SAE J3016自动驾驶分级框架[27]，正式定义水网自主运行的L0-L4分级体系、ODD描述模板与分级评估方法，作为后续国际标准化的技术底稿；第二，“Water Network Engineering Acceptance Best Practices”技术报告——汇集中国水网工程准入实践案例，形成可供国际同行参考的最佳实践文件。</w:t>
      </w:r>
    </w:p>
    <w:p>
      <w:pPr>
        <w:spacing w:after="120" w:line="360"/>
      </w:pPr>
      <w:r>
        <w:rPr>
          <w:rFonts w:ascii="SimSun" w:cs="SimSun" w:eastAsia="SimSun" w:hAnsi="SimSun"/>
          <w:sz w:val="24"/>
          <w:szCs w:val="24"/>
        </w:rPr>
        <w:t xml:space="preserve">IAHR与SWAN的行业共识文件虽不具备ISO/OGC标准的法律效力，但其学术权威性和行业影响力可以为后续ISO标准提案提供坚实的技术共识基础。ISO标准开发中的“论证社会需求（Justification）”环节，正是需要引用这类行业共识文件来证明标准化需求的真实性与广泛性。</w:t>
      </w:r>
    </w:p>
    <w:p>
      <w:pPr>
        <w:pStyle w:val="Heading2"/>
        <w:spacing w:before="300" w:after="180"/>
      </w:pPr>
      <w:r>
        <w:rPr>
          <w:rFonts w:ascii="SimHei" w:cs="SimHei" w:eastAsia="SimHei" w:hAnsi="SimHei"/>
          <w:b/>
          <w:bCs/>
          <w:sz w:val="30"/>
          <w:szCs w:val="30"/>
        </w:rPr>
        <w:t xml:space="preserve">11.3 国内标准体系的系统布局</w:t>
      </w:r>
    </w:p>
    <w:p>
      <w:pPr>
        <w:pStyle w:val="Heading3"/>
        <w:spacing w:before="240" w:after="120"/>
      </w:pPr>
      <w:r>
        <w:rPr>
          <w:rFonts w:ascii="SimHei" w:cs="SimHei" w:eastAsia="SimHei" w:hAnsi="SimHei"/>
          <w:b/>
          <w:bCs/>
          <w:sz w:val="26"/>
          <w:szCs w:val="26"/>
        </w:rPr>
        <w:t xml:space="preserve">11.3.1 中国标准体系的四级架构与归口路径</w:t>
      </w:r>
    </w:p>
    <w:p>
      <w:pPr>
        <w:spacing w:after="120" w:line="360"/>
      </w:pPr>
      <w:r>
        <w:rPr>
          <w:rFonts w:ascii="SimSun" w:cs="SimSun" w:eastAsia="SimSun" w:hAnsi="SimSun"/>
          <w:sz w:val="24"/>
          <w:szCs w:val="24"/>
        </w:rPr>
        <w:t xml:space="preserve">按照《中华人民共和国标准化法》（2017年修订）的规定[28]，中国标准体系分为国家标准（GB/GB/T）、行业标准（如水利行业标准SL/T）、地方标准（DB）和团体标准（T/）四级。对于水网智能调控标准而言，需要在多个层级同步布局。</w:t>
      </w:r>
    </w:p>
    <w:p>
      <w:pPr>
        <w:spacing w:after="120" w:line="360"/>
      </w:pPr>
      <w:r>
        <w:rPr>
          <w:rFonts w:ascii="SimSun" w:cs="SimSun" w:eastAsia="SimSun" w:hAnsi="SimSun"/>
          <w:b/>
          <w:bCs/>
          <w:i w:val="false"/>
          <w:iCs w:val="false"/>
          <w:sz w:val="24"/>
          <w:szCs w:val="24"/>
        </w:rPr>
        <w:t xml:space="preserve">国家标准层面，</w:t>
      </w:r>
      <w:r>
        <w:rPr>
          <w:rFonts w:ascii="SimSun" w:cs="SimSun" w:eastAsia="SimSun" w:hAnsi="SimSun"/>
          <w:sz w:val="24"/>
          <w:szCs w:val="24"/>
        </w:rPr>
        <w:t xml:space="preserve">归口管理的技术委员会主要包括：全国水利信息化标准化技术委员会（挂靠水利部信息中心），负责水利信息化领域的国家标准与行业标准制修订；全国自动化系统与集成标准化技术委员会（SAC/TC 159），负责工业自动化与集成领域标准，其SC 4分委会（工业数据）承担了ISO/TC 184/SC 4（工业数据）的国内对口工作，与数字孪生标准密切相关；以及全国人工智能标准化技术委员会，承担ISO/IEC JTC 1/SC 42（人工智能）的国内对口工作[29]。</w:t>
      </w:r>
    </w:p>
    <w:p>
      <w:pPr>
        <w:spacing w:after="120" w:line="360"/>
      </w:pPr>
      <w:r>
        <w:rPr>
          <w:rFonts w:ascii="SimSun" w:cs="SimSun" w:eastAsia="SimSun" w:hAnsi="SimSun"/>
          <w:b/>
          <w:bCs/>
          <w:i w:val="false"/>
          <w:iCs w:val="false"/>
          <w:sz w:val="24"/>
          <w:szCs w:val="24"/>
        </w:rPr>
        <w:t xml:space="preserve">行业标准层面，</w:t>
      </w:r>
      <w:r>
        <w:rPr>
          <w:rFonts w:ascii="SimSun" w:cs="SimSun" w:eastAsia="SimSun" w:hAnsi="SimSun"/>
          <w:sz w:val="24"/>
          <w:szCs w:val="24"/>
        </w:rPr>
        <w:t xml:space="preserve">水利行业标准（代号SL或SL/T）由水利部归口管理。水利行业已发布了一系列与智慧水利相关的基础标准，包括SL/T 821-2020《水利信息基本术语》、SL/T 817-2021《水利对象基础信息分类与编码》、SL/T 819-2021《水利信息数据库表结构及标识符编码规则》等[30]。这些标准主要解决了数据管理层面的基础规范问题，但尚未覆盖模型耦合、控制系统验证与工程准入等关键环节。</w:t>
      </w:r>
    </w:p>
    <w:p>
      <w:pPr>
        <w:pStyle w:val="Heading3"/>
        <w:spacing w:before="240" w:after="120"/>
      </w:pPr>
      <w:r>
        <w:rPr>
          <w:rFonts w:ascii="SimHei" w:cs="SimHei" w:eastAsia="SimHei" w:hAnsi="SimHei"/>
          <w:b/>
          <w:bCs/>
          <w:sz w:val="26"/>
          <w:szCs w:val="26"/>
        </w:rPr>
        <w:t xml:space="preserve">11.3.2 亟需制定的水网智能调控行业标准清单</w:t>
      </w:r>
    </w:p>
    <w:p>
      <w:pPr>
        <w:spacing w:after="120" w:line="360"/>
      </w:pPr>
      <w:r>
        <w:rPr>
          <w:rFonts w:ascii="SimSun" w:cs="SimSun" w:eastAsia="SimSun" w:hAnsi="SimSun"/>
          <w:sz w:val="24"/>
          <w:szCs w:val="24"/>
        </w:rPr>
        <w:t xml:space="preserve">基于本报告第3章至第10章的技术体系，建议分三个批次推进以下行业标准的制定：</w:t>
      </w:r>
    </w:p>
    <w:p>
      <w:pPr>
        <w:spacing w:after="120" w:line="360"/>
      </w:pPr>
      <w:r>
        <w:rPr>
          <w:rFonts w:ascii="SimSun" w:cs="SimSun" w:eastAsia="SimSun" w:hAnsi="SimSun"/>
          <w:b/>
          <w:bCs/>
          <w:i w:val="false"/>
          <w:iCs w:val="false"/>
          <w:sz w:val="24"/>
          <w:szCs w:val="24"/>
        </w:rPr>
        <w:t xml:space="preserve">第一批（基础规范类，建议1-2年内完成）：</w:t>
      </w:r>
    </w:p>
    <w:p>
      <w:pPr>
        <w:spacing w:after="120" w:line="360"/>
        <w:ind w:left="480"/>
      </w:pPr>
      <w:r>
        <w:rPr>
          <w:rFonts w:ascii="SimSun" w:cs="SimSun" w:eastAsia="SimSun" w:hAnsi="SimSun"/>
          <w:sz w:val="24"/>
          <w:szCs w:val="24"/>
        </w:rPr>
        <w:t xml:space="preserve">SL/T XXXX《水网智能调控系统 术语与定义》——统一水网自主运行分级（L0-L4）、运行设计域（ODD）、场景库、SIL/HIL等核心概念的定义，与ISO 24591系列术语体系衔接。该标准是后续所有标准的术语基准，应优先启动。</w:t>
      </w:r>
    </w:p>
    <w:p>
      <w:pPr>
        <w:spacing w:after="120" w:line="360"/>
        <w:ind w:left="480"/>
      </w:pPr>
      <w:r>
        <w:rPr>
          <w:rFonts w:ascii="SimSun" w:cs="SimSun" w:eastAsia="SimSun" w:hAnsi="SimSun"/>
          <w:sz w:val="24"/>
          <w:szCs w:val="24"/>
        </w:rPr>
        <w:t xml:space="preserve">SL/T XXXX《水网信息模型 数据字典与交换格式》——在SL/T 817-2021基础上扩展，定义面向水网调控的资产本体、水力拓扑、量测属性与控制语义的统一数据模型（Water-CIM），其水文量测部分应兼容OGC WaterML 2.0的语义规范[14]，资产分类部分应与SL/T 817-2021保持一致[30]。</w:t>
      </w:r>
    </w:p>
    <w:p>
      <w:pPr>
        <w:spacing w:after="120" w:line="360"/>
      </w:pPr>
      <w:r>
        <w:rPr>
          <w:rFonts w:ascii="SimSun" w:cs="SimSun" w:eastAsia="SimSun" w:hAnsi="SimSun"/>
          <w:b/>
          <w:bCs/>
          <w:i w:val="false"/>
          <w:iCs w:val="false"/>
          <w:sz w:val="24"/>
          <w:szCs w:val="24"/>
        </w:rPr>
        <w:t xml:space="preserve">第二批（接口与验证类，建议2-3年内完成）：</w:t>
      </w:r>
    </w:p>
    <w:p>
      <w:pPr>
        <w:spacing w:after="120" w:line="360"/>
        <w:ind w:left="480"/>
      </w:pPr>
      <w:r>
        <w:rPr>
          <w:rFonts w:ascii="SimSun" w:cs="SimSun" w:eastAsia="SimSun" w:hAnsi="SimSun"/>
          <w:sz w:val="24"/>
          <w:szCs w:val="24"/>
        </w:rPr>
        <w:t xml:space="preserve">SL/T XXXX《水网调控系统 模型耦合接口规范》——定义水网调控系统中多模型协同运行的标准接口，在语义层兼容OpenMI 2.0的IExchangeItem接口定义[2]，同时补充实时通信协议适配（支持OPC UA[31]和MQTT）、模型健康状态监测与版本一致性校验等扩展能力。该标准的模型描述部分应兼容OpenGMS的MDL文档规范[8]。</w:t>
      </w:r>
    </w:p>
    <w:p>
      <w:pPr>
        <w:spacing w:after="120" w:line="360"/>
        <w:ind w:left="480"/>
      </w:pPr>
      <w:r>
        <w:rPr>
          <w:rFonts w:ascii="SimSun" w:cs="SimSun" w:eastAsia="SimSun" w:hAnsi="SimSun"/>
          <w:sz w:val="24"/>
          <w:szCs w:val="24"/>
        </w:rPr>
        <w:t xml:space="preserve">SL/T XXXX《水网调控系统 场景库构建与管理规范》——定义场景分类体系（正常运行、边界工况、设备故障、极端气象、多重组合）、场景参数化描述模板、场景覆盖度分析方法与场景库版本管理规范。参照ISO 21448（SOTIF）的“已知-未知”风险分析框架[32]。</w:t>
      </w:r>
    </w:p>
    <w:p>
      <w:pPr>
        <w:spacing w:after="120" w:line="360"/>
        <w:ind w:left="480"/>
      </w:pPr>
      <w:r>
        <w:rPr>
          <w:rFonts w:ascii="SimSun" w:cs="SimSun" w:eastAsia="SimSun" w:hAnsi="SimSun"/>
          <w:sz w:val="24"/>
          <w:szCs w:val="24"/>
        </w:rPr>
        <w:t xml:space="preserve">SL/T XXXX《水网调控系统 软件在环（SIL）测试规范》——定义控制策略在数字孪生环境中的自动化测试流程、测试用例设计方法、性能评价指标（约束遵守率、稳态误差、响应时间等）与测试报告模板。</w:t>
      </w:r>
    </w:p>
    <w:p>
      <w:pPr>
        <w:spacing w:after="120" w:line="360"/>
        <w:ind w:left="480"/>
      </w:pPr>
      <w:r>
        <w:rPr>
          <w:rFonts w:ascii="SimSun" w:cs="SimSun" w:eastAsia="SimSun" w:hAnsi="SimSun"/>
          <w:sz w:val="24"/>
          <w:szCs w:val="24"/>
        </w:rPr>
        <w:t xml:space="preserve">SL/T XXXX《水网调控系统 硬件在环（HIL）测试规范》——定义控制策略在真实控制器与仿真水力过程联合环境中的测试流程、通信时延验证方法、故障注入测试规程与测试判定准则。</w:t>
      </w:r>
    </w:p>
    <w:p>
      <w:pPr>
        <w:spacing w:after="120" w:line="360"/>
      </w:pPr>
      <w:r>
        <w:rPr>
          <w:rFonts w:ascii="SimSun" w:cs="SimSun" w:eastAsia="SimSun" w:hAnsi="SimSun"/>
          <w:b/>
          <w:bCs/>
          <w:i w:val="false"/>
          <w:iCs w:val="false"/>
          <w:sz w:val="24"/>
          <w:szCs w:val="24"/>
        </w:rPr>
        <w:t xml:space="preserve">第三批（准入与运维类，建议3-5年内完成）：</w:t>
      </w:r>
    </w:p>
    <w:p>
      <w:pPr>
        <w:spacing w:after="120" w:line="360"/>
        <w:ind w:left="480"/>
      </w:pPr>
      <w:r>
        <w:rPr>
          <w:rFonts w:ascii="SimSun" w:cs="SimSun" w:eastAsia="SimSun" w:hAnsi="SimSun"/>
          <w:sz w:val="24"/>
          <w:szCs w:val="24"/>
        </w:rPr>
        <w:t xml:space="preserve">SL/T XXXX《水网智能调控系统 工程准入规范》——这是整个标准体系的核心交付标准，定义工程准入包的六大核心组件：ODD声明文档、约束模板库（红/黄/绿三级）、场景库与覆盖度报告、SIL测试报告、HIL测试报告、Safety Case（安全论证文档）。Safety Case的结构化论证方法可参照英国GSN（Goal Structuring Notation）标准[33]。该标准应明确第三方评测机构的资质要求与评测流程。</w:t>
      </w:r>
    </w:p>
    <w:p>
      <w:pPr>
        <w:spacing w:after="120" w:line="360"/>
        <w:ind w:left="480"/>
      </w:pPr>
      <w:r>
        <w:rPr>
          <w:rFonts w:ascii="SimSun" w:cs="SimSun" w:eastAsia="SimSun" w:hAnsi="SimSun"/>
          <w:sz w:val="24"/>
          <w:szCs w:val="24"/>
        </w:rPr>
        <w:t xml:space="preserve">SL/T XXXX《水网调控系统 版本管理与持续准入规范》——定义控制策略与模型版本的变更分级（安全相关变更须全量回归、性能优化变更可增量回归）、变更审批流程、数字线程记录要求与回溯审计机制。参照IEC 62443（工业控制系统信息安全）[34]的思路，将网络安全验证纳入持续准入框架。</w:t>
      </w:r>
    </w:p>
    <w:p>
      <w:pPr>
        <w:pStyle w:val="Heading3"/>
        <w:spacing w:before="240" w:after="120"/>
      </w:pPr>
      <w:r>
        <w:rPr>
          <w:rFonts w:ascii="SimHei" w:cs="SimHei" w:eastAsia="SimHei" w:hAnsi="SimHei"/>
          <w:b/>
          <w:bCs/>
          <w:sz w:val="26"/>
          <w:szCs w:val="26"/>
        </w:rPr>
        <w:t xml:space="preserve">11.3.3 团体标准的先行先试作用</w:t>
      </w:r>
    </w:p>
    <w:p>
      <w:pPr>
        <w:spacing w:after="120" w:line="360"/>
      </w:pPr>
      <w:r>
        <w:rPr>
          <w:rFonts w:ascii="SimSun" w:cs="SimSun" w:eastAsia="SimSun" w:hAnsi="SimSun"/>
          <w:sz w:val="24"/>
          <w:szCs w:val="24"/>
        </w:rPr>
        <w:t xml:space="preserve">在行业标准正式发布之前，团体标准可以发挥“先行先试”的灵活作用。根据《标准化法》规定，社会团体可以制定团体标准供社会自愿采用[28]。建议依托中国水利学会、中国水利水电科学研究院、中国水利企业协会等行业组织，率先发布以下团体标准：T/CHES XXXX《水网自主运行能力分级评估指南》、T/CHES XXXX《水网调控场景库建设技术导则》等。团体标准的制定周期短（通常6-12个月）、灵活性高，可以快速响应技术发展需求，为后续行业标准提供实践基础与修订依据。</w:t>
      </w:r>
    </w:p>
    <w:p>
      <w:pPr>
        <w:pStyle w:val="Heading3"/>
        <w:spacing w:before="240" w:after="120"/>
      </w:pPr>
      <w:r>
        <w:rPr>
          <w:rFonts w:ascii="SimHei" w:cs="SimHei" w:eastAsia="SimHei" w:hAnsi="SimHei"/>
          <w:b/>
          <w:bCs/>
          <w:sz w:val="26"/>
          <w:szCs w:val="26"/>
        </w:rPr>
        <w:t xml:space="preserve">11.3.4 国家标准与国际标准的双向转化</w:t>
      </w:r>
    </w:p>
    <w:p>
      <w:pPr>
        <w:spacing w:after="120" w:line="360"/>
      </w:pPr>
      <w:r>
        <w:rPr>
          <w:rFonts w:ascii="SimSun" w:cs="SimSun" w:eastAsia="SimSun" w:hAnsi="SimSun"/>
          <w:sz w:val="24"/>
          <w:szCs w:val="24"/>
        </w:rPr>
        <w:t xml:space="preserve">中国标准与国际标准的转化应采取“双向驱动”策略。一方面，对于国际上已有的成熟标准，应通过等同采用（IDT）或修改采用（MOD）的方式转化为国内标准。例如，ISO 24591-1:2024和ISO 24591-2:2024可转化为GB/T标准，作为国内智慧水管理的通用指南；ISO 55001资产管理体系标准（已转化为GB/T 33172-2016）可直接应用于水利资产的全生命周期管理[35]。另一方面，对于中国在水网智能调控领域形成的原创技术成果与标准规范，应积极推动其转化为国际标准。SAC作为ISO的中国成员体，是推动中国标准国际化的法定通道[20]——国内形成的团体标准或行业标准，经SAC审核后可作为NWIP的技术底稿提交至相应的ISO/TC或ISO/SC。</w:t>
      </w:r>
    </w:p>
    <w:p>
      <w:pPr>
        <w:pStyle w:val="Heading2"/>
        <w:spacing w:before="300" w:after="180"/>
      </w:pPr>
      <w:r>
        <w:rPr>
          <w:rFonts w:ascii="SimHei" w:cs="SimHei" w:eastAsia="SimHei" w:hAnsi="SimHei"/>
          <w:b/>
          <w:bCs/>
          <w:sz w:val="30"/>
          <w:szCs w:val="30"/>
        </w:rPr>
        <w:t xml:space="preserve">11.4 标准生态建设与协同机制</w:t>
      </w:r>
    </w:p>
    <w:p>
      <w:pPr>
        <w:pStyle w:val="Heading3"/>
        <w:spacing w:before="240" w:after="120"/>
      </w:pPr>
      <w:r>
        <w:rPr>
          <w:rFonts w:ascii="SimHei" w:cs="SimHei" w:eastAsia="SimHei" w:hAnsi="SimHei"/>
          <w:b/>
          <w:bCs/>
          <w:sz w:val="26"/>
          <w:szCs w:val="26"/>
        </w:rPr>
        <w:t xml:space="preserve">11.4.1 产学研用协同的标准研制模式</w:t>
      </w:r>
    </w:p>
    <w:p>
      <w:pPr>
        <w:spacing w:after="120" w:line="360"/>
      </w:pPr>
      <w:r>
        <w:rPr>
          <w:rFonts w:ascii="SimSun" w:cs="SimSun" w:eastAsia="SimSun" w:hAnsi="SimSun"/>
          <w:sz w:val="24"/>
          <w:szCs w:val="24"/>
        </w:rPr>
        <w:t xml:space="preserve">水网智能调控标准体系的建设不能由单一主体完成，需要构建“政府引导、科研牵头、工程验证、企业参与”的协同模式。具体而言：水利部信息化主管部门和全国水利信息化标准化技术委员会提供政策引导与归口管理；高校科研团队提供理论方法与标准草案；南水北调中线工程管理中心、各流域管理局等大型水管单位提供应用场景与验证平台；技术企业提供工程实现能力与产业化支撑。</w:t>
      </w:r>
    </w:p>
    <w:p>
      <w:pPr>
        <w:pStyle w:val="Heading3"/>
        <w:spacing w:before="240" w:after="120"/>
      </w:pPr>
      <w:r>
        <w:rPr>
          <w:rFonts w:ascii="SimHei" w:cs="SimHei" w:eastAsia="SimHei" w:hAnsi="SimHei"/>
          <w:b/>
          <w:bCs/>
          <w:sz w:val="26"/>
          <w:szCs w:val="26"/>
        </w:rPr>
        <w:t xml:space="preserve">11.4.2 开源与开放生态</w:t>
      </w:r>
    </w:p>
    <w:p>
      <w:pPr>
        <w:spacing w:after="120" w:line="360"/>
      </w:pPr>
      <w:r>
        <w:rPr>
          <w:rFonts w:ascii="SimSun" w:cs="SimSun" w:eastAsia="SimSun" w:hAnsi="SimSun"/>
          <w:sz w:val="24"/>
          <w:szCs w:val="24"/>
        </w:rPr>
        <w:t xml:space="preserve">标准的生命力在于被广泛采纳。建议推动建立水网智能调控开源生态，包括三个核心组件：Water-CIM的开源参考实现（包括数据字典、XML Schema/JSON Schema定义、验证工具和示例数据集），降低中小企业和科研团队的采标门槛；标准场景库的开放共享平台，允许行业共同贡献与使用场景数据，并通过版本管理确保场景库的持续演进；以及SIL测试框架的开源实现（基于Python/MATLAB），使控制算法的验证流程可复现、可审计。开源组件应托管在GitHub等国际化平台上，采用Apache 2.0或类似开源许可证，以促进国际社区的参与。</w:t>
      </w:r>
    </w:p>
    <w:p>
      <w:pPr>
        <w:pStyle w:val="Heading3"/>
        <w:spacing w:before="240" w:after="120"/>
      </w:pPr>
      <w:r>
        <w:rPr>
          <w:rFonts w:ascii="SimHei" w:cs="SimHei" w:eastAsia="SimHei" w:hAnsi="SimHei"/>
          <w:b/>
          <w:bCs/>
          <w:sz w:val="26"/>
          <w:szCs w:val="26"/>
        </w:rPr>
        <w:t xml:space="preserve">11.4.3 国际标准化参与的能力建设</w:t>
      </w:r>
    </w:p>
    <w:p>
      <w:pPr>
        <w:spacing w:after="120" w:line="360"/>
      </w:pPr>
      <w:r>
        <w:rPr>
          <w:rFonts w:ascii="SimSun" w:cs="SimSun" w:eastAsia="SimSun" w:hAnsi="SimSun"/>
          <w:sz w:val="24"/>
          <w:szCs w:val="24"/>
        </w:rPr>
        <w:t xml:space="preserve">积极参与国际标准化活动需要持续的能力投入。建议从以下几个方面进行系统性的能力建设：培养一批熟悉ISO/OGC标准开发流程、具备国际标准化谈判能力的复合型人才；建立水网智能调控领域的国际标准化跟踪与研究机制，持续监测ISO/TC 224、ISO/TC 184/SC 4（工业数据/数字孪生）、ISO/IEC JTC 1/SC 42（人工智能）[36]、OGC等组织的标准化动态；以及通过IAHR Water System Operations Working Group的学术交流平台和SWAN Forum的行业合作网络，构建广泛的国际合作关系，为标准提案的投票争取更多P成员国的支持。</w:t>
      </w:r>
    </w:p>
    <w:p>
      <w:pPr>
        <w:pStyle w:val="Heading2"/>
        <w:spacing w:before="300" w:after="180"/>
      </w:pPr>
      <w:r>
        <w:rPr>
          <w:rFonts w:ascii="SimHei" w:cs="SimHei" w:eastAsia="SimHei" w:hAnsi="SimHei"/>
          <w:b/>
          <w:bCs/>
          <w:sz w:val="30"/>
          <w:szCs w:val="30"/>
        </w:rPr>
        <w:t xml:space="preserve">11.5 本章小结</w:t>
      </w:r>
    </w:p>
    <w:p>
      <w:pPr>
        <w:spacing w:after="120" w:line="360"/>
      </w:pPr>
      <w:r>
        <w:rPr>
          <w:rFonts w:ascii="SimSun" w:cs="SimSun" w:eastAsia="SimSun" w:hAnsi="SimSun"/>
          <w:sz w:val="24"/>
          <w:szCs w:val="24"/>
        </w:rPr>
        <w:t xml:space="preserve">标准体系是水网智能调控从“技术突破”走向“工程落地”再走向“规模复制”和“国际输出”的必经之路。本章的核心逻辑可概括为三个层面：在与现有国际标准的关系上，采取“继承OpenMI语义框架、兼容OpenGMS资源管理、扩展实时控制能力”的策略，确保技术兼容性；在发布自主国际标准的路径上，同步推进ISO/TC 224正式标准提案、OGC技术标准发布和IAHR/SWAN行业共识文件三条路线，形成“学术共识→行业规范→国际标准”的渐进式升级路径；在国内标准布局上，以“术语定义→数据模型→接口规范→验证规范→准入规范”的逻辑顺序，分三批推进水利行业标准制定，并以团体标准先行先试、国家标准与国际标准双向转化为补充机制。其中，工程准入规范是整个标准体系的“牛鼻子”——它不仅定义了系统交付的质量底线，更通过ODD声明、场景库、SIL/HIL测试与Safety Case等机制，倒逼数据标准与接口标准的落地，从根本上改变“重建轻管”的行业惯性。</w:t>
      </w:r>
    </w:p>
    <w:p>
      <w:r>
        <w:br w:type="page"/>
      </w:r>
    </w:p>
    <w:p>
      <w:pPr>
        <w:pStyle w:val="Heading2"/>
        <w:spacing w:before="300" w:after="180"/>
      </w:pPr>
      <w:r>
        <w:rPr>
          <w:rFonts w:ascii="SimHei" w:cs="SimHei" w:eastAsia="SimHei" w:hAnsi="SimHei"/>
          <w:b/>
          <w:bCs/>
          <w:sz w:val="30"/>
          <w:szCs w:val="30"/>
        </w:rPr>
        <w:t xml:space="preserve">本章参考文献</w:t>
      </w:r>
    </w:p>
    <w:p>
      <w:pPr>
        <w:spacing w:after="60" w:line="320"/>
        <w:ind w:left="480" w:hanging="480"/>
      </w:pPr>
      <w:r>
        <w:rPr>
          <w:rFonts w:ascii="SimSun" w:cs="SimSun" w:eastAsia="SimSun" w:hAnsi="SimSun"/>
          <w:sz w:val="20"/>
          <w:szCs w:val="20"/>
        </w:rPr>
        <w:t xml:space="preserve">[1] Gregersen, J. B., Gijsbers, P. J. A., &amp; Westen, S. J. P. (2007). OpenMI: Open modelling interface. Journal of Hydroinformatics, 9(3), 175–191.</w:t>
      </w:r>
    </w:p>
    <w:p>
      <w:pPr>
        <w:spacing w:after="60" w:line="320"/>
        <w:ind w:left="480" w:hanging="480"/>
      </w:pPr>
      <w:r>
        <w:rPr>
          <w:rFonts w:ascii="SimSun" w:cs="SimSun" w:eastAsia="SimSun" w:hAnsi="SimSun"/>
          <w:sz w:val="20"/>
          <w:szCs w:val="20"/>
        </w:rPr>
        <w:t xml:space="preserve">[2] Harpham, Q., Hughes, A., &amp; Moore, R. (2019). Introductory overview: The OpenMI 2.0 standard for integrating numerical models. Environmental Modelling &amp; Software, 122, 104549.</w:t>
      </w:r>
    </w:p>
    <w:p>
      <w:pPr>
        <w:spacing w:after="60" w:line="320"/>
        <w:ind w:left="480" w:hanging="480"/>
      </w:pPr>
      <w:r>
        <w:rPr>
          <w:rFonts w:ascii="SimSun" w:cs="SimSun" w:eastAsia="SimSun" w:hAnsi="SimSun"/>
          <w:sz w:val="20"/>
          <w:szCs w:val="20"/>
        </w:rPr>
        <w:t xml:space="preserve">[3] OGC. (2014). OGC OpenMI 2.0 Interface Standard (OGC 14-068). Open Geospatial Consortium.</w:t>
      </w:r>
    </w:p>
    <w:p>
      <w:pPr>
        <w:spacing w:after="60" w:line="320"/>
        <w:ind w:left="480" w:hanging="480"/>
      </w:pPr>
      <w:r>
        <w:rPr>
          <w:rFonts w:ascii="SimSun" w:cs="SimSun" w:eastAsia="SimSun" w:hAnsi="SimSun"/>
          <w:sz w:val="20"/>
          <w:szCs w:val="20"/>
        </w:rPr>
        <w:t xml:space="preserve">[4] Donchyts, G., et al. (2010). OpenMI 2.0: What’s new? In Proceedings of the iEMSs 2010 International Congress on Environmental Modelling and Software.</w:t>
      </w:r>
    </w:p>
    <w:p>
      <w:pPr>
        <w:spacing w:after="60" w:line="320"/>
        <w:ind w:left="480" w:hanging="480"/>
      </w:pPr>
      <w:r>
        <w:rPr>
          <w:rFonts w:ascii="SimSun" w:cs="SimSun" w:eastAsia="SimSun" w:hAnsi="SimSun"/>
          <w:sz w:val="20"/>
          <w:szCs w:val="20"/>
        </w:rPr>
        <w:t xml:space="preserve">[5] Becker, B., &amp; Schüttrumpf, H. (2016). Model coupling with OpenMI: Introduction of basic concepts. In Hydrodynamic and Mass Transport at Freshwater Aquatic Interfaces, Springer, 275–296.</w:t>
      </w:r>
    </w:p>
    <w:p>
      <w:pPr>
        <w:spacing w:after="60" w:line="320"/>
        <w:ind w:left="480" w:hanging="480"/>
      </w:pPr>
      <w:r>
        <w:rPr>
          <w:rFonts w:ascii="SimSun" w:cs="SimSun" w:eastAsia="SimSun" w:hAnsi="SimSun"/>
          <w:sz w:val="20"/>
          <w:szCs w:val="20"/>
        </w:rPr>
        <w:t xml:space="preserve">[6] Moore, R. V., &amp; Tindall, C. I. (2005). An overview of the open modelling interface and environment (the OpenMI). Environmental Science &amp; Policy, 8(3), 279–286.</w:t>
      </w:r>
    </w:p>
    <w:p>
      <w:pPr>
        <w:spacing w:after="60" w:line="320"/>
        <w:ind w:left="480" w:hanging="480"/>
      </w:pPr>
      <w:r>
        <w:rPr>
          <w:rFonts w:ascii="SimSun" w:cs="SimSun" w:eastAsia="SimSun" w:hAnsi="SimSun"/>
          <w:sz w:val="20"/>
          <w:szCs w:val="20"/>
        </w:rPr>
        <w:t xml:space="preserve">[7] Yue, S., et al. (2016). An open geographic modeling and simulation framework. International Journal of Geographical Information Science, 30(1), 1–24.</w:t>
      </w:r>
    </w:p>
    <w:p>
      <w:pPr>
        <w:spacing w:after="60" w:line="320"/>
        <w:ind w:left="480" w:hanging="480"/>
      </w:pPr>
      <w:r>
        <w:rPr>
          <w:rFonts w:ascii="SimSun" w:cs="SimSun" w:eastAsia="SimSun" w:hAnsi="SimSun"/>
          <w:sz w:val="20"/>
          <w:szCs w:val="20"/>
        </w:rPr>
        <w:t xml:space="preserve">[8] Zhang, M., et al. (2019). Design and development of a service-oriented wrapper system for sharing and reusing distributed geoanalysis models on the web. Environmental Modelling &amp; Software, 111, 498–509.</w:t>
      </w:r>
    </w:p>
    <w:p>
      <w:pPr>
        <w:spacing w:after="60" w:line="320"/>
        <w:ind w:left="480" w:hanging="480"/>
      </w:pPr>
      <w:r>
        <w:rPr>
          <w:rFonts w:ascii="SimSun" w:cs="SimSun" w:eastAsia="SimSun" w:hAnsi="SimSun"/>
          <w:sz w:val="20"/>
          <w:szCs w:val="20"/>
        </w:rPr>
        <w:t xml:space="preserve">[9] Zhang, M., et al. (2020). A loosely integrated data configuration strategy for web-based participatory modeling. Environmental Modelling &amp; Software, 127, 104684.</w:t>
      </w:r>
    </w:p>
    <w:p>
      <w:pPr>
        <w:spacing w:after="60" w:line="320"/>
        <w:ind w:left="480" w:hanging="480"/>
      </w:pPr>
      <w:r>
        <w:rPr>
          <w:rFonts w:ascii="SimSun" w:cs="SimSun" w:eastAsia="SimSun" w:hAnsi="SimSun"/>
          <w:sz w:val="20"/>
          <w:szCs w:val="20"/>
        </w:rPr>
        <w:t xml:space="preserve">[10] Xu, K., et al. (2024). The portal of OpenGMS: Bridging the contributors and users of geographic simulation resources. Environmental Modelling &amp; Software, 180, 106142.</w:t>
      </w:r>
    </w:p>
    <w:p>
      <w:pPr>
        <w:spacing w:after="60" w:line="320"/>
        <w:ind w:left="480" w:hanging="480"/>
      </w:pPr>
      <w:r>
        <w:rPr>
          <w:rFonts w:ascii="SimSun" w:cs="SimSun" w:eastAsia="SimSun" w:hAnsi="SimSun"/>
          <w:sz w:val="20"/>
          <w:szCs w:val="20"/>
        </w:rPr>
        <w:t xml:space="preserve">[11] Zhang, F., et al. (2021). Interoperability engine design for model sharing and reuse among OpenMI, BMI and OpenGMS-IS model standards. Environmental Modelling &amp; Software, 143, 105120.</w:t>
      </w:r>
    </w:p>
    <w:p>
      <w:pPr>
        <w:spacing w:after="60" w:line="320"/>
        <w:ind w:left="480" w:hanging="480"/>
      </w:pPr>
      <w:r>
        <w:rPr>
          <w:rFonts w:ascii="SimSun" w:cs="SimSun" w:eastAsia="SimSun" w:hAnsi="SimSun"/>
          <w:sz w:val="20"/>
          <w:szCs w:val="20"/>
        </w:rPr>
        <w:t xml:space="preserve">[12] Peckham, S. D., Hutton, E. W. H., &amp; Norris, B. (2013). A component-based approach to integrated modeling in the geosciences: The design of CSDMS. Computers &amp; Geosciences, 53, 3–12.</w:t>
      </w:r>
    </w:p>
    <w:p>
      <w:pPr>
        <w:spacing w:after="60" w:line="320"/>
        <w:ind w:left="480" w:hanging="480"/>
      </w:pPr>
      <w:r>
        <w:rPr>
          <w:rFonts w:ascii="SimSun" w:cs="SimSun" w:eastAsia="SimSun" w:hAnsi="SimSun"/>
          <w:sz w:val="20"/>
          <w:szCs w:val="20"/>
        </w:rPr>
        <w:t xml:space="preserve">[13] Hutton, E. W. H., Piper, M. D., &amp; Tucker, G. E. (2020). The Basic Model Interface 2.0: A standard interface for coupling numerical models in the geosciences. Journal of Open Source Software, 5(51), 2317.</w:t>
      </w:r>
    </w:p>
    <w:p>
      <w:pPr>
        <w:spacing w:after="60" w:line="320"/>
        <w:ind w:left="480" w:hanging="480"/>
      </w:pPr>
      <w:r>
        <w:rPr>
          <w:rFonts w:ascii="SimSun" w:cs="SimSun" w:eastAsia="SimSun" w:hAnsi="SimSun"/>
          <w:sz w:val="20"/>
          <w:szCs w:val="20"/>
        </w:rPr>
        <w:t xml:space="preserve">[14] OGC. (2014). WaterML 2.0: Part 1 — Timeseries (OGC 10-126r4). Open Geospatial Consortium.</w:t>
      </w:r>
    </w:p>
    <w:p>
      <w:pPr>
        <w:spacing w:after="60" w:line="320"/>
        <w:ind w:left="480" w:hanging="480"/>
      </w:pPr>
      <w:r>
        <w:rPr>
          <w:rFonts w:ascii="SimSun" w:cs="SimSun" w:eastAsia="SimSun" w:hAnsi="SimSun"/>
          <w:sz w:val="20"/>
          <w:szCs w:val="20"/>
        </w:rPr>
        <w:t xml:space="preserve">[15] OGC. (2016). OGC SensorThings API Part 1: Sensing (OGC 15-078r6). Open Geospatial Consortium.</w:t>
      </w:r>
    </w:p>
    <w:p>
      <w:pPr>
        <w:spacing w:after="60" w:line="320"/>
        <w:ind w:left="480" w:hanging="480"/>
      </w:pPr>
      <w:r>
        <w:rPr>
          <w:rFonts w:ascii="SimSun" w:cs="SimSun" w:eastAsia="SimSun" w:hAnsi="SimSun"/>
          <w:sz w:val="20"/>
          <w:szCs w:val="20"/>
        </w:rPr>
        <w:t xml:space="preserve">[16] ISO/TC 224. (2024). Published standards and projects. https://committee.iso.org/sites/tc224/home/projects.html</w:t>
      </w:r>
    </w:p>
    <w:p>
      <w:pPr>
        <w:spacing w:after="60" w:line="320"/>
        <w:ind w:left="480" w:hanging="480"/>
      </w:pPr>
      <w:r>
        <w:rPr>
          <w:rFonts w:ascii="SimSun" w:cs="SimSun" w:eastAsia="SimSun" w:hAnsi="SimSun"/>
          <w:sz w:val="20"/>
          <w:szCs w:val="20"/>
        </w:rPr>
        <w:t xml:space="preserve">[17] ISO. (2024). ISO 24591-1:2024 Smart water management — Part 1: General guidelines and governance.</w:t>
      </w:r>
    </w:p>
    <w:p>
      <w:pPr>
        <w:spacing w:after="60" w:line="320"/>
        <w:ind w:left="480" w:hanging="480"/>
      </w:pPr>
      <w:r>
        <w:rPr>
          <w:rFonts w:ascii="SimSun" w:cs="SimSun" w:eastAsia="SimSun" w:hAnsi="SimSun"/>
          <w:sz w:val="20"/>
          <w:szCs w:val="20"/>
        </w:rPr>
        <w:t xml:space="preserve">[18] ISO. (2024). ISO 24591-2:2024 Smart water management — Part 2: Data management guidelines.</w:t>
      </w:r>
    </w:p>
    <w:p>
      <w:pPr>
        <w:spacing w:after="60" w:line="320"/>
        <w:ind w:left="480" w:hanging="480"/>
      </w:pPr>
      <w:r>
        <w:rPr>
          <w:rFonts w:ascii="SimSun" w:cs="SimSun" w:eastAsia="SimSun" w:hAnsi="SimSun"/>
          <w:sz w:val="20"/>
          <w:szCs w:val="20"/>
        </w:rPr>
        <w:t xml:space="preserve">[19] ISO/TC 224/WG 15. (2024). Working Group 15 — Smart Water Management: Current projects.</w:t>
      </w:r>
    </w:p>
    <w:p>
      <w:pPr>
        <w:spacing w:after="60" w:line="320"/>
        <w:ind w:left="480" w:hanging="480"/>
      </w:pPr>
      <w:r>
        <w:rPr>
          <w:rFonts w:ascii="SimSun" w:cs="SimSun" w:eastAsia="SimSun" w:hAnsi="SimSun"/>
          <w:sz w:val="20"/>
          <w:szCs w:val="20"/>
        </w:rPr>
        <w:t xml:space="preserve">[20] SAC (国家标准化管理委员会). 中国国家标准化管理委员会，代表中国参加ISO、IEC等国际标准化组织。</w:t>
      </w:r>
    </w:p>
    <w:p>
      <w:pPr>
        <w:spacing w:after="60" w:line="320"/>
        <w:ind w:left="480" w:hanging="480"/>
      </w:pPr>
      <w:r>
        <w:rPr>
          <w:rFonts w:ascii="SimSun" w:cs="SimSun" w:eastAsia="SimSun" w:hAnsi="SimSun"/>
          <w:sz w:val="20"/>
          <w:szCs w:val="20"/>
        </w:rPr>
        <w:t xml:space="preserve">[21] ISO. (2022). ISO Form 4: New Work Item Proposal. ISO/IEC Directives, Part 1, Annex C.</w:t>
      </w:r>
    </w:p>
    <w:p>
      <w:pPr>
        <w:spacing w:after="60" w:line="320"/>
        <w:ind w:left="480" w:hanging="480"/>
      </w:pPr>
      <w:r>
        <w:rPr>
          <w:rFonts w:ascii="SimSun" w:cs="SimSun" w:eastAsia="SimSun" w:hAnsi="SimSun"/>
          <w:sz w:val="20"/>
          <w:szCs w:val="20"/>
        </w:rPr>
        <w:t xml:space="preserve">[22] ISO. (2024). Stages and resources for standards development. https://www.iso.org/stages-and-resources-for-standards-development.html</w:t>
      </w:r>
    </w:p>
    <w:p>
      <w:pPr>
        <w:spacing w:after="60" w:line="320"/>
        <w:ind w:left="480" w:hanging="480"/>
      </w:pPr>
      <w:r>
        <w:rPr>
          <w:rFonts w:ascii="SimSun" w:cs="SimSun" w:eastAsia="SimSun" w:hAnsi="SimSun"/>
          <w:sz w:val="20"/>
          <w:szCs w:val="20"/>
        </w:rPr>
        <w:t xml:space="preserve">[23] OGC. (2023). OGC Standards and supporting documents policy. Open Geospatial Consortium.</w:t>
      </w:r>
    </w:p>
    <w:p>
      <w:pPr>
        <w:spacing w:after="60" w:line="320"/>
        <w:ind w:left="480" w:hanging="480"/>
      </w:pPr>
      <w:r>
        <w:rPr>
          <w:rFonts w:ascii="SimSun" w:cs="SimSun" w:eastAsia="SimSun" w:hAnsi="SimSun"/>
          <w:sz w:val="20"/>
          <w:szCs w:val="20"/>
        </w:rPr>
        <w:t xml:space="preserve">[24] IAHR. (2024). Technical Committees. https://www.iahr.org/index/technical</w:t>
      </w:r>
    </w:p>
    <w:p>
      <w:pPr>
        <w:spacing w:after="60" w:line="320"/>
        <w:ind w:left="480" w:hanging="480"/>
      </w:pPr>
      <w:r>
        <w:rPr>
          <w:rFonts w:ascii="SimSun" w:cs="SimSun" w:eastAsia="SimSun" w:hAnsi="SimSun"/>
          <w:sz w:val="20"/>
          <w:szCs w:val="20"/>
        </w:rPr>
        <w:t xml:space="preserve">[25] IAHR. (2018). 1st International Symposium on Water System Operations (ISWSO2018), Beijing, China.</w:t>
      </w:r>
    </w:p>
    <w:p>
      <w:pPr>
        <w:spacing w:after="60" w:line="320"/>
        <w:ind w:left="480" w:hanging="480"/>
      </w:pPr>
      <w:r>
        <w:rPr>
          <w:rFonts w:ascii="SimSun" w:cs="SimSun" w:eastAsia="SimSun" w:hAnsi="SimSun"/>
          <w:sz w:val="20"/>
          <w:szCs w:val="20"/>
        </w:rPr>
        <w:t xml:space="preserve">[26] IAHR. (2021). 2nd International Symposium on Water System Operations (ISWSO2020), University of Bristol, UK.</w:t>
      </w:r>
    </w:p>
    <w:p>
      <w:pPr>
        <w:spacing w:after="60" w:line="320"/>
        <w:ind w:left="480" w:hanging="480"/>
      </w:pPr>
      <w:r>
        <w:rPr>
          <w:rFonts w:ascii="SimSun" w:cs="SimSun" w:eastAsia="SimSun" w:hAnsi="SimSun"/>
          <w:sz w:val="20"/>
          <w:szCs w:val="20"/>
        </w:rPr>
        <w:t xml:space="preserve">[27] SAE International. (2021). J3016: Taxonomy and Definitions for Terms Related to Driving Automation Systems for On-Road Motor Vehicles.</w:t>
      </w:r>
    </w:p>
    <w:p>
      <w:pPr>
        <w:spacing w:after="60" w:line="320"/>
        <w:ind w:left="480" w:hanging="480"/>
      </w:pPr>
      <w:r>
        <w:rPr>
          <w:rFonts w:ascii="SimSun" w:cs="SimSun" w:eastAsia="SimSun" w:hAnsi="SimSun"/>
          <w:sz w:val="20"/>
          <w:szCs w:val="20"/>
        </w:rPr>
        <w:t xml:space="preserve">[28] 全国人民代表大会常务委员会. (2017). 《中华人民共和国标准化法》（2017年修订）.</w:t>
      </w:r>
    </w:p>
    <w:p>
      <w:pPr>
        <w:spacing w:after="60" w:line="320"/>
        <w:ind w:left="480" w:hanging="480"/>
      </w:pPr>
      <w:r>
        <w:rPr>
          <w:rFonts w:ascii="SimSun" w:cs="SimSun" w:eastAsia="SimSun" w:hAnsi="SimSun"/>
          <w:sz w:val="20"/>
          <w:szCs w:val="20"/>
        </w:rPr>
        <w:t xml:space="preserve">[29] ISO/IEC. (2020). ISO/IEC JTC 1/SC 42 Artificial Intelligence — Strategic Business Plan.</w:t>
      </w:r>
    </w:p>
    <w:p>
      <w:pPr>
        <w:spacing w:after="60" w:line="320"/>
        <w:ind w:left="480" w:hanging="480"/>
      </w:pPr>
      <w:r>
        <w:rPr>
          <w:rFonts w:ascii="SimSun" w:cs="SimSun" w:eastAsia="SimSun" w:hAnsi="SimSun"/>
          <w:sz w:val="20"/>
          <w:szCs w:val="20"/>
        </w:rPr>
        <w:t xml:space="preserve">[30] 水利部. SL/T 821-2020《水利信息基本术语》; SL/T 817-2021《水利对象基础信息分类与编码》; SL/T 819-2021《水利信息数据库表结构及标识符编码规则》.</w:t>
      </w:r>
    </w:p>
    <w:p>
      <w:pPr>
        <w:spacing w:after="60" w:line="320"/>
        <w:ind w:left="480" w:hanging="480"/>
      </w:pPr>
      <w:r>
        <w:rPr>
          <w:rFonts w:ascii="SimSun" w:cs="SimSun" w:eastAsia="SimSun" w:hAnsi="SimSun"/>
          <w:sz w:val="20"/>
          <w:szCs w:val="20"/>
        </w:rPr>
        <w:t xml:space="preserve">[31] OPC Foundation. (2017). OPC Unified Architecture Specification Part 1: Overview and Concepts (Release 1.04).</w:t>
      </w:r>
    </w:p>
    <w:p>
      <w:pPr>
        <w:spacing w:after="60" w:line="320"/>
        <w:ind w:left="480" w:hanging="480"/>
      </w:pPr>
      <w:r>
        <w:rPr>
          <w:rFonts w:ascii="SimSun" w:cs="SimSun" w:eastAsia="SimSun" w:hAnsi="SimSun"/>
          <w:sz w:val="20"/>
          <w:szCs w:val="20"/>
        </w:rPr>
        <w:t xml:space="preserve">[32] ISO. (2022). ISO 21448:2022 Road vehicles — Safety of the intended functionality (SOTIF).</w:t>
      </w:r>
    </w:p>
    <w:p>
      <w:pPr>
        <w:spacing w:after="60" w:line="320"/>
        <w:ind w:left="480" w:hanging="480"/>
      </w:pPr>
      <w:r>
        <w:rPr>
          <w:rFonts w:ascii="SimSun" w:cs="SimSun" w:eastAsia="SimSun" w:hAnsi="SimSun"/>
          <w:sz w:val="20"/>
          <w:szCs w:val="20"/>
        </w:rPr>
        <w:t xml:space="preserve">[33] Kelly, T., &amp; Weaver, R. (2004). The Goal Structuring Notation — A safety argument notation. In Proceedings of the DSN Workshop on Assurance Cases.</w:t>
      </w:r>
    </w:p>
    <w:p>
      <w:pPr>
        <w:spacing w:after="60" w:line="320"/>
        <w:ind w:left="480" w:hanging="480"/>
      </w:pPr>
      <w:r>
        <w:rPr>
          <w:rFonts w:ascii="SimSun" w:cs="SimSun" w:eastAsia="SimSun" w:hAnsi="SimSun"/>
          <w:sz w:val="20"/>
          <w:szCs w:val="20"/>
        </w:rPr>
        <w:t xml:space="preserve">[34] IEC. (2018). IEC 62443: Industrial communication networks — Network and system security.</w:t>
      </w:r>
    </w:p>
    <w:p>
      <w:pPr>
        <w:spacing w:after="60" w:line="320"/>
        <w:ind w:left="480" w:hanging="480"/>
      </w:pPr>
      <w:r>
        <w:rPr>
          <w:rFonts w:ascii="SimSun" w:cs="SimSun" w:eastAsia="SimSun" w:hAnsi="SimSun"/>
          <w:sz w:val="20"/>
          <w:szCs w:val="20"/>
        </w:rPr>
        <w:t xml:space="preserve">[35] ISO. (2014). ISO 55001:2014 Asset management — Management systems — Requirements. (已转化为GB/T 33172-2016)</w:t>
      </w:r>
    </w:p>
    <w:p>
      <w:pPr>
        <w:spacing w:after="60" w:line="320"/>
        <w:ind w:left="480" w:hanging="480"/>
      </w:pPr>
      <w:r>
        <w:rPr>
          <w:rFonts w:ascii="SimSun" w:cs="SimSun" w:eastAsia="SimSun" w:hAnsi="SimSun"/>
          <w:sz w:val="20"/>
          <w:szCs w:val="20"/>
        </w:rPr>
        <w:t xml:space="preserve">[36] ISO/IEC. (2023). ISO/IEC 23894:2023 Information technology — Artificial intelligence — Guidance on risk management.</w:t>
      </w:r>
    </w:p>
    <w:sectPr>
      <w:headerReference w:type="default" r:id="rId6"/>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Sun" w:cs="SimSun" w:eastAsia="SimSun" w:hAnsi="SimSun"/>
        <w:sz w:val="18"/>
        <w:szCs w:val="18"/>
      </w:rPr>
      <w:t xml:space="preserve">第 </w:t>
    </w:r>
    <w:r>
      <w:rPr>
        <w:rFonts w:ascii="SimSun" w:cs="SimSun" w:eastAsia="SimSun" w:hAnsi="SimSun"/>
        <w:sz w:val="18"/>
        <w:szCs w:val="18"/>
      </w:rPr>
      <w:fldChar w:fldCharType="begin"/>
      <w:instrText xml:space="preserve">PAGE</w:instrText>
      <w:fldChar w:fldCharType="separate"/>
      <w:fldChar w:fldCharType="end"/>
    </w:r>
    <w:r>
      <w:rPr>
        <w:rFonts w:ascii="SimSun" w:cs="SimSun" w:eastAsia="SimSun" w:hAnsi="SimSun"/>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SimSun" w:cs="SimSun" w:eastAsia="SimSun" w:hAnsi="SimSun"/>
        <w:color w:val="888888"/>
        <w:sz w:val="18"/>
        <w:szCs w:val="18"/>
      </w:rPr>
      <w:t xml:space="preserve">水网智能调控与自主运行关键技术研究报告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SimHei" w:cs="SimHei" w:eastAsia="SimHei" w:hAnsi="SimHei"/>
      <w:b/>
      <w:bCs/>
      <w:sz w:val="36"/>
      <w:szCs w:val="36"/>
    </w:rPr>
  </w:style>
  <w:style w:type="paragraph" w:styleId="Heading2">
    <w:name w:val="Heading 2"/>
    <w:basedOn w:val="Normal"/>
    <w:next w:val="Normal"/>
    <w:qFormat/>
    <w:pPr>
      <w:spacing w:before="300" w:after="180"/>
      <w:outlineLvl w:val="1"/>
    </w:pPr>
    <w:rPr>
      <w:rFonts w:ascii="SimHei" w:cs="SimHei" w:eastAsia="SimHei" w:hAnsi="SimHei"/>
      <w:b/>
      <w:bCs/>
      <w:sz w:val="30"/>
      <w:szCs w:val="30"/>
    </w:rPr>
  </w:style>
  <w:style w:type="paragraph" w:styleId="Heading3">
    <w:name w:val="Heading 3"/>
    <w:basedOn w:val="Normal"/>
    <w:next w:val="Normal"/>
    <w:qFormat/>
    <w:pPr>
      <w:spacing w:before="240" w:after="120"/>
      <w:outlineLvl w:val="2"/>
    </w:pPr>
    <w:rPr>
      <w:rFonts w:ascii="SimHei" w:cs="SimHei" w:eastAsia="SimHei" w:hAnsi="SimHe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2026-02-04T08:47:47.563Z</dcterms:created>
  <dcterms:modified xsi:type="dcterms:W3CDTF">2026-02-04T08:47:47.564Z</dcterms:modified>
</cp:coreProperties>
</file>

<file path=docProps/custom.xml><?xml version="1.0" encoding="utf-8"?>
<Properties xmlns="http://schemas.openxmlformats.org/officeDocument/2006/custom-properties" xmlns:vt="http://schemas.openxmlformats.org/officeDocument/2006/docPropsVTypes"/>
</file>