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p>
    <w:p>
      <w:pPr>
        <w:pStyle w:val="Author"/>
      </w:pPr>
      <w:r>
        <w:t xml:space="preserve">���������������������T1-CN���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0" w:name="第七章-学科前景与人才培养"/>
    <w:p>
      <w:pPr>
        <w:pStyle w:val="Heading1"/>
      </w:pPr>
      <w:r>
        <w:t xml:space="preserve">第七章 学科前景与人才培养</w:t>
      </w:r>
    </w:p>
    <w:p>
      <w:r>
        <w:pict>
          <v:rect style="width:0;height:1.5pt" o:hralign="center" o:hrstd="t" o:hr="t"/>
        </w:pict>
      </w:r>
    </w:p>
    <w:p>
      <w:pPr>
        <w:pStyle w:val="BlockText"/>
      </w:pPr>
      <w:r>
        <w:rPr>
          <w:bCs/>
          <w:b/>
        </w:rPr>
        <w:t xml:space="preserve">引导案例：</w:t>
      </w:r>
      <w:r>
        <w:rPr>
          <w:bCs/>
          <w:b/>
        </w:rPr>
        <w:t xml:space="preserve">“</w:t>
      </w:r>
      <w:r>
        <w:rPr>
          <w:bCs/>
          <w:b/>
        </w:rPr>
        <w:t xml:space="preserve">系统很聪明，但没人会用</w:t>
      </w:r>
      <w:r>
        <w:rPr>
          <w:bCs/>
          <w:b/>
        </w:rPr>
        <w:t xml:space="preserve">”</w:t>
      </w:r>
    </w:p>
    <w:p>
      <w:pPr>
        <w:pStyle w:val="BlockText"/>
      </w:pPr>
      <w:r>
        <w:t xml:space="preserve">2023年，某省级水利枢纽完成了历时两年的智能化改造：部署了基于MPC的调度系统、建立了覆盖全渠段的SCADA网络、通过了MIL和SIL两级验证。验收评审时，系统在预设的12种标准工况下表现优异，水位偏差控制在±5 cm以内，专家组给出”技术国内领先”的评价。</w:t>
      </w:r>
    </w:p>
    <w:p>
      <w:pPr>
        <w:pStyle w:val="BlockText"/>
      </w:pPr>
      <w:r>
        <w:t xml:space="preserve">然而验收后不到一年，系统就退化为”高级监控屏”。原因并非硬件故障或算法失效，而是一系列”人的问题”叠加：调度员看不懂MPC的建议理由，遇到非标准工况时习惯性切回人工模式；算法工程师已随项目组撤离，留下的运维人员不具备模型校正能力；原本每季度一次的模型参数校正因”没人会做”而停滞，半年后模型预测精度下降30%，MPC输出的控制策略越来越偏离实际需求；最终，调度中心默认将MPC系统设为”只看不用”的纯监控模式。</w:t>
      </w:r>
    </w:p>
    <w:p>
      <w:pPr>
        <w:pStyle w:val="BlockText"/>
      </w:pPr>
      <w:r>
        <w:t xml:space="preserve">两年投入、千万级预算、国内领先的技术方案——因为”没有对应的人才体系”而沦为摆设。这个故事不是孤例。据作者团队对国内15个水利智能化项目的跟踪调研，类似”验收优秀、运行退化”的案例占比超过60%。根本原因是相同的：</w:t>
      </w:r>
      <w:r>
        <w:rPr>
          <w:bCs/>
          <w:b/>
        </w:rPr>
        <w:t xml:space="preserve">水系统控制论的落地，不仅是技术部署问题，更是学科建设问题。</w:t>
      </w:r>
    </w:p>
    <w:p>
      <w:r>
        <w:pict>
          <v:rect style="width:0;height:1.5pt" o:hralign="center" o:hrstd="t" o:hr="t"/>
        </w:pict>
      </w:r>
    </w:p>
    <w:p>
      <w:pPr>
        <w:pStyle w:val="FirstParagraph"/>
      </w:pPr>
      <w:r>
        <w:t xml:space="preserve">要回答”为什么会出现人才断层”，首先需要理解一个更根本的问题：CHS到底需要什么样的人才？这些人才为什么用现有的培养体系培养不出来？</w:t>
      </w:r>
    </w:p>
    <w:bookmarkStart w:id="22" w:name="从技术可用到学科成形"/>
    <w:p>
      <w:pPr>
        <w:pStyle w:val="Heading2"/>
      </w:pPr>
      <w:r>
        <w:t xml:space="preserve">7.1 从”技术可用”到”学科成形”</w:t>
      </w:r>
    </w:p>
    <w:p>
      <w:pPr>
        <w:pStyle w:val="FirstParagraph"/>
      </w:pPr>
      <w:r>
        <w:t xml:space="preserve">任何技术从”发明”到”行业标准”都要经过一段漫长的”学科化”过程——电气工程从法拉第的实验到大学开设电气工程专业，花了四十年；计算机科学从图灵的论文到成为独立学科，也经历了类似的周期。CHS正处于这个过程的关键节点——技术已被证明可行（第六章的三个案例），但知识传播和人才培养的体系尚未建立。本节回顾交叉学科的成长规律，分析CHS学科化面临的三个核心命题：谁来做（人才供给）、怎么教（知识标准化）、谁来管（组织适配）。这三个命题不是”依次解决”的线性关系，而是”相互依赖”的——没有标准化的知识体系就培养不出合格的人才，没有合格的人才就推动不了组织变革，组织不变革就无法为知识标准化提供工程验证的土壤。</w:t>
      </w:r>
    </w:p>
    <w:bookmarkStart w:id="20" w:name="新兴交叉学科的成长规律"/>
    <w:p>
      <w:pPr>
        <w:pStyle w:val="Heading3"/>
      </w:pPr>
      <w:r>
        <w:t xml:space="preserve">7.1.1 新兴交叉学科的成长规律</w:t>
      </w:r>
    </w:p>
    <w:p>
      <w:pPr>
        <w:pStyle w:val="FirstParagraph"/>
      </w:pPr>
      <w:r>
        <w:t xml:space="preserve">回顾过去半个世纪的工程学科演化，几乎所有成功的交叉学科都经历了相似的”三阶段成长”过程。</w:t>
      </w:r>
    </w:p>
    <w:p>
      <w:pPr>
        <w:pStyle w:val="BodyText"/>
      </w:pPr>
      <w:r>
        <w:rPr>
          <w:bCs/>
          <w:b/>
        </w:rPr>
        <w:t xml:space="preserve">第一阶段：技术驱动期。</w:t>
      </w:r>
      <w:r>
        <w:t xml:space="preserve"> </w:t>
      </w:r>
      <w:r>
        <w:t xml:space="preserve">一项或几项关键技术取得突破，在特定应用场景中展现出显著优势。此时的工作以技术论文和工程试点为主，参与者主要是发明者团队和少数早期采用者。这一阶段的特征是”技术可用但不可复制”——成功高度依赖核心团队的隐性知识。</w:t>
      </w:r>
    </w:p>
    <w:p>
      <w:pPr>
        <w:pStyle w:val="BodyText"/>
      </w:pPr>
      <w:r>
        <w:rPr>
          <w:bCs/>
          <w:b/>
        </w:rPr>
        <w:t xml:space="preserve">第二阶段：学科形成期。</w:t>
      </w:r>
      <w:r>
        <w:t xml:space="preserve"> </w:t>
      </w:r>
      <w:r>
        <w:t xml:space="preserve">技术经验被提炼为理论框架、术语体系和方法论，形成可教授的课程和可复制的工程规范。人才培养从”师徒制”过渡到”体系化教育”，跨机构合作成为常态。这一阶段的标志性事件通常包括：第一本教材的出版、第一个研究生培养方案的设立、第一个行业标准的发布。</w:t>
      </w:r>
    </w:p>
    <w:p>
      <w:pPr>
        <w:pStyle w:val="BodyText"/>
      </w:pPr>
      <w:r>
        <w:rPr>
          <w:bCs/>
          <w:b/>
        </w:rPr>
        <w:t xml:space="preserve">第三阶段：生态成熟期。</w:t>
      </w:r>
      <w:r>
        <w:t xml:space="preserve"> </w:t>
      </w:r>
      <w:r>
        <w:t xml:space="preserve">学科的边界得到认可，形成稳定的人才供应链、产业生态和国际合作网络。知识生产和知识消费形成正循环——工程实践产生的新问题驱动学术研究，学术研究的成果又转化为工程工具和培训内容。</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给水利工程师的速览：交叉学科如何”长大”？</w:t>
            </w:r>
          </w:p>
        </w:tc>
      </w:tr>
      <w:tr>
        <w:tc>
          <w:tcPr/>
          <w:p>
            <w:pPr>
              <w:pStyle w:val="Compact"/>
              <w:jc w:val="left"/>
            </w:pPr>
            <w:r>
              <w:t xml:space="preserve">一个有启发性的类比是控制工程学科本身的发展历程。20世纪40年代，维纳（Wiener）提出控制论时，它还只是数学家和电气工程师的”副业” [7-1]。经过30年的发展，控制工程在70年代成为独立的工程学科，拥有自己的课程体系、学术期刊和工程师认证。CHS的发展可以参照这条路径——我们现在正处于”第一阶段末期向第二阶段过渡”的关键节点。</w:t>
            </w:r>
          </w:p>
        </w:tc>
      </w:tr>
    </w:tbl>
    <w:p>
      <w:pPr>
        <w:pStyle w:val="FirstParagraph"/>
      </w:pPr>
      <w:r>
        <w:t xml:space="preserve">CHS目前处于什么阶段？从本书前六章的内容可以看出：理论框架已初步建立（第二、三章的八大原理）、分级体系已有明确定义（第四章的WNAL）、系统架构已有工程实现（第五章的HydroOS）、工程实践已有成功案例（第六章的胶东调水和沙坪水电站）。这些都表明CHS已经走完了”技术驱动期”的大部分路程。但能否顺利进入”学科形成期”，取决于三个核心命题能否解决。</w:t>
      </w:r>
    </w:p>
    <w:bookmarkEnd w:id="20"/>
    <w:bookmarkStart w:id="21" w:name="chs学科化的三个核心命题"/>
    <w:p>
      <w:pPr>
        <w:pStyle w:val="Heading3"/>
      </w:pPr>
      <w:r>
        <w:t xml:space="preserve">7.1.2 CHS学科化的三个核心命题</w:t>
      </w:r>
    </w:p>
    <w:p>
      <w:pPr>
        <w:pStyle w:val="FirstParagraph"/>
      </w:pPr>
      <w:r>
        <w:rPr>
          <w:bCs/>
          <w:b/>
        </w:rPr>
        <w:t xml:space="preserve">命题一：人才供给。</w:t>
      </w:r>
      <w:r>
        <w:t xml:space="preserve"> </w:t>
      </w:r>
      <w:r>
        <w:t xml:space="preserve">谁来建设、谁来运维、谁来持续迭代？引导案例中的困境本质上是人才供给的断层——具备CHS复合能力的工程师数量远远不能满足需求。据中国水利学会2023年统计，全国水利系统在职工程技术人员约45万人，但同时具备水力学和控制工程背景的不足2%，能够独立完成MPC系统部署和校正的更是凤毛麟角 [7-2]。</w:t>
      </w:r>
    </w:p>
    <w:p>
      <w:pPr>
        <w:pStyle w:val="BodyText"/>
      </w:pPr>
      <w:r>
        <w:rPr>
          <w:bCs/>
          <w:b/>
        </w:rPr>
        <w:t xml:space="preserve">命题二：知识标准化。</w:t>
      </w:r>
      <w:r>
        <w:t xml:space="preserve"> </w:t>
      </w:r>
      <w:r>
        <w:t xml:space="preserve">如何确保”胶东调水的成功经验”能被”另一个省的另一支团队”复制？这需要一套标准化的术语、方法论和评价体系——而不是依赖个别专家的”手把手指导”。本书T1系列正是为此而写，但教材只是知识标准化的起点，还需要配套的课程设计、实验平台和认证机制。</w:t>
      </w:r>
    </w:p>
    <w:p>
      <w:pPr>
        <w:pStyle w:val="BodyText"/>
      </w:pPr>
      <w:r>
        <w:rPr>
          <w:bCs/>
          <w:b/>
        </w:rPr>
        <w:t xml:space="preserve">命题三：组织适配。</w:t>
      </w:r>
      <w:r>
        <w:t xml:space="preserve"> </w:t>
      </w:r>
      <w:r>
        <w:t xml:space="preserve">现有的水利管理组织架构——流域管理局、调度中心、设计院、施工单位——是否能支撑CHS技术的落地？WNAL等级跃迁不仅涉及技术升级，还涉及决策权的重新分配、责任体系的重新定义和岗位职能的重新设计。如果组织架构不变，技术变革就会被”消化”——先进系统被降级使用，直到退化为现有工作习惯所能容纳的最低水平。</w:t>
      </w:r>
    </w:p>
    <w:p>
      <w:pPr>
        <w:pStyle w:val="BodyText"/>
      </w:pPr>
      <w:r>
        <w:t xml:space="preserve">本章围绕这三个命题展开，依次讨论人才能力模型（§7.2）、课程体系（§7.3）、培养路径（§7.4）、实践平台（§7.5）、组织建设（§7.6）、十年路线图（§7.7）和机构启动方案（§7.8）。</w:t>
      </w:r>
    </w:p>
    <w:p>
      <w:pPr>
        <w:pStyle w:val="BodyText"/>
      </w:pPr>
      <w:r>
        <w:t xml:space="preserve">有了学科成长的全景图，接下来回答第一个具体问题：CHS到底需要什么样的人才？</w:t>
      </w:r>
    </w:p>
    <w:p>
      <w:r>
        <w:pict>
          <v:rect style="width:0;height:1.5pt" o:hralign="center" o:hrstd="t" o:hr="t"/>
        </w:pict>
      </w:r>
    </w:p>
    <w:bookmarkEnd w:id="21"/>
    <w:bookmarkEnd w:id="22"/>
    <w:bookmarkStart w:id="27" w:name="chs人才能力模型"/>
    <w:p>
      <w:pPr>
        <w:pStyle w:val="Heading2"/>
      </w:pPr>
      <w:r>
        <w:t xml:space="preserve">7.2 CHS人才能力模型</w:t>
      </w:r>
    </w:p>
    <w:p>
      <w:pPr>
        <w:pStyle w:val="FirstParagraph"/>
      </w:pPr>
      <w:r>
        <w:t xml:space="preserve">引导案例中的”系统很聪明但没人会用”，根源在于现有人才的能力结构与CHS的需求存在系统性错位——就像给一支只受过步兵训练的部队配备了坦克，硬件到位了但操作能力跟不上。本节首先回答”为什么单一学科背景不够用”（§7.2.1），然后定义CHS所需的四类复合能力（§7.2.2），最后通过岗位对应和差距分析（§7.2.3—7.2.4），为后续课程体系的设计提供精确的”需求说明书”——正如医院要先诊断出”哪些器官功能不足”，才能制定有针对性的康复方案，而不是盲目地给所有病人开同一套营养处方。只有诊断精确，处方才有效——盲目补课只会浪费宝贵的培养时间，精准补课才能事半功倍，这正是本节系统性能力诊断的意义所在。</w:t>
      </w:r>
    </w:p>
    <w:bookmarkStart w:id="23" w:name="为什么需要复合能力"/>
    <w:p>
      <w:pPr>
        <w:pStyle w:val="Heading3"/>
      </w:pPr>
      <w:r>
        <w:t xml:space="preserve">7.2.1 为什么需要”复合能力”？</w:t>
      </w:r>
    </w:p>
    <w:p>
      <w:pPr>
        <w:pStyle w:val="FirstParagraph"/>
      </w:pPr>
      <w:r>
        <w:t xml:space="preserve">传统水利工程人才培养以单一学科为基础——水利水电工程专业培养的是精通水力学、结构力学和工程地质的工程师，控制工程专业培养的是精通自动控制理论和电气系统的工程师。两个专业之间几乎没有交集。但CHS的核心挑战恰恰在交叉地带：水力系统的控制不是简单的”把控制算法套在水力模型上”，而是需要深入理解两个领域的约束、语言和思维方式，并在此基础上完成系统级的集成。</w:t>
      </w:r>
    </w:p>
    <w:p>
      <w:pPr>
        <w:pStyle w:val="BodyText"/>
      </w:pPr>
      <w:r>
        <w:t xml:space="preserve">一个直观的例子：当MPC控制器输出”3号闸门开度从35%调整到42%</w:t>
      </w:r>
      <w:r>
        <w:t xml:space="preserve">“</w:t>
      </w:r>
      <w:r>
        <w:t xml:space="preserve">时，控制工程师关心的是</w:t>
      </w:r>
      <w:r>
        <w:t xml:space="preserve">”</w:t>
      </w:r>
      <w:r>
        <w:t xml:space="preserve">这个调整是否满足优化目标”，水利工程师关心的是”42%的开度在当前水位下会不会引起闸下冲刷或下游波动”，运维人员关心的是”这台闸门上个月刚做过检修，执行机构的响应特性是否已经标定”。只有这三种视角在同一个人或同一个紧密协作的团队中融合，系统才能安全、高效地运行。</w:t>
      </w:r>
    </w:p>
    <w:p>
      <w:pPr>
        <w:pStyle w:val="BodyText"/>
      </w:pPr>
      <w:r>
        <w:t xml:space="preserve">这就是CHS需要”复合能力”的根本原因：</w:t>
      </w:r>
      <w:r>
        <w:rPr>
          <w:bCs/>
          <w:b/>
        </w:rPr>
        <w:t xml:space="preserve">不是要求每个人都成为”全才”，而是要求团队中的每个人都能理解其他岗位的约束和语言，在关键决策节点上实现有效协作。</w:t>
      </w:r>
    </w:p>
    <w:bookmarkEnd w:id="23"/>
    <w:bookmarkStart w:id="24" w:name="四类复合能力定义"/>
    <w:p>
      <w:pPr>
        <w:pStyle w:val="Heading3"/>
      </w:pPr>
      <w:r>
        <w:t xml:space="preserve">7.2.2 四类复合能力定义</w:t>
      </w:r>
    </w:p>
    <w:p>
      <w:pPr>
        <w:pStyle w:val="FirstParagraph"/>
      </w:pPr>
      <w:r>
        <w:t xml:space="preserve">面向CHS的人才需要具备以下四类能力。这四类能力不是简单的”学科知识”，而是”在工程场景中解决问题的能力”——每一类都包含知识维度和实践维度。</w:t>
      </w:r>
    </w:p>
    <w:p>
      <w:pPr>
        <w:pStyle w:val="BodyText"/>
      </w:pPr>
      <w:r>
        <w:rPr>
          <w:bCs/>
          <w:b/>
        </w:rPr>
        <w:t xml:space="preserve">能力A：水工机理能力。</w:t>
      </w:r>
      <w:r>
        <w:t xml:space="preserve"> </w:t>
      </w:r>
      <w:r>
        <w:t xml:space="preserve">理解明渠、管网、梯级水电站等水利对象的物理边界与运行规律。这不仅包括经典的水力学知识（Saint-Venant方程、管网水力计算），还包括”模型化思维”——能够判断在特定控制目标下，哪些物理特性是关键的、哪些可以简化。例如，胶东调水的IDZ降阶模型之所以有效，正是因为建模工程师准确判断了”在水位控制目标下，渠道的储蓄效应比动量效应更重要”。</w:t>
      </w:r>
    </w:p>
    <w:p>
      <w:pPr>
        <w:pStyle w:val="BodyText"/>
      </w:pPr>
      <w:r>
        <w:rPr>
          <w:bCs/>
          <w:b/>
        </w:rPr>
        <w:t xml:space="preserve">能力B：控制与优化能力。</w:t>
      </w:r>
      <w:r>
        <w:t xml:space="preserve"> </w:t>
      </w:r>
      <w:r>
        <w:t xml:space="preserve">能够把工程目标表达为数学约束优化问题，并据此设计可执行的控制策略。核心技能包括系统辨识、状态估计、MPC设计、约束处理和鲁棒性分析。这类能力的关键不是”会推公式”，而是”会在工程约束下做取舍”——例如，如何在控制精度和计算实时性之间找到平衡、如何在安全裕度和经济效率之间做出决策。</w:t>
      </w:r>
    </w:p>
    <w:p>
      <w:pPr>
        <w:pStyle w:val="BodyText"/>
      </w:pPr>
      <w:r>
        <w:rPr>
          <w:bCs/>
          <w:b/>
        </w:rPr>
        <w:t xml:space="preserve">能力C：智能与软件能力。</w:t>
      </w:r>
      <w:r>
        <w:t xml:space="preserve"> </w:t>
      </w:r>
      <w:r>
        <w:t xml:space="preserve">能够在HydroOS平台上部署控制策略，管理数据流、服务接口和系统更新。这类能力弥合了”算法原型”和”工程可运维系统”之间的鸿沟。具体技能包括SCADA+MAS融合架构的理解与实现、微服务部署与运维、实时数据处理、以及在环测试工程。在AI时代，还需要掌握机器学习模型的工程化部署、物理信息神经网络（PINN）的应用和认知AI引擎的集成。</w:t>
      </w:r>
    </w:p>
    <w:p>
      <w:pPr>
        <w:pStyle w:val="BodyText"/>
      </w:pPr>
      <w:r>
        <w:rPr>
          <w:bCs/>
          <w:b/>
        </w:rPr>
        <w:t xml:space="preserve">能力D：治理与安全能力。</w:t>
      </w:r>
      <w:r>
        <w:t xml:space="preserve"> </w:t>
      </w:r>
      <w:r>
        <w:t xml:space="preserve">理解ODD定义、安全包络、策略门禁、四态机和审计链的设计原理与操作规程，确保系统”可审计、可问责、可持续”。这类能力最容易被技术导向的团队忽视，但第六章的失败案例已经证明：</w:t>
      </w:r>
      <w:r>
        <w:rPr>
          <w:bCs/>
          <w:b/>
        </w:rPr>
        <w:t xml:space="preserve">没有治理能力的技术团队，其成果的半衰期通常不超过三年。</w:t>
      </w:r>
    </w:p>
    <w:bookmarkEnd w:id="24"/>
    <w:bookmarkStart w:id="25" w:name="能力模型与岗位对应"/>
    <w:p>
      <w:pPr>
        <w:pStyle w:val="Heading3"/>
      </w:pPr>
      <w:r>
        <w:t xml:space="preserve">7.2.3 能力模型与岗位对应</w:t>
      </w:r>
    </w:p>
    <w:p>
      <w:pPr>
        <w:pStyle w:val="FirstParagraph"/>
      </w:pPr>
      <w:r>
        <w:t xml:space="preserve">四类能力在实际工程中映射为不同的岗位角色。这种映射不是”一对一”的刚性对应——在实际工程团队中，一个人往往需要以一种能力为主、兼顾其他能力。但明确的岗位-能力对应关系有三个实用价值：团队组建时识别能力缺口（</w:t>
      </w:r>
      <w:r>
        <w:t xml:space="preserve">“</w:t>
      </w:r>
      <w:r>
        <w:t xml:space="preserve">我们缺一个懂MPC的控制策略工程师</w:t>
      </w:r>
      <w:r>
        <w:t xml:space="preserve">”</w:t>
      </w:r>
      <w:r>
        <w:t xml:space="preserve">）、继续教育设计时实现”按岗定课”（</w:t>
      </w:r>
      <w:r>
        <w:t xml:space="preserve">“</w:t>
      </w:r>
      <w:r>
        <w:t xml:space="preserve">调度长需要优先学CE4 ODD管理</w:t>
      </w:r>
      <w:r>
        <w:t xml:space="preserve">”</w:t>
      </w:r>
      <w:r>
        <w:t xml:space="preserve">）、以及WNAL等级跃迁评审时验证团队就绪度（</w:t>
      </w:r>
      <w:r>
        <w:t xml:space="preserve">“</w:t>
      </w:r>
      <w:r>
        <w:t xml:space="preserve">L3要求至少1人持有CE3认证</w:t>
      </w:r>
      <w:r>
        <w:t xml:space="preserve">”</w:t>
      </w:r>
      <w:r>
        <w:t xml:space="preserve">）。表7-1列出了典型的岗位对应关系和各岗位对WNAL等级跃迁的贡献。</w:t>
      </w:r>
    </w:p>
    <w:p>
      <w:pPr>
        <w:pStyle w:val="BodyText"/>
      </w:pPr>
      <w:r>
        <w:t xml:space="preserve">表7-1 CHS能力模型与岗位角色对应表</w:t>
      </w:r>
    </w:p>
    <w:tbl>
      <w:tblPr>
        <w:tblStyle w:val="Table"/>
        <w:tblW w:type="pct" w:w="5000"/>
        <w:tblLook w:firstRow="1" w:lastRow="0" w:firstColumn="0" w:lastColumn="0" w:noHBand="0" w:noVBand="0" w:val="0020"/>
        <w:jc w:val="start"/>
      </w:tblPr>
      <w:tblGrid>
        <w:gridCol w:w="1296"/>
        <w:gridCol w:w="1728"/>
        <w:gridCol w:w="1296"/>
        <w:gridCol w:w="1296"/>
        <w:gridCol w:w="2304"/>
      </w:tblGrid>
      <w:tr>
        <w:trPr>
          <w:tblHeader w:val="true"/>
        </w:trPr>
        <w:tc>
          <w:tcPr/>
          <w:p>
            <w:pPr>
              <w:pStyle w:val="Compact"/>
              <w:jc w:val="left"/>
            </w:pPr>
            <w:r>
              <w:t xml:space="preserve">能力维度</w:t>
            </w:r>
          </w:p>
        </w:tc>
        <w:tc>
          <w:tcPr/>
          <w:p>
            <w:pPr>
              <w:pStyle w:val="Compact"/>
              <w:jc w:val="left"/>
            </w:pPr>
            <w:r>
              <w:t xml:space="preserve">主要能力要求</w:t>
            </w:r>
          </w:p>
        </w:tc>
        <w:tc>
          <w:tcPr/>
          <w:p>
            <w:pPr>
              <w:pStyle w:val="Compact"/>
              <w:jc w:val="left"/>
            </w:pPr>
            <w:r>
              <w:t xml:space="preserve">典型岗位</w:t>
            </w:r>
          </w:p>
        </w:tc>
        <w:tc>
          <w:tcPr/>
          <w:p>
            <w:pPr>
              <w:pStyle w:val="Compact"/>
              <w:jc w:val="left"/>
            </w:pPr>
            <w:r>
              <w:t xml:space="preserve">关键任务</w:t>
            </w:r>
          </w:p>
        </w:tc>
        <w:tc>
          <w:tcPr/>
          <w:p>
            <w:pPr>
              <w:pStyle w:val="Compact"/>
              <w:jc w:val="left"/>
            </w:pPr>
            <w:r>
              <w:t xml:space="preserve">对WNAL跃迁的贡献</w:t>
            </w:r>
          </w:p>
        </w:tc>
      </w:tr>
      <w:tr>
        <w:tc>
          <w:tcPr/>
          <w:p>
            <w:pPr>
              <w:pStyle w:val="Compact"/>
              <w:jc w:val="left"/>
            </w:pPr>
            <w:r>
              <w:t xml:space="preserve">A: 水工机理</w:t>
            </w:r>
          </w:p>
        </w:tc>
        <w:tc>
          <w:tcPr/>
          <w:p>
            <w:pPr>
              <w:pStyle w:val="Compact"/>
              <w:jc w:val="left"/>
            </w:pPr>
            <w:r>
              <w:t xml:space="preserve">水力建模、参数校核、边界条件定义</w:t>
            </w:r>
          </w:p>
        </w:tc>
        <w:tc>
          <w:tcPr/>
          <w:p>
            <w:pPr>
              <w:pStyle w:val="Compact"/>
              <w:jc w:val="left"/>
            </w:pPr>
            <w:r>
              <w:t xml:space="preserve">工程建模工程师</w:t>
            </w:r>
          </w:p>
        </w:tc>
        <w:tc>
          <w:tcPr/>
          <w:p>
            <w:pPr>
              <w:pStyle w:val="Compact"/>
              <w:jc w:val="left"/>
            </w:pPr>
            <w:r>
              <w:t xml:space="preserve">建立和维护物理模型</w:t>
            </w:r>
          </w:p>
        </w:tc>
        <w:tc>
          <w:tcPr/>
          <w:p>
            <w:pPr>
              <w:pStyle w:val="Compact"/>
              <w:jc w:val="left"/>
            </w:pPr>
            <w:r>
              <w:t xml:space="preserve">保证L2→L3阶段模型可用性</w:t>
            </w:r>
          </w:p>
        </w:tc>
      </w:tr>
      <w:tr>
        <w:tc>
          <w:tcPr/>
          <w:p>
            <w:pPr>
              <w:pStyle w:val="Compact"/>
              <w:jc w:val="left"/>
            </w:pPr>
            <w:r>
              <w:t xml:space="preserve">B: 控制优化</w:t>
            </w:r>
          </w:p>
        </w:tc>
        <w:tc>
          <w:tcPr/>
          <w:p>
            <w:pPr>
              <w:pStyle w:val="Compact"/>
              <w:jc w:val="left"/>
            </w:pPr>
            <w:r>
              <w:t xml:space="preserve">策略设计、约束处理、性能调优</w:t>
            </w:r>
          </w:p>
        </w:tc>
        <w:tc>
          <w:tcPr/>
          <w:p>
            <w:pPr>
              <w:pStyle w:val="Compact"/>
              <w:jc w:val="left"/>
            </w:pPr>
            <w:r>
              <w:t xml:space="preserve">控制策略工程师</w:t>
            </w:r>
          </w:p>
        </w:tc>
        <w:tc>
          <w:tcPr/>
          <w:p>
            <w:pPr>
              <w:pStyle w:val="Compact"/>
              <w:jc w:val="left"/>
            </w:pPr>
            <w:r>
              <w:t xml:space="preserve">设计和调试控制器</w:t>
            </w:r>
          </w:p>
        </w:tc>
        <w:tc>
          <w:tcPr/>
          <w:p>
            <w:pPr>
              <w:pStyle w:val="Compact"/>
              <w:jc w:val="left"/>
            </w:pPr>
            <w:r>
              <w:t xml:space="preserve">支撑L3阶段稳定自主</w:t>
            </w:r>
          </w:p>
        </w:tc>
      </w:tr>
      <w:tr>
        <w:tc>
          <w:tcPr/>
          <w:p>
            <w:pPr>
              <w:pStyle w:val="Compact"/>
              <w:jc w:val="left"/>
            </w:pPr>
            <w:r>
              <w:t xml:space="preserve">C: 智能软件</w:t>
            </w:r>
          </w:p>
        </w:tc>
        <w:tc>
          <w:tcPr/>
          <w:p>
            <w:pPr>
              <w:pStyle w:val="Compact"/>
              <w:jc w:val="left"/>
            </w:pPr>
            <w:r>
              <w:t xml:space="preserve">平台部署、接口治理、在线更新</w:t>
            </w:r>
          </w:p>
        </w:tc>
        <w:tc>
          <w:tcPr/>
          <w:p>
            <w:pPr>
              <w:pStyle w:val="Compact"/>
              <w:jc w:val="left"/>
            </w:pPr>
            <w:r>
              <w:t xml:space="preserve">平台/算法工程师</w:t>
            </w:r>
          </w:p>
        </w:tc>
        <w:tc>
          <w:tcPr/>
          <w:p>
            <w:pPr>
              <w:pStyle w:val="Compact"/>
              <w:jc w:val="left"/>
            </w:pPr>
            <w:r>
              <w:t xml:space="preserve">建设和维护HydroOS</w:t>
            </w:r>
          </w:p>
        </w:tc>
        <w:tc>
          <w:tcPr/>
          <w:p>
            <w:pPr>
              <w:pStyle w:val="Compact"/>
              <w:jc w:val="left"/>
            </w:pPr>
            <w:r>
              <w:t xml:space="preserve">支撑L3→L4能力扩展</w:t>
            </w:r>
          </w:p>
        </w:tc>
      </w:tr>
      <w:tr>
        <w:tc>
          <w:tcPr/>
          <w:p>
            <w:pPr>
              <w:pStyle w:val="Compact"/>
              <w:jc w:val="left"/>
            </w:pPr>
            <w:r>
              <w:t xml:space="preserve">D: 治理安全</w:t>
            </w:r>
          </w:p>
        </w:tc>
        <w:tc>
          <w:tcPr/>
          <w:p>
            <w:pPr>
              <w:pStyle w:val="Compact"/>
              <w:jc w:val="left"/>
            </w:pPr>
            <w:r>
              <w:t xml:space="preserve">ODD管理、接管机制、审计闭环</w:t>
            </w:r>
          </w:p>
        </w:tc>
        <w:tc>
          <w:tcPr/>
          <w:p>
            <w:pPr>
              <w:pStyle w:val="Compact"/>
              <w:jc w:val="left"/>
            </w:pPr>
            <w:r>
              <w:t xml:space="preserve">调度长/安全官</w:t>
            </w:r>
          </w:p>
        </w:tc>
        <w:tc>
          <w:tcPr/>
          <w:p>
            <w:pPr>
              <w:pStyle w:val="Compact"/>
              <w:jc w:val="left"/>
            </w:pPr>
            <w:r>
              <w:t xml:space="preserve">保障运行安全合规</w:t>
            </w:r>
          </w:p>
        </w:tc>
        <w:tc>
          <w:tcPr/>
          <w:p>
            <w:pPr>
              <w:pStyle w:val="Compact"/>
              <w:jc w:val="left"/>
            </w:pPr>
            <w:r>
              <w:t xml:space="preserve">保证全等级可控可审计</w:t>
            </w:r>
          </w:p>
        </w:tc>
      </w:tr>
    </w:tbl>
    <w:p>
      <w:pPr>
        <w:pStyle w:val="BodyText"/>
      </w:pPr>
      <w:r>
        <w:t xml:space="preserve">需要强调的是，这四个岗位不是”四个人各干各的”，而是需要高度协作。一个典型的WNAL L3运行团队通常需要5—8人，其中每个人都以一种能力为主、至少在另外两种能力上达到”理解级”（能看懂其他岗位的输出、能判断其合理性）。</w:t>
      </w:r>
    </w:p>
    <w:bookmarkEnd w:id="25"/>
    <w:bookmarkStart w:id="26" w:name="现有人才的差距分析"/>
    <w:p>
      <w:pPr>
        <w:pStyle w:val="Heading3"/>
      </w:pPr>
      <w:r>
        <w:t xml:space="preserve">7.2.4 现有人才的差距分析</w:t>
      </w:r>
    </w:p>
    <w:p>
      <w:pPr>
        <w:pStyle w:val="FirstParagraph"/>
      </w:pPr>
      <w:r>
        <w:t xml:space="preserve">了解差距有多大，才能制定有效的弥补策略。表7-2对比了CHS能力要求与现有水利工程人才的典型能力分布，数据来源于作者团队对国内12个水利管理单位技术骨干的能力评估调研。结果清晰地显示：差距最大的是能力B（控制优化）和能力C（智能软件）——这两类能力在传统水利教育体系中几乎是空白，就像让一位优秀的内科医生去做外科手术——基础医学知识是共通的，但操作技能完全不同。</w:t>
      </w:r>
    </w:p>
    <w:p>
      <w:pPr>
        <w:pStyle w:val="BodyText"/>
      </w:pPr>
      <w:r>
        <w:t xml:space="preserve">表7-2 CHS能力需求与现有人才差距</w:t>
      </w:r>
    </w:p>
    <w:tbl>
      <w:tblPr>
        <w:tblStyle w:val="Table"/>
        <w:tblW w:type="pct" w:w="5000"/>
        <w:tblLook w:firstRow="1" w:lastRow="0" w:firstColumn="0" w:lastColumn="0" w:noHBand="0" w:noVBand="0" w:val="0020"/>
        <w:jc w:val="start"/>
      </w:tblPr>
      <w:tblGrid>
        <w:gridCol w:w="1516"/>
        <w:gridCol w:w="1853"/>
        <w:gridCol w:w="3033"/>
        <w:gridCol w:w="1516"/>
      </w:tblGrid>
      <w:tr>
        <w:trPr>
          <w:tblHeader w:val="true"/>
        </w:trPr>
        <w:tc>
          <w:tcPr/>
          <w:p>
            <w:pPr>
              <w:pStyle w:val="Compact"/>
              <w:jc w:val="left"/>
            </w:pPr>
            <w:r>
              <w:t xml:space="preserve">能力维度</w:t>
            </w:r>
          </w:p>
        </w:tc>
        <w:tc>
          <w:tcPr/>
          <w:p>
            <w:pPr>
              <w:pStyle w:val="Compact"/>
              <w:jc w:val="left"/>
            </w:pPr>
            <w:r>
              <w:t xml:space="preserve">CHS要求水平</w:t>
            </w:r>
          </w:p>
        </w:tc>
        <w:tc>
          <w:tcPr/>
          <w:p>
            <w:pPr>
              <w:pStyle w:val="Compact"/>
              <w:jc w:val="left"/>
            </w:pPr>
            <w:r>
              <w:t xml:space="preserve">现有水利人才典型水平</w:t>
            </w:r>
          </w:p>
        </w:tc>
        <w:tc>
          <w:tcPr/>
          <w:p>
            <w:pPr>
              <w:pStyle w:val="Compact"/>
              <w:jc w:val="left"/>
            </w:pPr>
            <w:r>
              <w:t xml:space="preserve">差距评估</w:t>
            </w:r>
          </w:p>
        </w:tc>
      </w:tr>
      <w:tr>
        <w:tc>
          <w:tcPr/>
          <w:p>
            <w:pPr>
              <w:pStyle w:val="Compact"/>
              <w:jc w:val="left"/>
            </w:pPr>
            <w:r>
              <w:t xml:space="preserve">A: 水工机理</w:t>
            </w:r>
          </w:p>
        </w:tc>
        <w:tc>
          <w:tcPr/>
          <w:p>
            <w:pPr>
              <w:pStyle w:val="Compact"/>
              <w:jc w:val="left"/>
            </w:pPr>
            <w:r>
              <w:t xml:space="preserve">精通+模型化思维</w:t>
            </w:r>
          </w:p>
        </w:tc>
        <w:tc>
          <w:tcPr/>
          <w:p>
            <w:pPr>
              <w:pStyle w:val="Compact"/>
              <w:jc w:val="left"/>
            </w:pPr>
            <w:r>
              <w:t xml:space="preserve">精通（但缺乏控制导向的建模训练）</w:t>
            </w:r>
          </w:p>
        </w:tc>
        <w:tc>
          <w:tcPr/>
          <w:p>
            <w:pPr>
              <w:pStyle w:val="Compact"/>
              <w:jc w:val="left"/>
            </w:pPr>
            <w:r>
              <w:t xml:space="preserve">中等——需要补充”模型化思维”</w:t>
            </w:r>
          </w:p>
        </w:tc>
      </w:tr>
      <w:tr>
        <w:tc>
          <w:tcPr/>
          <w:p>
            <w:pPr>
              <w:pStyle w:val="Compact"/>
              <w:jc w:val="left"/>
            </w:pPr>
            <w:r>
              <w:t xml:space="preserve">B: 控制优化</w:t>
            </w:r>
          </w:p>
        </w:tc>
        <w:tc>
          <w:tcPr/>
          <w:p>
            <w:pPr>
              <w:pStyle w:val="Compact"/>
              <w:jc w:val="left"/>
            </w:pPr>
            <w:r>
              <w:t xml:space="preserve">熟练（MPC/状态估计/约束优化）</w:t>
            </w:r>
          </w:p>
        </w:tc>
        <w:tc>
          <w:tcPr/>
          <w:p>
            <w:pPr>
              <w:pStyle w:val="Compact"/>
              <w:jc w:val="left"/>
            </w:pPr>
            <w:r>
              <w:t xml:space="preserve">接近空白</w:t>
            </w:r>
          </w:p>
        </w:tc>
        <w:tc>
          <w:tcPr/>
          <w:p>
            <w:pPr>
              <w:pStyle w:val="Compact"/>
              <w:jc w:val="left"/>
            </w:pPr>
            <w:r>
              <w:rPr>
                <w:bCs/>
                <w:b/>
              </w:rPr>
              <w:t xml:space="preserve">极大</w:t>
            </w:r>
            <w:r>
              <w:t xml:space="preserve">——需要系统性补课</w:t>
            </w:r>
          </w:p>
        </w:tc>
      </w:tr>
      <w:tr>
        <w:tc>
          <w:tcPr/>
          <w:p>
            <w:pPr>
              <w:pStyle w:val="Compact"/>
              <w:jc w:val="left"/>
            </w:pPr>
            <w:r>
              <w:t xml:space="preserve">C: 智能软件</w:t>
            </w:r>
          </w:p>
        </w:tc>
        <w:tc>
          <w:tcPr/>
          <w:p>
            <w:pPr>
              <w:pStyle w:val="Compact"/>
              <w:jc w:val="left"/>
            </w:pPr>
            <w:r>
              <w:t xml:space="preserve">熟练（SCADA+MAS/微服务/AI部署）</w:t>
            </w:r>
          </w:p>
        </w:tc>
        <w:tc>
          <w:tcPr/>
          <w:p>
            <w:pPr>
              <w:pStyle w:val="Compact"/>
              <w:jc w:val="left"/>
            </w:pPr>
            <w:r>
              <w:t xml:space="preserve">基本SCADA操作</w:t>
            </w:r>
          </w:p>
        </w:tc>
        <w:tc>
          <w:tcPr/>
          <w:p>
            <w:pPr>
              <w:pStyle w:val="Compact"/>
              <w:jc w:val="left"/>
            </w:pPr>
            <w:r>
              <w:rPr>
                <w:bCs/>
                <w:b/>
              </w:rPr>
              <w:t xml:space="preserve">极大</w:t>
            </w:r>
            <w:r>
              <w:t xml:space="preserve">——需要全面建设</w:t>
            </w:r>
          </w:p>
        </w:tc>
      </w:tr>
      <w:tr>
        <w:tc>
          <w:tcPr/>
          <w:p>
            <w:pPr>
              <w:pStyle w:val="Compact"/>
              <w:jc w:val="left"/>
            </w:pPr>
            <w:r>
              <w:t xml:space="preserve">D: 治理安全</w:t>
            </w:r>
          </w:p>
        </w:tc>
        <w:tc>
          <w:tcPr/>
          <w:p>
            <w:pPr>
              <w:pStyle w:val="Compact"/>
              <w:jc w:val="left"/>
            </w:pPr>
            <w:r>
              <w:t xml:space="preserve">精通（ODD/审计/合规）</w:t>
            </w:r>
          </w:p>
        </w:tc>
        <w:tc>
          <w:tcPr/>
          <w:p>
            <w:pPr>
              <w:pStyle w:val="Compact"/>
              <w:jc w:val="left"/>
            </w:pPr>
            <w:r>
              <w:t xml:space="preserve">有运行管理经验但缺乏形式化框架</w:t>
            </w:r>
          </w:p>
        </w:tc>
        <w:tc>
          <w:tcPr/>
          <w:p>
            <w:pPr>
              <w:pStyle w:val="Compact"/>
              <w:jc w:val="left"/>
            </w:pPr>
            <w:r>
              <w:t xml:space="preserve">中等——已有基础，需要框架化</w:t>
            </w:r>
          </w:p>
        </w:tc>
      </w:tr>
    </w:tbl>
    <w:p>
      <w:pPr>
        <w:pStyle w:val="BodyText"/>
      </w:pPr>
      <w:r>
        <w:t xml:space="preserve">这个差距分析揭示了一个关键洞察：</w:t>
      </w:r>
      <w:r>
        <w:rPr>
          <w:bCs/>
          <w:b/>
        </w:rPr>
        <w:t xml:space="preserve">CHS人才培养不能只靠”在水利专业中加几门选修课”，而需要建立真正的交叉培养体系。</w:t>
      </w:r>
      <w:r>
        <w:t xml:space="preserve"> </w:t>
      </w:r>
      <w:r>
        <w:t xml:space="preserve">同时，差距的分布也指明了优先级——能力B和C的建设最为紧迫，它们是从L1跃迁到L2/L3的技术瓶颈。</w:t>
      </w:r>
    </w:p>
    <w:p>
      <w:pPr>
        <w:pStyle w:val="BodyText"/>
      </w:pPr>
      <w:r>
        <w:t xml:space="preserve">知道了”需要什么能力”和”差距有多大”，接下来回答”如何培养”的问题。</w:t>
      </w:r>
    </w:p>
    <w:p>
      <w:r>
        <w:pict>
          <v:rect style="width:0;height:1.5pt" o:hralign="center" o:hrstd="t" o:hr="t"/>
        </w:pict>
      </w:r>
    </w:p>
    <w:bookmarkEnd w:id="26"/>
    <w:bookmarkEnd w:id="27"/>
    <w:bookmarkStart w:id="33" w:name="四支柱课程体系"/>
    <w:p>
      <w:pPr>
        <w:pStyle w:val="Heading2"/>
      </w:pPr>
      <w:r>
        <w:t xml:space="preserve">7.3 四支柱课程体系</w:t>
      </w:r>
    </w:p>
    <w:p>
      <w:pPr>
        <w:pStyle w:val="FirstParagraph"/>
      </w:pPr>
      <w:r>
        <w:t xml:space="preserve">知道了”差距在哪里”（§7.2.4的差距分析表明能力B和C是最大短板），接下来回答”如何弥补”。为避免”学了很多课，仍不会做系统工程”的困境，本节建议以四支柱重构CHS相关的培养方案。四支柱与四类能力一一对应，但课程设计不是简单的知识罗列，而是围绕”在工程场景中解决问题”这一核心目标组织的——就像医学院的课程不是按”解剖学+生理学+药理学”的学科逻辑排列，而是按”诊断→治疗→康复”的临床逻辑组织。每个支柱下设3门核心课程，加上1门跨支柱综合设计，共13门课/512学时（硕士全套），本科入门版可精简为4门/176学时。下面逐支柱展开说明各课程的设计思路、教学目标和核心产出（见表7-3完整汇总）。</w:t>
      </w:r>
    </w:p>
    <w:p>
      <w:pPr>
        <w:pStyle w:val="BodyText"/>
      </w:pPr>
      <w:r>
        <w:t xml:space="preserve">[图7-2: 四支柱课程体系结构图]</w:t>
      </w:r>
    </w:p>
    <w:bookmarkStart w:id="28" w:name="支柱a水系统建模与控制基础"/>
    <w:p>
      <w:pPr>
        <w:pStyle w:val="Heading3"/>
      </w:pPr>
      <w:r>
        <w:t xml:space="preserve">7.3.1 支柱A：水系统建模与控制基础</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给水利工程师的速览：为什么”水力学”课需要重新设计？</w:t>
            </w:r>
          </w:p>
        </w:tc>
      </w:tr>
      <w:tr>
        <w:tc>
          <w:tcPr/>
          <w:p>
            <w:pPr>
              <w:pStyle w:val="Compact"/>
              <w:jc w:val="left"/>
            </w:pPr>
            <w:r>
              <w:t xml:space="preserve">传统水力学课程以”分析已知系统的水力行为”为目标——给定渠道断面和流量，计算水位。但CHS需要的是”设计控制系统所需的动态模型”——给定水位控制目标，确定需要什么精度的模型、模型中哪些参数是关键的、模型在什么条件下会失效。这是从”分析”到”综合”的根本转变，需要在教学中显式地引入系统辨识和模型校正的内容。</w:t>
            </w:r>
          </w:p>
        </w:tc>
      </w:tr>
    </w:tbl>
    <w:p>
      <w:pPr>
        <w:pStyle w:val="FirstParagraph"/>
      </w:pPr>
      <w:r>
        <w:t xml:space="preserve">支柱A的核心课程及其教学目标如下：</w:t>
      </w:r>
    </w:p>
    <w:p>
      <w:pPr>
        <w:pStyle w:val="BodyText"/>
      </w:pPr>
      <w:r>
        <w:rPr>
          <w:bCs/>
          <w:b/>
        </w:rPr>
        <w:t xml:space="preserve">课程A1：水动力学建模。</w:t>
      </w:r>
      <w:r>
        <w:t xml:space="preserve"> </w:t>
      </w:r>
      <w:r>
        <w:t xml:space="preserve">从控制工程的视角重新组织水力学基础。重点不是推导Saint-Venant方程的数学细节，而是理解其作为控制对象的关键特性：时滞、非线性、耦合、时变。教学案例应覆盖明渠（一维非恒定流）、管网（稳态+水锤）和水库（零维水量平衡）三种典型水利对象。课程A1的核心产出是：学生能够独立为一个50 km级调水渠道搭建一维非恒定流仿真模型，完成至少5种典型工况（正常调度、闸门故障、突发来水、冰期过渡、多用户竞争）的仿真验证。教学方法以”项目驱动”为主——每周2学时理论讲授加2学时上机实操，期末提交完整的建模报告而非闭卷考试。</w:t>
      </w:r>
    </w:p>
    <w:p>
      <w:pPr>
        <w:pStyle w:val="BodyText"/>
      </w:pPr>
      <w:r>
        <w:rPr>
          <w:bCs/>
          <w:b/>
        </w:rPr>
        <w:t xml:space="preserve">课程A2：系统辨识与参数估计。</w:t>
      </w:r>
      <w:r>
        <w:t xml:space="preserve"> </w:t>
      </w:r>
      <w:r>
        <w:t xml:space="preserve">如何从运行数据中提取模型参数？如何判断模型的适用范围？如何检测模型退化？这门课是连接”物理模型”和”数据驱动”的桥梁，在CHS实践中具有核心地位——第六章胶东调水案例中的季度模型校正机制，本质上就是系统辨识方法的持续应用 [7-3]。</w:t>
      </w:r>
    </w:p>
    <w:p>
      <w:pPr>
        <w:pStyle w:val="BodyText"/>
      </w:pPr>
      <w:r>
        <w:rPr>
          <w:bCs/>
          <w:b/>
        </w:rPr>
        <w:t xml:space="preserve">课程A3：状态估计与故障诊断。</w:t>
      </w:r>
      <w:r>
        <w:t xml:space="preserve"> </w:t>
      </w:r>
      <w:r>
        <w:t xml:space="preserve">水利系统的传感器覆盖率通常不高（相比电力系统或化工过程），因此需要通过状态估计来”填补”未直接测量的状态变量。故障诊断则是安全运行的前提——如何区分”真实的水位异常”和”传感器故障”，如何在传感器失效时自动降级到安全模式 [7-4]。</w:t>
      </w:r>
    </w:p>
    <w:bookmarkEnd w:id="28"/>
    <w:bookmarkStart w:id="29" w:name="支柱b智能算法与认知增强"/>
    <w:p>
      <w:pPr>
        <w:pStyle w:val="Heading3"/>
      </w:pPr>
      <w:r>
        <w:t xml:space="preserve">7.3.2 支柱B：智能算法与认知增强</w:t>
      </w:r>
    </w:p>
    <w:p>
      <w:pPr>
        <w:pStyle w:val="FirstParagraph"/>
      </w:pPr>
      <w:r>
        <w:t xml:space="preserve">支柱B培养的不是”算法竞赛选手”，而是”能把算法嵌入工程约束”的系统工程师。</w:t>
      </w:r>
    </w:p>
    <w:p>
      <w:pPr>
        <w:pStyle w:val="BodyText"/>
      </w:pPr>
      <w:r>
        <w:rPr>
          <w:bCs/>
          <w:b/>
        </w:rPr>
        <w:t xml:space="preserve">课程B1：约束优化与模型预测控制。</w:t>
      </w:r>
      <w:r>
        <w:t xml:space="preserve"> </w:t>
      </w:r>
      <w:r>
        <w:t xml:space="preserve">MPC是CHS的核心控制工具。这门课不仅讲授MPC的数学理论（二次规划、滚动时域优化），更强调工程实现中的关键问题：计算实时性约束下的模型降阶策略、约束冲突时的优先级排序、以及MPC在通信延迟和模型不确定性条件下的鲁棒性保障 [7-5]。</w:t>
      </w:r>
    </w:p>
    <w:p>
      <w:pPr>
        <w:pStyle w:val="BodyText"/>
      </w:pPr>
      <w:r>
        <w:rPr>
          <w:bCs/>
          <w:b/>
        </w:rPr>
        <w:t xml:space="preserve">课程B2：机器学习与物理信息融合。</w:t>
      </w:r>
      <w:r>
        <w:t xml:space="preserve"> </w:t>
      </w:r>
      <w:r>
        <w:t xml:space="preserve">纯数据驱动的机器学习在水利领域的应用面临”数据稀疏+物理约束强”的双重挑战。物理信息神经网络（PINN）和混合建模方法提供了一条有前景的路径——用物理方程约束网络结构，用数据弥补模型参数的不确定性 [7-6]。课程应包含水利领域的具体应用案例，如基于PINN的渠道水力模型替代和基于迁移学习的跨流域模型适配。</w:t>
      </w:r>
    </w:p>
    <w:p>
      <w:pPr>
        <w:pStyle w:val="BodyText"/>
      </w:pPr>
      <w:r>
        <w:rPr>
          <w:bCs/>
          <w:b/>
        </w:rPr>
        <w:t xml:space="preserve">课程B3：认知AI与人机协作。</w:t>
      </w:r>
      <w:r>
        <w:t xml:space="preserve"> </w:t>
      </w:r>
      <w:r>
        <w:t xml:space="preserve">第五章引入的CAI（认知AI引擎）代表了一种新的人机协作范式——AI不仅计算，还要解释、建议和预警。这门课应讲授自然语言生成、知识图谱和多模态态势感知的基本方法，并结合第六章沙坪水电站的案例讲解CAI在实际决策支持中的应用与局限 [7-7]。</w:t>
      </w:r>
    </w:p>
    <w:bookmarkEnd w:id="29"/>
    <w:bookmarkStart w:id="30" w:name="支柱c系统工程与软件平台"/>
    <w:p>
      <w:pPr>
        <w:pStyle w:val="Heading3"/>
      </w:pPr>
      <w:r>
        <w:t xml:space="preserve">7.3.3 支柱C：系统工程与软件平台</w:t>
      </w:r>
    </w:p>
    <w:p>
      <w:pPr>
        <w:pStyle w:val="FirstParagraph"/>
      </w:pPr>
      <w:r>
        <w:t xml:space="preserve">支柱C弥合”算法原型”和”工程可运维系统”之间的鸿沟。这是目前水利教育中最大的空白。</w:t>
      </w:r>
    </w:p>
    <w:p>
      <w:pPr>
        <w:pStyle w:val="BodyText"/>
      </w:pPr>
      <w:r>
        <w:rPr>
          <w:bCs/>
          <w:b/>
        </w:rPr>
        <w:t xml:space="preserve">课程C1：SCADA+MAS融合架构。</w:t>
      </w:r>
      <w:r>
        <w:t xml:space="preserve"> </w:t>
      </w:r>
      <w:r>
        <w:t xml:space="preserve">讲授第五章定义的融合架构设计方法：如何在保留现有SCADA系统的基础上叠加多智能体系统（MAS）的协调控制层？如何设计SCADA与MAS之间的数据交换接口？如何处理两种系统在时间同步、故障模式和升级策略上的差异 [7-8]？实验环节应包含在教学沙盘上完成一次完整的SCADA+MAS融合部署。这是支柱C中”最接近工程现场”的课程——学生需要理解的不是”MAS比SCADA先进”这种简化叙事，而是”如何让两套理念完全不同的系统协调工作而不互相干扰”的工程现实。课程C1的核心产出是一份完整的融合架构设计文档，包括接口规范、故障隔离策略和升级路径。</w:t>
      </w:r>
    </w:p>
    <w:p>
      <w:pPr>
        <w:pStyle w:val="BodyText"/>
      </w:pPr>
      <w:r>
        <w:rPr>
          <w:bCs/>
          <w:b/>
        </w:rPr>
        <w:t xml:space="preserve">课程C2：实时数据工程。</w:t>
      </w:r>
      <w:r>
        <w:t xml:space="preserve"> </w:t>
      </w:r>
      <w:r>
        <w:t xml:space="preserve">水利系统的数据有其特殊性：采样频率从秒级到小时级不等、传感器可靠性参差不齐、历史数据的格式和标准高度碎片化。这门课讲授数据采集、清洗、校验、存储和查询的工程方法，特别是如何建立数据可信度评估机制——第五章的数据保障层（DAL）正是这一能力的工程载体 [7-9]。</w:t>
      </w:r>
    </w:p>
    <w:p>
      <w:pPr>
        <w:pStyle w:val="BodyText"/>
      </w:pPr>
      <w:r>
        <w:rPr>
          <w:bCs/>
          <w:b/>
        </w:rPr>
        <w:t xml:space="preserve">课程C3：在环测试工程。</w:t>
      </w:r>
      <w:r>
        <w:t xml:space="preserve"> </w:t>
      </w:r>
      <w:r>
        <w:t xml:space="preserve">MIL/SIL/HIL三级在环验证不是”跑一遍测试用例”那么简单。这门课讲授在环测试的工程方法论：如何设计测试场景覆盖矩阵？如何建立仿真环境的可信度？如何处理HIL测试中的真实设备接入问题？教学案例应包含第六章中胶东调水MIL/SIL/HIL验证过程中发现的典型问题（浮点截断、通信延迟等） [7-10]。</w:t>
      </w:r>
    </w:p>
    <w:bookmarkEnd w:id="30"/>
    <w:bookmarkStart w:id="31" w:name="支柱d运行治理与行业规范"/>
    <w:p>
      <w:pPr>
        <w:pStyle w:val="Heading3"/>
      </w:pPr>
      <w:r>
        <w:t xml:space="preserve">7.3.4 支柱D：运行治理与行业规范</w:t>
      </w:r>
    </w:p>
    <w:p>
      <w:pPr>
        <w:pStyle w:val="FirstParagraph"/>
      </w:pPr>
      <w:r>
        <w:t xml:space="preserve">支柱D确保技术方案具备制度落地能力，避免”技术正确、治理失效”。</w:t>
      </w:r>
    </w:p>
    <w:p>
      <w:pPr>
        <w:pStyle w:val="BodyText"/>
      </w:pPr>
      <w:r>
        <w:rPr>
          <w:bCs/>
          <w:b/>
        </w:rPr>
        <w:t xml:space="preserve">课程D1：运行风险管理。</w:t>
      </w:r>
      <w:r>
        <w:t xml:space="preserve"> </w:t>
      </w:r>
      <w:r>
        <w:t xml:space="preserve">从安全包络、ODD定义到四态机降级机制，讲授CHS框架中的安全治理工具及其工程应用。课程不仅覆盖技术原理，还包括管理维度：如何定义接管权责？如何设计人机交接流程？如何避免”自动化偏见”（automation bias）——即调度员过度信任系统输出而丧失独立判断能力 [7-11]？</w:t>
      </w:r>
    </w:p>
    <w:p>
      <w:pPr>
        <w:pStyle w:val="BodyText"/>
      </w:pPr>
      <w:r>
        <w:rPr>
          <w:bCs/>
          <w:b/>
        </w:rPr>
        <w:t xml:space="preserve">课程D2：网络安全与系统韧性。</w:t>
      </w:r>
      <w:r>
        <w:t xml:space="preserve"> </w:t>
      </w:r>
      <w:r>
        <w:t xml:space="preserve">水利系统作为关键基础设施，面临日益严峻的网络安全威胁。SCADA系统的安全防护从”物理隔离”向”纵深防御”转变，需要专门的安全架构设计。课程应涵盖IEC 62443标准体系、水利SCADA的安全分区策略和入侵检测方法 [7-12]。</w:t>
      </w:r>
    </w:p>
    <w:p>
      <w:pPr>
        <w:pStyle w:val="BodyText"/>
      </w:pPr>
      <w:r>
        <w:rPr>
          <w:bCs/>
          <w:b/>
        </w:rPr>
        <w:t xml:space="preserve">课程D3：标准、合规与审计。</w:t>
      </w:r>
      <w:r>
        <w:t xml:space="preserve"> </w:t>
      </w:r>
      <w:r>
        <w:t xml:space="preserve">讲授审计链的设计与实现、WNAL等级评估的合规要求、以及国际国内水利标准体系的框架。这门课的实操性很强——学生需要能够为一个具体工程编写ODD文档、设计审计链的数据结构和查询接口、并完成一次WNAL等级评估的完整流程。</w:t>
      </w:r>
    </w:p>
    <w:bookmarkEnd w:id="31"/>
    <w:bookmarkStart w:id="32" w:name="课程整合跨支柱综合设计"/>
    <w:p>
      <w:pPr>
        <w:pStyle w:val="Heading3"/>
      </w:pPr>
      <w:r>
        <w:t xml:space="preserve">7.3.5 课程整合：跨支柱综合设计</w:t>
      </w:r>
    </w:p>
    <w:p>
      <w:pPr>
        <w:pStyle w:val="FirstParagraph"/>
      </w:pPr>
      <w:r>
        <w:t xml:space="preserve">四支柱课程最大的风险是”碎片化”——学生在每个支柱内完成了课程考核，但无法在一个真实项目中将四个支柱的知识融会贯通。这就像分别学会了加速、刹车、转向和看后视镜，但没有在真实道路上把这些动作组合成”安全驾驶”。跨支柱综合设计课程（X1，64学时）正是为了解决这个”最后一公里”的整合问题——要求3—5人的学生团队在教学沙盘上完成一个完整的CHS工程项目，从ODD定义到控制器设计到在环验证再到审计报告，端到端地走一遍全流程。</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给水利工程师的速览：如何避免”学了很多课、仍不会做项目”？</w:t>
            </w:r>
          </w:p>
        </w:tc>
      </w:tr>
      <w:tr>
        <w:tc>
          <w:tcPr/>
          <w:p>
            <w:pPr>
              <w:pStyle w:val="Compact"/>
              <w:jc w:val="left"/>
            </w:pPr>
            <w:r>
              <w:t xml:space="preserve">四支柱课程最大的风险是”碎片化”——学生在每个支柱内完成了课程考核，但无法把四个支柱的知识整合到一个完整的工程项目中。解决方案是设置跨支柱的综合设计课程，要求学生以3—5人团队完成一个完整的CHS工程项目：从ODD定义、模型建立、控制器设计，到在教学沙盘上完成MIL/SIL验证，再到编写运行规程和审计方案。这门课应安排在培养方案的最后阶段，作为所有支柱课程的”集成测试”。</w:t>
            </w:r>
          </w:p>
        </w:tc>
      </w:tr>
    </w:tbl>
    <w:p>
      <w:pPr>
        <w:pStyle w:val="FirstParagraph"/>
      </w:pPr>
      <w:r>
        <w:t xml:space="preserve">表7-3列出了四支柱课程的完整建议方案。</w:t>
      </w:r>
    </w:p>
    <w:p>
      <w:pPr>
        <w:pStyle w:val="BodyText"/>
      </w:pPr>
      <w:r>
        <w:t xml:space="preserve">表7-3 CHS四支柱课程体系建议方案</w:t>
      </w:r>
    </w:p>
    <w:tbl>
      <w:tblPr>
        <w:tblStyle w:val="Table"/>
        <w:tblW w:type="pct" w:w="5000"/>
        <w:tblLook w:firstRow="1" w:lastRow="0" w:firstColumn="0" w:lastColumn="0" w:noHBand="0" w:noVBand="0" w:val="0020"/>
        <w:jc w:val="start"/>
      </w:tblPr>
      <w:tblGrid>
        <w:gridCol w:w="990"/>
        <w:gridCol w:w="1485"/>
        <w:gridCol w:w="1485"/>
        <w:gridCol w:w="990"/>
        <w:gridCol w:w="1485"/>
        <w:gridCol w:w="1485"/>
      </w:tblGrid>
      <w:tr>
        <w:trPr>
          <w:tblHeader w:val="true"/>
        </w:trPr>
        <w:tc>
          <w:tcPr/>
          <w:p>
            <w:pPr>
              <w:pStyle w:val="Compact"/>
              <w:jc w:val="left"/>
            </w:pPr>
            <w:r>
              <w:t xml:space="preserve">支柱</w:t>
            </w:r>
          </w:p>
        </w:tc>
        <w:tc>
          <w:tcPr/>
          <w:p>
            <w:pPr>
              <w:pStyle w:val="Compact"/>
              <w:jc w:val="left"/>
            </w:pPr>
            <w:r>
              <w:t xml:space="preserve">课程编号</w:t>
            </w:r>
          </w:p>
        </w:tc>
        <w:tc>
          <w:tcPr/>
          <w:p>
            <w:pPr>
              <w:pStyle w:val="Compact"/>
              <w:jc w:val="left"/>
            </w:pPr>
            <w:r>
              <w:t xml:space="preserve">课程名称</w:t>
            </w:r>
          </w:p>
        </w:tc>
        <w:tc>
          <w:tcPr/>
          <w:p>
            <w:pPr>
              <w:pStyle w:val="Compact"/>
              <w:jc w:val="left"/>
            </w:pPr>
            <w:r>
              <w:t xml:space="preserve">学时</w:t>
            </w:r>
          </w:p>
        </w:tc>
        <w:tc>
          <w:tcPr/>
          <w:p>
            <w:pPr>
              <w:pStyle w:val="Compact"/>
              <w:jc w:val="left"/>
            </w:pPr>
            <w:r>
              <w:t xml:space="preserve">前置要求</w:t>
            </w:r>
          </w:p>
        </w:tc>
        <w:tc>
          <w:tcPr/>
          <w:p>
            <w:pPr>
              <w:pStyle w:val="Compact"/>
              <w:jc w:val="left"/>
            </w:pPr>
            <w:r>
              <w:t xml:space="preserve">核心产出</w:t>
            </w:r>
          </w:p>
        </w:tc>
      </w:tr>
      <w:tr>
        <w:tc>
          <w:tcPr/>
          <w:p>
            <w:pPr>
              <w:pStyle w:val="Compact"/>
              <w:jc w:val="left"/>
            </w:pPr>
            <w:r>
              <w:t xml:space="preserve">A</w:t>
            </w:r>
          </w:p>
        </w:tc>
        <w:tc>
          <w:tcPr/>
          <w:p>
            <w:pPr>
              <w:pStyle w:val="Compact"/>
              <w:jc w:val="left"/>
            </w:pPr>
            <w:r>
              <w:t xml:space="preserve">A1</w:t>
            </w:r>
          </w:p>
        </w:tc>
        <w:tc>
          <w:tcPr/>
          <w:p>
            <w:pPr>
              <w:pStyle w:val="Compact"/>
              <w:jc w:val="left"/>
            </w:pPr>
            <w:r>
              <w:t xml:space="preserve">水动力学建模</w:t>
            </w:r>
          </w:p>
        </w:tc>
        <w:tc>
          <w:tcPr/>
          <w:p>
            <w:pPr>
              <w:pStyle w:val="Compact"/>
              <w:jc w:val="left"/>
            </w:pPr>
            <w:r>
              <w:t xml:space="preserve">48</w:t>
            </w:r>
          </w:p>
        </w:tc>
        <w:tc>
          <w:tcPr/>
          <w:p>
            <w:pPr>
              <w:pStyle w:val="Compact"/>
              <w:jc w:val="left"/>
            </w:pPr>
            <w:r>
              <w:t xml:space="preserve">流体力学、微分方程</w:t>
            </w:r>
          </w:p>
        </w:tc>
        <w:tc>
          <w:tcPr/>
          <w:p>
            <w:pPr>
              <w:pStyle w:val="Compact"/>
              <w:jc w:val="left"/>
            </w:pPr>
            <w:r>
              <w:t xml:space="preserve">能建立明渠/管网/水库的控制导向模型</w:t>
            </w:r>
          </w:p>
        </w:tc>
      </w:tr>
      <w:tr>
        <w:tc>
          <w:tcPr/>
          <w:p>
            <w:pPr>
              <w:pStyle w:val="Compact"/>
              <w:jc w:val="left"/>
            </w:pPr>
            <w:r>
              <w:t xml:space="preserve">A</w:t>
            </w:r>
          </w:p>
        </w:tc>
        <w:tc>
          <w:tcPr/>
          <w:p>
            <w:pPr>
              <w:pStyle w:val="Compact"/>
              <w:jc w:val="left"/>
            </w:pPr>
            <w:r>
              <w:t xml:space="preserve">A2</w:t>
            </w:r>
          </w:p>
        </w:tc>
        <w:tc>
          <w:tcPr/>
          <w:p>
            <w:pPr>
              <w:pStyle w:val="Compact"/>
              <w:jc w:val="left"/>
            </w:pPr>
            <w:r>
              <w:t xml:space="preserve">系统辨识与参数估计</w:t>
            </w:r>
          </w:p>
        </w:tc>
        <w:tc>
          <w:tcPr/>
          <w:p>
            <w:pPr>
              <w:pStyle w:val="Compact"/>
              <w:jc w:val="left"/>
            </w:pPr>
            <w:r>
              <w:t xml:space="preserve">32</w:t>
            </w:r>
          </w:p>
        </w:tc>
        <w:tc>
          <w:tcPr/>
          <w:p>
            <w:pPr>
              <w:pStyle w:val="Compact"/>
              <w:jc w:val="left"/>
            </w:pPr>
            <w:r>
              <w:t xml:space="preserve">A1、线性代数</w:t>
            </w:r>
          </w:p>
        </w:tc>
        <w:tc>
          <w:tcPr/>
          <w:p>
            <w:pPr>
              <w:pStyle w:val="Compact"/>
              <w:jc w:val="left"/>
            </w:pPr>
            <w:r>
              <w:t xml:space="preserve">能从运行数据中辨识模型参数</w:t>
            </w:r>
          </w:p>
        </w:tc>
      </w:tr>
      <w:tr>
        <w:tc>
          <w:tcPr/>
          <w:p>
            <w:pPr>
              <w:pStyle w:val="Compact"/>
              <w:jc w:val="left"/>
            </w:pPr>
            <w:r>
              <w:t xml:space="preserve">A</w:t>
            </w:r>
          </w:p>
        </w:tc>
        <w:tc>
          <w:tcPr/>
          <w:p>
            <w:pPr>
              <w:pStyle w:val="Compact"/>
              <w:jc w:val="left"/>
            </w:pPr>
            <w:r>
              <w:t xml:space="preserve">A3</w:t>
            </w:r>
          </w:p>
        </w:tc>
        <w:tc>
          <w:tcPr/>
          <w:p>
            <w:pPr>
              <w:pStyle w:val="Compact"/>
              <w:jc w:val="left"/>
            </w:pPr>
            <w:r>
              <w:t xml:space="preserve">状态估计与故障诊断</w:t>
            </w:r>
          </w:p>
        </w:tc>
        <w:tc>
          <w:tcPr/>
          <w:p>
            <w:pPr>
              <w:pStyle w:val="Compact"/>
              <w:jc w:val="left"/>
            </w:pPr>
            <w:r>
              <w:t xml:space="preserve">32</w:t>
            </w:r>
          </w:p>
        </w:tc>
        <w:tc>
          <w:tcPr/>
          <w:p>
            <w:pPr>
              <w:pStyle w:val="Compact"/>
              <w:jc w:val="left"/>
            </w:pPr>
            <w:r>
              <w:t xml:space="preserve">A2、概率论</w:t>
            </w:r>
          </w:p>
        </w:tc>
        <w:tc>
          <w:tcPr/>
          <w:p>
            <w:pPr>
              <w:pStyle w:val="Compact"/>
              <w:jc w:val="left"/>
            </w:pPr>
            <w:r>
              <w:t xml:space="preserve">能设计状态观测器和故障检测逻辑</w:t>
            </w:r>
          </w:p>
        </w:tc>
      </w:tr>
      <w:tr>
        <w:tc>
          <w:tcPr/>
          <w:p>
            <w:pPr>
              <w:pStyle w:val="Compact"/>
              <w:jc w:val="left"/>
            </w:pPr>
            <w:r>
              <w:t xml:space="preserve">B</w:t>
            </w:r>
          </w:p>
        </w:tc>
        <w:tc>
          <w:tcPr/>
          <w:p>
            <w:pPr>
              <w:pStyle w:val="Compact"/>
              <w:jc w:val="left"/>
            </w:pPr>
            <w:r>
              <w:t xml:space="preserve">B1</w:t>
            </w:r>
          </w:p>
        </w:tc>
        <w:tc>
          <w:tcPr/>
          <w:p>
            <w:pPr>
              <w:pStyle w:val="Compact"/>
              <w:jc w:val="left"/>
            </w:pPr>
            <w:r>
              <w:t xml:space="preserve">约束优化与MPC</w:t>
            </w:r>
          </w:p>
        </w:tc>
        <w:tc>
          <w:tcPr/>
          <w:p>
            <w:pPr>
              <w:pStyle w:val="Compact"/>
              <w:jc w:val="left"/>
            </w:pPr>
            <w:r>
              <w:t xml:space="preserve">48</w:t>
            </w:r>
          </w:p>
        </w:tc>
        <w:tc>
          <w:tcPr/>
          <w:p>
            <w:pPr>
              <w:pStyle w:val="Compact"/>
              <w:jc w:val="left"/>
            </w:pPr>
            <w:r>
              <w:t xml:space="preserve">最优化理论、A1</w:t>
            </w:r>
          </w:p>
        </w:tc>
        <w:tc>
          <w:tcPr/>
          <w:p>
            <w:pPr>
              <w:pStyle w:val="Compact"/>
              <w:jc w:val="left"/>
            </w:pPr>
            <w:r>
              <w:t xml:space="preserve">能设计和调试MPC控制器</w:t>
            </w:r>
          </w:p>
        </w:tc>
      </w:tr>
      <w:tr>
        <w:tc>
          <w:tcPr/>
          <w:p>
            <w:pPr>
              <w:pStyle w:val="Compact"/>
              <w:jc w:val="left"/>
            </w:pPr>
            <w:r>
              <w:t xml:space="preserve">B</w:t>
            </w:r>
          </w:p>
        </w:tc>
        <w:tc>
          <w:tcPr/>
          <w:p>
            <w:pPr>
              <w:pStyle w:val="Compact"/>
              <w:jc w:val="left"/>
            </w:pPr>
            <w:r>
              <w:t xml:space="preserve">B2</w:t>
            </w:r>
          </w:p>
        </w:tc>
        <w:tc>
          <w:tcPr/>
          <w:p>
            <w:pPr>
              <w:pStyle w:val="Compact"/>
              <w:jc w:val="left"/>
            </w:pPr>
            <w:r>
              <w:t xml:space="preserve">机器学习与物理信息融合</w:t>
            </w:r>
          </w:p>
        </w:tc>
        <w:tc>
          <w:tcPr/>
          <w:p>
            <w:pPr>
              <w:pStyle w:val="Compact"/>
              <w:jc w:val="left"/>
            </w:pPr>
            <w:r>
              <w:t xml:space="preserve">32</w:t>
            </w:r>
          </w:p>
        </w:tc>
        <w:tc>
          <w:tcPr/>
          <w:p>
            <w:pPr>
              <w:pStyle w:val="Compact"/>
              <w:jc w:val="left"/>
            </w:pPr>
            <w:r>
              <w:t xml:space="preserve">B1、Python编程</w:t>
            </w:r>
          </w:p>
        </w:tc>
        <w:tc>
          <w:tcPr/>
          <w:p>
            <w:pPr>
              <w:pStyle w:val="Compact"/>
              <w:jc w:val="left"/>
            </w:pPr>
            <w:r>
              <w:t xml:space="preserve">能应用PINN进行模型增强</w:t>
            </w:r>
          </w:p>
        </w:tc>
      </w:tr>
      <w:tr>
        <w:tc>
          <w:tcPr/>
          <w:p>
            <w:pPr>
              <w:pStyle w:val="Compact"/>
              <w:jc w:val="left"/>
            </w:pPr>
            <w:r>
              <w:t xml:space="preserve">B</w:t>
            </w:r>
          </w:p>
        </w:tc>
        <w:tc>
          <w:tcPr/>
          <w:p>
            <w:pPr>
              <w:pStyle w:val="Compact"/>
              <w:jc w:val="left"/>
            </w:pPr>
            <w:r>
              <w:t xml:space="preserve">B3</w:t>
            </w:r>
          </w:p>
        </w:tc>
        <w:tc>
          <w:tcPr/>
          <w:p>
            <w:pPr>
              <w:pStyle w:val="Compact"/>
              <w:jc w:val="left"/>
            </w:pPr>
            <w:r>
              <w:t xml:space="preserve">认知AI与人机协作</w:t>
            </w:r>
          </w:p>
        </w:tc>
        <w:tc>
          <w:tcPr/>
          <w:p>
            <w:pPr>
              <w:pStyle w:val="Compact"/>
              <w:jc w:val="left"/>
            </w:pPr>
            <w:r>
              <w:t xml:space="preserve">32</w:t>
            </w:r>
          </w:p>
        </w:tc>
        <w:tc>
          <w:tcPr/>
          <w:p>
            <w:pPr>
              <w:pStyle w:val="Compact"/>
              <w:jc w:val="left"/>
            </w:pPr>
            <w:r>
              <w:t xml:space="preserve">B2</w:t>
            </w:r>
          </w:p>
        </w:tc>
        <w:tc>
          <w:tcPr/>
          <w:p>
            <w:pPr>
              <w:pStyle w:val="Compact"/>
              <w:jc w:val="left"/>
            </w:pPr>
            <w:r>
              <w:t xml:space="preserve">能设计CAI引擎的决策支持流程</w:t>
            </w:r>
          </w:p>
        </w:tc>
      </w:tr>
      <w:tr>
        <w:tc>
          <w:tcPr/>
          <w:p>
            <w:pPr>
              <w:pStyle w:val="Compact"/>
              <w:jc w:val="left"/>
            </w:pPr>
            <w:r>
              <w:t xml:space="preserve">C</w:t>
            </w:r>
          </w:p>
        </w:tc>
        <w:tc>
          <w:tcPr/>
          <w:p>
            <w:pPr>
              <w:pStyle w:val="Compact"/>
              <w:jc w:val="left"/>
            </w:pPr>
            <w:r>
              <w:t xml:space="preserve">C1</w:t>
            </w:r>
          </w:p>
        </w:tc>
        <w:tc>
          <w:tcPr/>
          <w:p>
            <w:pPr>
              <w:pStyle w:val="Compact"/>
              <w:jc w:val="left"/>
            </w:pPr>
            <w:r>
              <w:t xml:space="preserve">SCADA+MAS融合架构</w:t>
            </w:r>
          </w:p>
        </w:tc>
        <w:tc>
          <w:tcPr/>
          <w:p>
            <w:pPr>
              <w:pStyle w:val="Compact"/>
              <w:jc w:val="left"/>
            </w:pPr>
            <w:r>
              <w:t xml:space="preserve">48</w:t>
            </w:r>
          </w:p>
        </w:tc>
        <w:tc>
          <w:tcPr/>
          <w:p>
            <w:pPr>
              <w:pStyle w:val="Compact"/>
              <w:jc w:val="left"/>
            </w:pPr>
            <w:r>
              <w:t xml:space="preserve">计算机网络、A1</w:t>
            </w:r>
          </w:p>
        </w:tc>
        <w:tc>
          <w:tcPr/>
          <w:p>
            <w:pPr>
              <w:pStyle w:val="Compact"/>
              <w:jc w:val="left"/>
            </w:pPr>
            <w:r>
              <w:t xml:space="preserve">能完成SCADA+MAS的集成部署</w:t>
            </w:r>
          </w:p>
        </w:tc>
      </w:tr>
      <w:tr>
        <w:tc>
          <w:tcPr/>
          <w:p>
            <w:pPr>
              <w:pStyle w:val="Compact"/>
              <w:jc w:val="left"/>
            </w:pPr>
            <w:r>
              <w:t xml:space="preserve">C</w:t>
            </w:r>
          </w:p>
        </w:tc>
        <w:tc>
          <w:tcPr/>
          <w:p>
            <w:pPr>
              <w:pStyle w:val="Compact"/>
              <w:jc w:val="left"/>
            </w:pPr>
            <w:r>
              <w:t xml:space="preserve">C2</w:t>
            </w:r>
          </w:p>
        </w:tc>
        <w:tc>
          <w:tcPr/>
          <w:p>
            <w:pPr>
              <w:pStyle w:val="Compact"/>
              <w:jc w:val="left"/>
            </w:pPr>
            <w:r>
              <w:t xml:space="preserve">实时数据工程</w:t>
            </w:r>
          </w:p>
        </w:tc>
        <w:tc>
          <w:tcPr/>
          <w:p>
            <w:pPr>
              <w:pStyle w:val="Compact"/>
              <w:jc w:val="left"/>
            </w:pPr>
            <w:r>
              <w:t xml:space="preserve">32</w:t>
            </w:r>
          </w:p>
        </w:tc>
        <w:tc>
          <w:tcPr/>
          <w:p>
            <w:pPr>
              <w:pStyle w:val="Compact"/>
              <w:jc w:val="left"/>
            </w:pPr>
            <w:r>
              <w:t xml:space="preserve">数据库、C1</w:t>
            </w:r>
          </w:p>
        </w:tc>
        <w:tc>
          <w:tcPr/>
          <w:p>
            <w:pPr>
              <w:pStyle w:val="Compact"/>
              <w:jc w:val="left"/>
            </w:pPr>
            <w:r>
              <w:t xml:space="preserve">能建立数据保障层（DAL）</w:t>
            </w:r>
          </w:p>
        </w:tc>
      </w:tr>
      <w:tr>
        <w:tc>
          <w:tcPr/>
          <w:p>
            <w:pPr>
              <w:pStyle w:val="Compact"/>
              <w:jc w:val="left"/>
            </w:pPr>
            <w:r>
              <w:t xml:space="preserve">C</w:t>
            </w:r>
          </w:p>
        </w:tc>
        <w:tc>
          <w:tcPr/>
          <w:p>
            <w:pPr>
              <w:pStyle w:val="Compact"/>
              <w:jc w:val="left"/>
            </w:pPr>
            <w:r>
              <w:t xml:space="preserve">C3</w:t>
            </w:r>
          </w:p>
        </w:tc>
        <w:tc>
          <w:tcPr/>
          <w:p>
            <w:pPr>
              <w:pStyle w:val="Compact"/>
              <w:jc w:val="left"/>
            </w:pPr>
            <w:r>
              <w:t xml:space="preserve">在环测试工程</w:t>
            </w:r>
          </w:p>
        </w:tc>
        <w:tc>
          <w:tcPr/>
          <w:p>
            <w:pPr>
              <w:pStyle w:val="Compact"/>
              <w:jc w:val="left"/>
            </w:pPr>
            <w:r>
              <w:t xml:space="preserve">48</w:t>
            </w:r>
          </w:p>
        </w:tc>
        <w:tc>
          <w:tcPr/>
          <w:p>
            <w:pPr>
              <w:pStyle w:val="Compact"/>
              <w:jc w:val="left"/>
            </w:pPr>
            <w:r>
              <w:t xml:space="preserve">B1、C1</w:t>
            </w:r>
          </w:p>
        </w:tc>
        <w:tc>
          <w:tcPr/>
          <w:p>
            <w:pPr>
              <w:pStyle w:val="Compact"/>
              <w:jc w:val="left"/>
            </w:pPr>
            <w:r>
              <w:t xml:space="preserve">能完成MIL/SIL/HIL三级验证</w:t>
            </w:r>
          </w:p>
        </w:tc>
      </w:tr>
      <w:tr>
        <w:tc>
          <w:tcPr/>
          <w:p>
            <w:pPr>
              <w:pStyle w:val="Compact"/>
              <w:jc w:val="left"/>
            </w:pPr>
            <w:r>
              <w:t xml:space="preserve">D</w:t>
            </w:r>
          </w:p>
        </w:tc>
        <w:tc>
          <w:tcPr/>
          <w:p>
            <w:pPr>
              <w:pStyle w:val="Compact"/>
              <w:jc w:val="left"/>
            </w:pPr>
            <w:r>
              <w:t xml:space="preserve">D1</w:t>
            </w:r>
          </w:p>
        </w:tc>
        <w:tc>
          <w:tcPr/>
          <w:p>
            <w:pPr>
              <w:pStyle w:val="Compact"/>
              <w:jc w:val="left"/>
            </w:pPr>
            <w:r>
              <w:t xml:space="preserve">运行风险管理</w:t>
            </w:r>
          </w:p>
        </w:tc>
        <w:tc>
          <w:tcPr/>
          <w:p>
            <w:pPr>
              <w:pStyle w:val="Compact"/>
              <w:jc w:val="left"/>
            </w:pPr>
            <w:r>
              <w:t xml:space="preserve">32</w:t>
            </w:r>
          </w:p>
        </w:tc>
        <w:tc>
          <w:tcPr/>
          <w:p>
            <w:pPr>
              <w:pStyle w:val="Compact"/>
              <w:jc w:val="left"/>
            </w:pPr>
            <w:r>
              <w:t xml:space="preserve">全部A/B课程</w:t>
            </w:r>
          </w:p>
        </w:tc>
        <w:tc>
          <w:tcPr/>
          <w:p>
            <w:pPr>
              <w:pStyle w:val="Compact"/>
              <w:jc w:val="left"/>
            </w:pPr>
            <w:r>
              <w:t xml:space="preserve">能设计ODD和安全包络</w:t>
            </w:r>
          </w:p>
        </w:tc>
      </w:tr>
      <w:tr>
        <w:tc>
          <w:tcPr/>
          <w:p>
            <w:pPr>
              <w:pStyle w:val="Compact"/>
              <w:jc w:val="left"/>
            </w:pPr>
            <w:r>
              <w:t xml:space="preserve">D</w:t>
            </w:r>
          </w:p>
        </w:tc>
        <w:tc>
          <w:tcPr/>
          <w:p>
            <w:pPr>
              <w:pStyle w:val="Compact"/>
              <w:jc w:val="left"/>
            </w:pPr>
            <w:r>
              <w:t xml:space="preserve">D2</w:t>
            </w:r>
          </w:p>
        </w:tc>
        <w:tc>
          <w:tcPr/>
          <w:p>
            <w:pPr>
              <w:pStyle w:val="Compact"/>
              <w:jc w:val="left"/>
            </w:pPr>
            <w:r>
              <w:t xml:space="preserve">网络安全与系统韧性</w:t>
            </w:r>
          </w:p>
        </w:tc>
        <w:tc>
          <w:tcPr/>
          <w:p>
            <w:pPr>
              <w:pStyle w:val="Compact"/>
              <w:jc w:val="left"/>
            </w:pPr>
            <w:r>
              <w:t xml:space="preserve">32</w:t>
            </w:r>
          </w:p>
        </w:tc>
        <w:tc>
          <w:tcPr/>
          <w:p>
            <w:pPr>
              <w:pStyle w:val="Compact"/>
              <w:jc w:val="left"/>
            </w:pPr>
            <w:r>
              <w:t xml:space="preserve">C1</w:t>
            </w:r>
          </w:p>
        </w:tc>
        <w:tc>
          <w:tcPr/>
          <w:p>
            <w:pPr>
              <w:pStyle w:val="Compact"/>
              <w:jc w:val="left"/>
            </w:pPr>
            <w:r>
              <w:t xml:space="preserve">能设计SCADA安全防护方案</w:t>
            </w:r>
          </w:p>
        </w:tc>
      </w:tr>
      <w:tr>
        <w:tc>
          <w:tcPr/>
          <w:p>
            <w:pPr>
              <w:pStyle w:val="Compact"/>
              <w:jc w:val="left"/>
            </w:pPr>
            <w:r>
              <w:t xml:space="preserve">D</w:t>
            </w:r>
          </w:p>
        </w:tc>
        <w:tc>
          <w:tcPr/>
          <w:p>
            <w:pPr>
              <w:pStyle w:val="Compact"/>
              <w:jc w:val="left"/>
            </w:pPr>
            <w:r>
              <w:t xml:space="preserve">D3</w:t>
            </w:r>
          </w:p>
        </w:tc>
        <w:tc>
          <w:tcPr/>
          <w:p>
            <w:pPr>
              <w:pStyle w:val="Compact"/>
              <w:jc w:val="left"/>
            </w:pPr>
            <w:r>
              <w:t xml:space="preserve">标准合规与审计</w:t>
            </w:r>
          </w:p>
        </w:tc>
        <w:tc>
          <w:tcPr/>
          <w:p>
            <w:pPr>
              <w:pStyle w:val="Compact"/>
              <w:jc w:val="left"/>
            </w:pPr>
            <w:r>
              <w:t xml:space="preserve">32</w:t>
            </w:r>
          </w:p>
        </w:tc>
        <w:tc>
          <w:tcPr/>
          <w:p>
            <w:pPr>
              <w:pStyle w:val="Compact"/>
              <w:jc w:val="left"/>
            </w:pPr>
            <w:r>
              <w:t xml:space="preserve">D1</w:t>
            </w:r>
          </w:p>
        </w:tc>
        <w:tc>
          <w:tcPr/>
          <w:p>
            <w:pPr>
              <w:pStyle w:val="Compact"/>
              <w:jc w:val="left"/>
            </w:pPr>
            <w:r>
              <w:t xml:space="preserve">能完成WNAL等级评估</w:t>
            </w:r>
          </w:p>
        </w:tc>
      </w:tr>
      <w:tr>
        <w:tc>
          <w:tcPr/>
          <w:p>
            <w:pPr>
              <w:pStyle w:val="Compact"/>
              <w:jc w:val="left"/>
            </w:pPr>
            <w:r>
              <w:t xml:space="preserve">—</w:t>
            </w:r>
          </w:p>
        </w:tc>
        <w:tc>
          <w:tcPr/>
          <w:p>
            <w:pPr>
              <w:pStyle w:val="Compact"/>
              <w:jc w:val="left"/>
            </w:pPr>
            <w:r>
              <w:t xml:space="preserve">X1</w:t>
            </w:r>
          </w:p>
        </w:tc>
        <w:tc>
          <w:tcPr/>
          <w:p>
            <w:pPr>
              <w:pStyle w:val="Compact"/>
              <w:jc w:val="left"/>
            </w:pPr>
            <w:r>
              <w:t xml:space="preserve">跨支柱综合设计</w:t>
            </w:r>
          </w:p>
        </w:tc>
        <w:tc>
          <w:tcPr/>
          <w:p>
            <w:pPr>
              <w:pStyle w:val="Compact"/>
              <w:jc w:val="left"/>
            </w:pPr>
            <w:r>
              <w:t xml:space="preserve">64</w:t>
            </w:r>
          </w:p>
        </w:tc>
        <w:tc>
          <w:tcPr/>
          <w:p>
            <w:pPr>
              <w:pStyle w:val="Compact"/>
              <w:jc w:val="left"/>
            </w:pPr>
            <w:r>
              <w:t xml:space="preserve">全部课程</w:t>
            </w:r>
          </w:p>
        </w:tc>
        <w:tc>
          <w:tcPr/>
          <w:p>
            <w:pPr>
              <w:pStyle w:val="Compact"/>
              <w:jc w:val="left"/>
            </w:pPr>
            <w:r>
              <w:t xml:space="preserve">完整的CHS工程项目</w:t>
            </w:r>
          </w:p>
        </w:tc>
      </w:tr>
    </w:tbl>
    <w:p>
      <w:pPr>
        <w:pStyle w:val="BodyText"/>
      </w:pPr>
      <w:r>
        <w:t xml:space="preserve">总学时约512学时（约32学分），适合作为研究生阶段的核心课程体系。本科阶段可选择性开设A1、B1、C1、D1四门核心课作为入门模块（共176学时/11学分）。</w:t>
      </w:r>
    </w:p>
    <w:p>
      <w:pPr>
        <w:pStyle w:val="BodyText"/>
      </w:pPr>
      <w:r>
        <w:t xml:space="preserve">知道了”教什么”，接下来回答”在什么阶段、对什么人教”。</w:t>
      </w:r>
    </w:p>
    <w:p>
      <w:r>
        <w:pict>
          <v:rect style="width:0;height:1.5pt" o:hralign="center" o:hrstd="t" o:hr="t"/>
        </w:pict>
      </w:r>
    </w:p>
    <w:bookmarkEnd w:id="32"/>
    <w:bookmarkEnd w:id="33"/>
    <w:bookmarkStart w:id="37" w:name="三层培养路径"/>
    <w:p>
      <w:pPr>
        <w:pStyle w:val="Heading2"/>
      </w:pPr>
      <w:r>
        <w:t xml:space="preserve">7.4 三层培养路径</w:t>
      </w:r>
    </w:p>
    <w:p>
      <w:pPr>
        <w:pStyle w:val="FirstParagraph"/>
      </w:pPr>
      <w:r>
        <w:t xml:space="preserve">课程体系回答了”教什么”，培养路径回答”在什么阶段、对什么人教”。不同层次的学习者，起点不同、目标不同、可用时间不同——本科生需要”打开视野”（4年中抽出32—48学时即可），硕博生需要”深入方法”（2—3年全日制核心课程），在岗工程师需要”快速上手”（16—48学时的模块化短训）。一套好的培养体系必须为这三类人群提供差异化的路径，而不是”一刀切”地给所有人上同样的课。这与航空业的分层培训逻辑一致：乘客只需要知道安全出口在哪里，空乘需要掌握应急程序，飞行员则需要全面的飞行理论和模拟器训练——层次不同，深度不同，但都是不可或缺的安全保障环节。下面逐层展开各阶段的具体培养方案设计，以及各层之间如何衔接贯通。</w:t>
      </w:r>
    </w:p>
    <w:bookmarkStart w:id="34" w:name="本科层认知建立"/>
    <w:p>
      <w:pPr>
        <w:pStyle w:val="Heading3"/>
      </w:pPr>
      <w:r>
        <w:t xml:space="preserve">7.4.1 本科层：认知建立</w:t>
      </w:r>
    </w:p>
    <w:p>
      <w:pPr>
        <w:pStyle w:val="FirstParagraph"/>
      </w:pPr>
      <w:r>
        <w:t xml:space="preserve">本科阶段的目标不是培养”CHS专家”，而是建立跨学科的认知基础——让水利专业的学生知道”控制工程的思维方式是什么”、让自动化专业的学生知道”水利系统有哪些特殊性”。</w:t>
      </w:r>
    </w:p>
    <w:p>
      <w:pPr>
        <w:pStyle w:val="BodyText"/>
      </w:pPr>
      <w:r>
        <w:rPr>
          <w:bCs/>
          <w:b/>
        </w:rPr>
        <w:t xml:space="preserve">在水利专业中</w:t>
      </w:r>
      <w:r>
        <w:t xml:space="preserve">，建议将支柱A1（水动力学建模）作为现有”水力学”课程的升级版，增加系统辨识和控制导向建模的内容（约增加16学时）。同时，开设一门”水系统控制论导论”（32学时）作为跨学科选修课，覆盖CHS的基本概念、WNAL分级、典型工程案例——即本书T1系列的精华内容。</w:t>
      </w:r>
    </w:p>
    <w:p>
      <w:pPr>
        <w:pStyle w:val="BodyText"/>
      </w:pPr>
      <w:r>
        <w:rPr>
          <w:bCs/>
          <w:b/>
        </w:rPr>
        <w:t xml:space="preserve">在自动化/控制专业中</w:t>
      </w:r>
      <w:r>
        <w:t xml:space="preserve">，建议开设一门”水利过程控制”选修课（32学时），以水利系统为案例讲授过程控制的基本方法，让控制专业学生理解水利对象的时滞特性、开放边界条件和安全约束的特殊性。</w:t>
      </w:r>
    </w:p>
    <w:p>
      <w:pPr>
        <w:pStyle w:val="BodyText"/>
      </w:pPr>
      <w:r>
        <w:rPr>
          <w:bCs/>
          <w:b/>
        </w:rPr>
        <w:t xml:space="preserve">在计算机/软件专业中</w:t>
      </w:r>
      <w:r>
        <w:t xml:space="preserve">，建议将SCADA系统和工业物联网作为”嵌入式系统”或”分布式系统”课程的应用案例，让学生理解工业控制系统与互联网系统在可靠性、实时性和安全性要求上的根本差异。</w:t>
      </w:r>
    </w:p>
    <w:p>
      <w:pPr>
        <w:pStyle w:val="BodyText"/>
      </w:pPr>
      <w:r>
        <w:t xml:space="preserve">本科阶段的关键不是”学多少课”，而是”打开视野”——让学生意识到CHS这个交叉方向的存在，为后续的深入学习建立动机和基础。</w:t>
      </w:r>
    </w:p>
    <w:bookmarkEnd w:id="34"/>
    <w:bookmarkStart w:id="35" w:name="硕士博士层方法成型"/>
    <w:p>
      <w:pPr>
        <w:pStyle w:val="Heading3"/>
      </w:pPr>
      <w:r>
        <w:t xml:space="preserve">7.4.2 硕士/博士层：方法成型</w:t>
      </w:r>
    </w:p>
    <w:p>
      <w:pPr>
        <w:pStyle w:val="FirstParagraph"/>
      </w:pPr>
      <w:r>
        <w:t xml:space="preserve">硕士阶段是CHS人才培养的核心阶段。建议设立”水系统智能控制”方向（可挂靠在水利工程、控制科学或人工智能一级学科下），核心课程覆盖四支柱的全部或大部分内容。</w:t>
      </w:r>
    </w:p>
    <w:p>
      <w:pPr>
        <w:pStyle w:val="BodyText"/>
      </w:pPr>
      <w:r>
        <w:rPr>
          <w:bCs/>
          <w:b/>
        </w:rPr>
        <w:t xml:space="preserve">硕士培养方案的核心要素</w:t>
      </w:r>
      <w:r>
        <w:t xml:space="preserve">：</w:t>
      </w:r>
    </w:p>
    <w:p>
      <w:pPr>
        <w:pStyle w:val="BodyText"/>
      </w:pPr>
      <w:r>
        <w:t xml:space="preserve">第一，</w:t>
      </w:r>
      <w:r>
        <w:rPr>
          <w:bCs/>
          <w:b/>
        </w:rPr>
        <w:t xml:space="preserve">双导师制</w:t>
      </w:r>
      <w:r>
        <w:t xml:space="preserve">。每位研究生配备一位水利领域导师和一位控制/AI领域导师，确保研究方向真正处于交叉地带而非偏向单一学科。双导师制在基因工程、生物信息学等交叉学科中已被证明是有效的机制 [7-13]。</w:t>
      </w:r>
    </w:p>
    <w:p>
      <w:pPr>
        <w:pStyle w:val="BodyText"/>
      </w:pPr>
      <w:r>
        <w:t xml:space="preserve">第二，</w:t>
      </w:r>
      <w:r>
        <w:rPr>
          <w:bCs/>
          <w:b/>
        </w:rPr>
        <w:t xml:space="preserve">工程实践学分</w:t>
      </w:r>
      <w:r>
        <w:t xml:space="preserve">。要求硕士生至少参与一个真实水利工程项目的部分工作（如模型校正、在环测试或ODD文档编写），累计工作时间不少于3个月。这一要求借鉴了医学教育中”临床实习”的理念——纸上得来终觉浅，工程问题的复杂性只有在真实场景中才能体会。</w:t>
      </w:r>
    </w:p>
    <w:p>
      <w:pPr>
        <w:pStyle w:val="BodyText"/>
      </w:pPr>
      <w:r>
        <w:t xml:space="preserve">第三，</w:t>
      </w:r>
      <w:r>
        <w:rPr>
          <w:bCs/>
          <w:b/>
        </w:rPr>
        <w:t xml:space="preserve">跨支柱综合设计</w:t>
      </w:r>
      <w:r>
        <w:t xml:space="preserve">。每位硕士生的毕业论文必须涉及至少两个支柱的内容。例如，一个关于”南水北调中线冰期MPC控制”的论文同时涉及支柱A（冰期水力模型）和支柱B（鲁棒MPC设计），或者一个关于”SCADA+MAS融合部署”的论文同时涉及支柱C（架构设计）和支柱D（安全评估）。</w:t>
      </w:r>
    </w:p>
    <w:p>
      <w:pPr>
        <w:pStyle w:val="BodyText"/>
      </w:pPr>
      <w:r>
        <w:t xml:space="preserve">博士阶段的培养以原创性研究为核心，方向可以包括：水系统控制理论（新的控制方法和收敛性分析）、水系统认知智能（CAI引擎的技术基础）、水网安全与韧性（安全包络和故障恢复的理论框架）、以及水系统控制标准化（WNAL评估方法论和国际标准制定）。</w:t>
      </w:r>
    </w:p>
    <w:bookmarkEnd w:id="35"/>
    <w:bookmarkStart w:id="36" w:name="继续教育层岗位升级"/>
    <w:p>
      <w:pPr>
        <w:pStyle w:val="Heading3"/>
      </w:pPr>
      <w:r>
        <w:t xml:space="preserve">7.4.3 继续教育层：岗位升级</w:t>
      </w:r>
    </w:p>
    <w:p>
      <w:pPr>
        <w:pStyle w:val="FirstParagraph"/>
      </w:pPr>
      <w:r>
        <w:t xml:space="preserve">继续教育面向已经在岗的水利工程技术人员，是CHS人才建设的”存量改造”路径——也是见效最快的路径。一个有十年调度经验的工程师，完成48学时的继续教育后，就能胜任L2—L3级系统的日常运行管理；而培养一个本科毕业生达到同等水平可能需要3—5年。关键原则是”尊重经验、补齐短板”——不重复教他们已经知道的水力学知识，而是聚焦于控制理论、ODD方法和HydroOS操作这些新增能力。鉴于在岗人员的时间和精力约束，继续教育必须”短周期、强场景、可认证”。</w:t>
      </w:r>
    </w:p>
    <w:p>
      <w:pPr>
        <w:pStyle w:val="BodyText"/>
      </w:pPr>
      <w:r>
        <w:t xml:space="preserve">表7-4 CHS继续教育模块化培训方案</w:t>
      </w:r>
    </w:p>
    <w:tbl>
      <w:tblPr>
        <w:tblStyle w:val="Table"/>
        <w:tblW w:type="pct" w:w="5000"/>
        <w:tblLook w:firstRow="1" w:lastRow="0" w:firstColumn="0" w:lastColumn="0" w:noHBand="0" w:noVBand="0" w:val="0020"/>
        <w:jc w:val="start"/>
      </w:tblPr>
      <w:tblGrid>
        <w:gridCol w:w="1218"/>
        <w:gridCol w:w="1827"/>
        <w:gridCol w:w="1218"/>
        <w:gridCol w:w="1827"/>
        <w:gridCol w:w="1827"/>
      </w:tblGrid>
      <w:tr>
        <w:trPr>
          <w:tblHeader w:val="true"/>
        </w:trPr>
        <w:tc>
          <w:tcPr/>
          <w:p>
            <w:pPr>
              <w:pStyle w:val="Compact"/>
              <w:jc w:val="left"/>
            </w:pPr>
            <w:r>
              <w:t xml:space="preserve">模块</w:t>
            </w:r>
          </w:p>
        </w:tc>
        <w:tc>
          <w:tcPr/>
          <w:p>
            <w:pPr>
              <w:pStyle w:val="Compact"/>
              <w:jc w:val="left"/>
            </w:pPr>
            <w:r>
              <w:t xml:space="preserve">目标岗位</w:t>
            </w:r>
          </w:p>
        </w:tc>
        <w:tc>
          <w:tcPr/>
          <w:p>
            <w:pPr>
              <w:pStyle w:val="Compact"/>
              <w:jc w:val="left"/>
            </w:pPr>
            <w:r>
              <w:t xml:space="preserve">学时</w:t>
            </w:r>
          </w:p>
        </w:tc>
        <w:tc>
          <w:tcPr/>
          <w:p>
            <w:pPr>
              <w:pStyle w:val="Compact"/>
              <w:jc w:val="left"/>
            </w:pPr>
            <w:r>
              <w:t xml:space="preserve">核心内容</w:t>
            </w:r>
          </w:p>
        </w:tc>
        <w:tc>
          <w:tcPr/>
          <w:p>
            <w:pPr>
              <w:pStyle w:val="Compact"/>
              <w:jc w:val="left"/>
            </w:pPr>
            <w:r>
              <w:t xml:space="preserve">认证方式</w:t>
            </w:r>
          </w:p>
        </w:tc>
      </w:tr>
      <w:tr>
        <w:tc>
          <w:tcPr/>
          <w:p>
            <w:pPr>
              <w:pStyle w:val="Compact"/>
              <w:jc w:val="left"/>
            </w:pPr>
            <w:r>
              <w:t xml:space="preserve">CE1: CHS概念与WNAL</w:t>
            </w:r>
          </w:p>
        </w:tc>
        <w:tc>
          <w:tcPr/>
          <w:p>
            <w:pPr>
              <w:pStyle w:val="Compact"/>
              <w:jc w:val="left"/>
            </w:pPr>
            <w:r>
              <w:t xml:space="preserve">全体技术人员</w:t>
            </w:r>
          </w:p>
        </w:tc>
        <w:tc>
          <w:tcPr/>
          <w:p>
            <w:pPr>
              <w:pStyle w:val="Compact"/>
              <w:jc w:val="left"/>
            </w:pPr>
            <w:r>
              <w:t xml:space="preserve">16</w:t>
            </w:r>
          </w:p>
        </w:tc>
        <w:tc>
          <w:tcPr/>
          <w:p>
            <w:pPr>
              <w:pStyle w:val="Compact"/>
              <w:jc w:val="left"/>
            </w:pPr>
            <w:r>
              <w:t xml:space="preserve">CHS框架、WNAL分级、ODD概念</w:t>
            </w:r>
          </w:p>
        </w:tc>
        <w:tc>
          <w:tcPr/>
          <w:p>
            <w:pPr>
              <w:pStyle w:val="Compact"/>
              <w:jc w:val="left"/>
            </w:pPr>
            <w:r>
              <w:t xml:space="preserve">在线考试</w:t>
            </w:r>
          </w:p>
        </w:tc>
      </w:tr>
      <w:tr>
        <w:tc>
          <w:tcPr/>
          <w:p>
            <w:pPr>
              <w:pStyle w:val="Compact"/>
              <w:jc w:val="left"/>
            </w:pPr>
            <w:r>
              <w:t xml:space="preserve">CE2: MPC操作与维护</w:t>
            </w:r>
          </w:p>
        </w:tc>
        <w:tc>
          <w:tcPr/>
          <w:p>
            <w:pPr>
              <w:pStyle w:val="Compact"/>
              <w:jc w:val="left"/>
            </w:pPr>
            <w:r>
              <w:t xml:space="preserve">调度员、运维工程师</w:t>
            </w:r>
          </w:p>
        </w:tc>
        <w:tc>
          <w:tcPr/>
          <w:p>
            <w:pPr>
              <w:pStyle w:val="Compact"/>
              <w:jc w:val="left"/>
            </w:pPr>
            <w:r>
              <w:t xml:space="preserve">32</w:t>
            </w:r>
          </w:p>
        </w:tc>
        <w:tc>
          <w:tcPr/>
          <w:p>
            <w:pPr>
              <w:pStyle w:val="Compact"/>
              <w:jc w:val="left"/>
            </w:pPr>
            <w:r>
              <w:t xml:space="preserve">MPC原理、运行监控、模型校正基础</w:t>
            </w:r>
          </w:p>
        </w:tc>
        <w:tc>
          <w:tcPr/>
          <w:p>
            <w:pPr>
              <w:pStyle w:val="Compact"/>
              <w:jc w:val="left"/>
            </w:pPr>
            <w:r>
              <w:t xml:space="preserve">沙盘操作考核</w:t>
            </w:r>
          </w:p>
        </w:tc>
      </w:tr>
      <w:tr>
        <w:tc>
          <w:tcPr/>
          <w:p>
            <w:pPr>
              <w:pStyle w:val="Compact"/>
              <w:jc w:val="left"/>
            </w:pPr>
            <w:r>
              <w:t xml:space="preserve">CE3: 在环测试实操</w:t>
            </w:r>
          </w:p>
        </w:tc>
        <w:tc>
          <w:tcPr/>
          <w:p>
            <w:pPr>
              <w:pStyle w:val="Compact"/>
              <w:jc w:val="left"/>
            </w:pPr>
            <w:r>
              <w:t xml:space="preserve">控制/算法工程师</w:t>
            </w:r>
          </w:p>
        </w:tc>
        <w:tc>
          <w:tcPr/>
          <w:p>
            <w:pPr>
              <w:pStyle w:val="Compact"/>
              <w:jc w:val="left"/>
            </w:pPr>
            <w:r>
              <w:t xml:space="preserve">48</w:t>
            </w:r>
          </w:p>
        </w:tc>
        <w:tc>
          <w:tcPr/>
          <w:p>
            <w:pPr>
              <w:pStyle w:val="Compact"/>
              <w:jc w:val="left"/>
            </w:pPr>
            <w:r>
              <w:t xml:space="preserve">MIL/SIL/HIL测试方法、测试用例设计</w:t>
            </w:r>
          </w:p>
        </w:tc>
        <w:tc>
          <w:tcPr/>
          <w:p>
            <w:pPr>
              <w:pStyle w:val="Compact"/>
              <w:jc w:val="left"/>
            </w:pPr>
            <w:r>
              <w:t xml:space="preserve">项目报告</w:t>
            </w:r>
          </w:p>
        </w:tc>
      </w:tr>
      <w:tr>
        <w:tc>
          <w:tcPr/>
          <w:p>
            <w:pPr>
              <w:pStyle w:val="Compact"/>
              <w:jc w:val="left"/>
            </w:pPr>
            <w:r>
              <w:t xml:space="preserve">CE4: ODD管理与审计</w:t>
            </w:r>
          </w:p>
        </w:tc>
        <w:tc>
          <w:tcPr/>
          <w:p>
            <w:pPr>
              <w:pStyle w:val="Compact"/>
              <w:jc w:val="left"/>
            </w:pPr>
            <w:r>
              <w:t xml:space="preserve">调度长、安全管理员</w:t>
            </w:r>
          </w:p>
        </w:tc>
        <w:tc>
          <w:tcPr/>
          <w:p>
            <w:pPr>
              <w:pStyle w:val="Compact"/>
              <w:jc w:val="left"/>
            </w:pPr>
            <w:r>
              <w:t xml:space="preserve">32</w:t>
            </w:r>
          </w:p>
        </w:tc>
        <w:tc>
          <w:tcPr/>
          <w:p>
            <w:pPr>
              <w:pStyle w:val="Compact"/>
              <w:jc w:val="left"/>
            </w:pPr>
            <w:r>
              <w:t xml:space="preserve">ODD文档编写、四态机操作、审计链使用</w:t>
            </w:r>
          </w:p>
        </w:tc>
        <w:tc>
          <w:tcPr/>
          <w:p>
            <w:pPr>
              <w:pStyle w:val="Compact"/>
              <w:jc w:val="left"/>
            </w:pPr>
            <w:r>
              <w:t xml:space="preserve">模拟演练</w:t>
            </w:r>
          </w:p>
        </w:tc>
      </w:tr>
      <w:tr>
        <w:tc>
          <w:tcPr/>
          <w:p>
            <w:pPr>
              <w:pStyle w:val="Compact"/>
              <w:jc w:val="left"/>
            </w:pPr>
            <w:r>
              <w:t xml:space="preserve">CE5: 系统集成实战</w:t>
            </w:r>
          </w:p>
        </w:tc>
        <w:tc>
          <w:tcPr/>
          <w:p>
            <w:pPr>
              <w:pStyle w:val="Compact"/>
              <w:jc w:val="left"/>
            </w:pPr>
            <w:r>
              <w:t xml:space="preserve">平台工程师</w:t>
            </w:r>
          </w:p>
        </w:tc>
        <w:tc>
          <w:tcPr/>
          <w:p>
            <w:pPr>
              <w:pStyle w:val="Compact"/>
              <w:jc w:val="left"/>
            </w:pPr>
            <w:r>
              <w:t xml:space="preserve">48</w:t>
            </w:r>
          </w:p>
        </w:tc>
        <w:tc>
          <w:tcPr/>
          <w:p>
            <w:pPr>
              <w:pStyle w:val="Compact"/>
              <w:jc w:val="left"/>
            </w:pPr>
            <w:r>
              <w:t xml:space="preserve">SCADA+MAS部署、数据校验、接口调试</w:t>
            </w:r>
          </w:p>
        </w:tc>
        <w:tc>
          <w:tcPr/>
          <w:p>
            <w:pPr>
              <w:pStyle w:val="Compact"/>
              <w:jc w:val="left"/>
            </w:pPr>
            <w:r>
              <w:t xml:space="preserve">工程验收</w:t>
            </w:r>
          </w:p>
        </w:tc>
      </w:tr>
    </w:tbl>
    <w:p>
      <w:pPr>
        <w:pStyle w:val="BlockText"/>
      </w:pPr>
      <w:r>
        <w:rPr>
          <w:bCs/>
          <w:b/>
        </w:rPr>
        <w:t xml:space="preserve">概念辨析框：培训（Training） vs 教育（Education）</w:t>
      </w:r>
      <w:r>
        <w:t xml:space="preserve"> </w:t>
      </w:r>
      <w:r>
        <w:t xml:space="preserve">继续教育模块的目标不是”传授知识”（那是学历教育的任务），而是”转化行为”——让调度员改变操作习惯、让运维工程师掌握新的工具。因此，每个模块的考核方式都强调”做”而非”知”：沙盘操作考核、模拟演练、项目报告——而不是笔试或论文。这与航空业飞行员的持续培训理念一致：知道理论和能安全操作是两回事 [7-14]。</w:t>
      </w:r>
    </w:p>
    <w:p>
      <w:pPr>
        <w:pStyle w:val="FirstParagraph"/>
      </w:pPr>
      <w:r>
        <w:t xml:space="preserve">继续教育的另一个关键设计原则是</w:t>
      </w:r>
      <w:r>
        <w:rPr>
          <w:bCs/>
          <w:b/>
        </w:rPr>
        <w:t xml:space="preserve">“</w:t>
      </w:r>
      <w:r>
        <w:rPr>
          <w:bCs/>
          <w:b/>
        </w:rPr>
        <w:t xml:space="preserve">与WNAL等级挂钩</w:t>
      </w:r>
      <w:r>
        <w:rPr>
          <w:bCs/>
          <w:b/>
        </w:rPr>
        <w:t xml:space="preserve">”</w:t>
      </w:r>
      <w:r>
        <w:t xml:space="preserve">。每个WNAL等级跃迁都对运行团队的能力提出了明确要求——从L1到L2需要团队具备MPC系统的基本操作和监控能力（CE1+CE2），从L2到L3需要具备在环测试和ODD管理能力（CE3+CE4），从L3到L4需要具备系统集成和认知AI协作能力（CE5+B3）。这样，人才培养的节奏与工程升级的节奏保持同步。</w:t>
      </w:r>
    </w:p>
    <w:p>
      <w:pPr>
        <w:pStyle w:val="BodyText"/>
      </w:pPr>
      <w:r>
        <w:t xml:space="preserve">课程体系回答了”教什么”和”教谁”，但教学效果最终取决于”用什么教”。</w:t>
      </w:r>
    </w:p>
    <w:p>
      <w:r>
        <w:pict>
          <v:rect style="width:0;height:1.5pt" o:hralign="center" o:hrstd="t" o:hr="t"/>
        </w:pict>
      </w:r>
    </w:p>
    <w:bookmarkEnd w:id="36"/>
    <w:bookmarkEnd w:id="37"/>
    <w:bookmarkStart w:id="43" w:name="实践平台建设"/>
    <w:p>
      <w:pPr>
        <w:pStyle w:val="Heading2"/>
      </w:pPr>
      <w:r>
        <w:t xml:space="preserve">7.5 实践平台建设</w:t>
      </w:r>
    </w:p>
    <w:p>
      <w:pPr>
        <w:pStyle w:val="FirstParagraph"/>
      </w:pPr>
      <w:r>
        <w:t xml:space="preserve">课程和教材解决”知”的问题，实践平台解决”行”的问题。CHS作为一门工程学科，</w:t>
      </w:r>
      <w:r>
        <w:t xml:space="preserve">“</w:t>
      </w:r>
      <w:r>
        <w:t xml:space="preserve">纸上谈兵</w:t>
      </w:r>
      <w:r>
        <w:t xml:space="preserve">”</w:t>
      </w:r>
      <w:r>
        <w:t xml:space="preserve">的教学永远无法培养出真正能上岗的工程师——正如游泳不能只在教室里学，你必须跳进水里。但水利系统不像游泳池——一次错误操作可能导致渠道漫溢或下游淹没，不允许在真实系统上”以身试法”。本节设计三级递进的实践平台——教学沙盘（低风险建直觉）、数字孪生（零风险做验证）、现场试点（可控风险积经验）——构建”从知到行”的完整实训体系，让每一级平台都在降低风险的前提下最大化教学价值。三级平台的总投资约200—400万元（不含现场试点的工程依托费用），对于一所重点高校或一个省级流域机构而言完全可以承受，是性价比最高的学科基础设施投资。</w:t>
      </w:r>
    </w:p>
    <w:bookmarkStart w:id="38" w:name="为什么实践平台是关键"/>
    <w:p>
      <w:pPr>
        <w:pStyle w:val="Heading3"/>
      </w:pPr>
      <w:r>
        <w:t xml:space="preserve">7.5.1 为什么实践平台是关键？</w:t>
      </w:r>
    </w:p>
    <w:p>
      <w:pPr>
        <w:pStyle w:val="FirstParagraph"/>
      </w:pPr>
      <w:r>
        <w:t xml:space="preserve">CHS人才培养的分水岭在于实践平台——没有实践平台的课程教学，就像没有实验室的物理课、没有病房的医学教育。水利系统的特殊性使得这一需求更加迫切：水利系统的时间尺度从分钟到天，空间尺度从米到千公里，真实系统的实验成本极高且风险不可控。一次错误的闸门指令可能导致渠道漫溢或下游淹没——这种代价不允许”在真实系统上练手”。航空业早就解决了这个问题：飞行员在拿到驾照前要在模拟器上完成数百小时的训练，包括各种极端工况（发动机失效、恶劣天气、液压故障）。CHS需要类似的训练体系——多层级的实践平台，让学生和工程师在零风险或低风险环境中积累”犯错→分析→修正→再试”的循环经验。这种经验是课堂教学无法替代的，因为真正的工程判断力只能在”面对不确定性做决策”的反复实践中形成——就像外科医生的手感只能在手术台上练出来，CHS工程师的”系统直觉”也只能在仿真和实操环境中培养。</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给水利工程师的速览：三级平台的类比</w:t>
            </w:r>
          </w:p>
        </w:tc>
      </w:tr>
      <w:tr>
        <w:tc>
          <w:tcPr/>
          <w:p>
            <w:pPr>
              <w:pStyle w:val="Compact"/>
              <w:jc w:val="left"/>
            </w:pPr>
            <w:r>
              <w:t xml:space="preserve">培养飞行员需要三个层级的训练设备：桌面模拟器（学习仪表和操作流程）、全动飞行模拟器（体验真实飞行感觉和极端工况）、教练机实际飞行（在真实环境中积累经验）。CHS的三级平台——教学沙盘、数字孪生、现场试点——对应的正是这三个层级。每一级都有其不可替代的教学价值，跳过任何一级都会留下能力盲区。</w:t>
            </w:r>
          </w:p>
        </w:tc>
      </w:tr>
    </w:tbl>
    <w:bookmarkEnd w:id="38"/>
    <w:bookmarkStart w:id="39" w:name="教学沙盘"/>
    <w:p>
      <w:pPr>
        <w:pStyle w:val="Heading3"/>
      </w:pPr>
      <w:r>
        <w:t xml:space="preserve">7.5.2 教学沙盘</w:t>
      </w:r>
    </w:p>
    <w:p>
      <w:pPr>
        <w:pStyle w:val="FirstParagraph"/>
      </w:pPr>
      <w:r>
        <w:t xml:space="preserve">教学沙盘是一个小型化、低风险、可重复的物理或半物理实验系统。其核心功能是让学生”看到控制效果”——在几分钟内完成一次水位调控实验，直观理解MPC的预测控制原理和PID的反馈控制原理之间的差异。</w:t>
      </w:r>
    </w:p>
    <w:p>
      <w:pPr>
        <w:pStyle w:val="BodyText"/>
      </w:pPr>
      <w:r>
        <w:rPr>
          <w:bCs/>
          <w:b/>
        </w:rPr>
        <w:t xml:space="preserve">硬件构成建议</w:t>
      </w:r>
      <w:r>
        <w:t xml:space="preserve">：一条5—10 m的微缩明渠（亚克力材质，可视化流动）、3—5个电动闸门、2—3个微型泵站、若干超声波水位传感器和流量计。总投资约30—50万元人民币，适合在高校实验室部署。</w:t>
      </w:r>
    </w:p>
    <w:p>
      <w:pPr>
        <w:pStyle w:val="BodyText"/>
      </w:pPr>
      <w:r>
        <w:rPr>
          <w:bCs/>
          <w:b/>
        </w:rPr>
        <w:t xml:space="preserve">软件构成建议</w:t>
      </w:r>
      <w:r>
        <w:t xml:space="preserve">：一个简化版的HydroOS教学版，包含SCADA数据采集界面、PID/MPC控制器切换功能、实时水力仿真显示、以及基本的审计日志功能。教学版应该保留HydroOS的核心架构但简化配置——让学生”在5分钟内跑通一次完整的采集-控制-执行-记录闭环”。</w:t>
      </w:r>
    </w:p>
    <w:p>
      <w:pPr>
        <w:pStyle w:val="BodyText"/>
      </w:pPr>
      <w:r>
        <w:rPr>
          <w:bCs/>
          <w:b/>
        </w:rPr>
        <w:t xml:space="preserve">成本效益分析</w:t>
      </w:r>
      <w:r>
        <w:t xml:space="preserve">：物理沙盘总投资约30—50万元，按使用寿命10年、每年服务100名学生计算，人均成本仅300—500元。但其教学效率远超传统课堂——根据Kolb的体验式学习理论 [7-27]，</w:t>
      </w:r>
      <w:r>
        <w:t xml:space="preserve">“</w:t>
      </w:r>
      <w:r>
        <w:t xml:space="preserve">做中学</w:t>
      </w:r>
      <w:r>
        <w:t xml:space="preserve">”</w:t>
      </w:r>
      <w:r>
        <w:t xml:space="preserve">的知识留存率是”听中学”的5—10倍。这是CHS人才培养中性价比最高的基础设施投资。</w:t>
      </w:r>
    </w:p>
    <w:p>
      <w:pPr>
        <w:pStyle w:val="BodyText"/>
      </w:pPr>
      <w:r>
        <w:rPr>
          <w:bCs/>
          <w:b/>
        </w:rPr>
        <w:t xml:space="preserve">教学场景设计</w:t>
      </w:r>
      <w:r>
        <w:t xml:space="preserve">：建议至少设计以下5类教学场景：正常水位调控（基础操作）、上游来水突变（扰动抑制）、传感器故障注入（故障诊断与降级）、通信延迟模拟（鲁棒性测试）、多渠段联调（协调控制）。</w:t>
      </w:r>
    </w:p>
    <w:bookmarkEnd w:id="39"/>
    <w:bookmarkStart w:id="40" w:name="数字孪生平台"/>
    <w:p>
      <w:pPr>
        <w:pStyle w:val="Heading3"/>
      </w:pPr>
      <w:r>
        <w:t xml:space="preserve">7.5.3 数字孪生平台</w:t>
      </w:r>
    </w:p>
    <w:p>
      <w:pPr>
        <w:pStyle w:val="FirstParagraph"/>
      </w:pPr>
      <w:r>
        <w:t xml:space="preserve">数字孪生平台是一个高保真的数字仿真环境，能够覆盖真实工程的典型工况和异常工况，支撑MIL和SIL级别的在环测试。</w:t>
      </w:r>
    </w:p>
    <w:p>
      <w:pPr>
        <w:pStyle w:val="BodyText"/>
      </w:pPr>
      <w:r>
        <w:rPr>
          <w:bCs/>
          <w:b/>
        </w:rPr>
        <w:t xml:space="preserve">与教学沙盘的区别</w:t>
      </w:r>
      <w:r>
        <w:t xml:space="preserve">：教学沙盘是”小型实物”，时间和空间尺度都高度压缩，适合教学演示但不能代替工程验证；数字孪生平台是”全尺度仿真”，水力模型的精度和规模与真实工程一致，可以作为在环测试的可信环境。</w:t>
      </w:r>
    </w:p>
    <w:p>
      <w:pPr>
        <w:pStyle w:val="BodyText"/>
      </w:pPr>
      <w:r>
        <w:rPr>
          <w:bCs/>
          <w:b/>
        </w:rPr>
        <w:t xml:space="preserve">技术架构建议</w:t>
      </w:r>
      <w:r>
        <w:t xml:space="preserve">：数字孪生平台的核心是一个高精度的一维非恒定流仿真器（基于Saint-Venant方程的隐式差分求解），叠加边界条件发生器（模拟各种来水、用水和设备状态组合）和虚拟SCADA通信层（模拟真实通信延迟、丢包和信号抖动）。平台应支持”场景库”管理——积累和共享标准化的测试场景，包括第六章案例中的典型工况 [7-15]。场景库应至少包含以下四类场景：① 正常运行工况（覆盖ODD内的典型操作）；② 设备故障工况（传感器失灵、执行器卡死、通信中断）；③ 极端水文工况（超标准洪水、长历时干旱、冰期过渡）；④ 人为干扰工况（误操作、网络攻击模拟）。每个场景都应有标准化的描述格式、期望的系统响应和合格判据，形成可复用的”测试基准库” [7-28]。</w:t>
      </w:r>
    </w:p>
    <w:p>
      <w:pPr>
        <w:pStyle w:val="BodyText"/>
      </w:pPr>
      <w:r>
        <w:rPr>
          <w:bCs/>
          <w:b/>
        </w:rPr>
        <w:t xml:space="preserve">教学应用</w:t>
      </w:r>
      <w:r>
        <w:t xml:space="preserve">：在数字孪生平台上，学生可以完成MIL级别的控制器验证：设计MPC控制器→在全尺度仿真环境中测试→分析在极端工况下的表现→迭代优化设计。这个过程让学生在零风险环境中积累”面对复杂工况的工程判断力”。</w:t>
      </w:r>
    </w:p>
    <w:bookmarkEnd w:id="40"/>
    <w:bookmarkStart w:id="41" w:name="现场试点"/>
    <w:p>
      <w:pPr>
        <w:pStyle w:val="Heading3"/>
      </w:pPr>
      <w:r>
        <w:t xml:space="preserve">7.5.4 现场试点</w:t>
      </w:r>
    </w:p>
    <w:p>
      <w:pPr>
        <w:pStyle w:val="FirstParagraph"/>
      </w:pPr>
      <w:r>
        <w:t xml:space="preserve">现场试点是在真实工程上、在明确的ODD和安全门禁条件下进行的”灰度实践”。这是三级平台中教育价值最高但风险也最大的环节。</w:t>
      </w:r>
    </w:p>
    <w:p>
      <w:pPr>
        <w:pStyle w:val="BodyText"/>
      </w:pPr>
      <w:r>
        <w:rPr>
          <w:bCs/>
          <w:b/>
        </w:rPr>
        <w:t xml:space="preserve">开展条件</w:t>
      </w:r>
      <w:r>
        <w:t xml:space="preserve">：现场试点必须满足三个前提条件——试点渠段或机组已通过HIL验证、安全包络和四态机降级机制已部署并测试、以及有经验丰富的工程师全程在场指导。满足这些条件后，可以让高年级研究生或继续教育学员在真实系统上完成特定的运维任务（如模型参数校正、ODD边界验证或四态机降级演练）。全过程必须实施”双人操作、全程录像、数据留痕”——一人操作、一人监护，所有操作指令和系统响应均记录在审计日志中，用于事后复盘教学。</w:t>
      </w:r>
    </w:p>
    <w:p>
      <w:pPr>
        <w:pStyle w:val="BodyText"/>
      </w:pPr>
      <w:r>
        <w:rPr>
          <w:bCs/>
          <w:b/>
        </w:rPr>
        <w:t xml:space="preserve">教学价值</w:t>
      </w:r>
      <w:r>
        <w:t xml:space="preserve">：现场试点的核心教学价值不是”做一次成功的控制”，而是”体会模型与现实的差距”——仿真环境中完美工作的控制器，在真实环境中为什么会出现意外？是模型误差、通信问题还是设备老化？这种”从失败中学习”的经验是教室和仿真环境无法提供的。</w:t>
      </w:r>
    </w:p>
    <w:bookmarkEnd w:id="41"/>
    <w:bookmarkStart w:id="42" w:name="三级平台的协同与共享"/>
    <w:p>
      <w:pPr>
        <w:pStyle w:val="Heading3"/>
      </w:pPr>
      <w:r>
        <w:t xml:space="preserve">7.5.5 三级平台的协同与共享</w:t>
      </w:r>
    </w:p>
    <w:p>
      <w:pPr>
        <w:pStyle w:val="FirstParagraph"/>
      </w:pPr>
      <w:r>
        <w:t xml:space="preserve">三级平台不是孤立的，而是形成一个”递进式实训体系”：学生先在教学沙盘上建立直觉（</w:t>
      </w:r>
      <w:r>
        <w:t xml:space="preserve">“</w:t>
      </w:r>
      <w:r>
        <w:t xml:space="preserve">我知道MPC比PID快</w:t>
      </w:r>
      <w:r>
        <w:t xml:space="preserve">”</w:t>
      </w:r>
      <w:r>
        <w:t xml:space="preserve">），然后在数字孪生平台上完成工程级验证（</w:t>
      </w:r>
      <w:r>
        <w:t xml:space="preserve">“</w:t>
      </w:r>
      <w:r>
        <w:t xml:space="preserve">我能让MPC在100 km渠道上稳定运行</w:t>
      </w:r>
      <w:r>
        <w:t xml:space="preserve">”</w:t>
      </w:r>
      <w:r>
        <w:t xml:space="preserve">），最后在现场试点中积累真实经验（</w:t>
      </w:r>
      <w:r>
        <w:t xml:space="preserve">“</w:t>
      </w:r>
      <w:r>
        <w:t xml:space="preserve">我知道为什么仿真中完美的控制器在现场会振荡</w:t>
      </w:r>
      <w:r>
        <w:t xml:space="preserve">”</w:t>
      </w:r>
      <w:r>
        <w:t xml:space="preserve">）。每一级平台都有其不可替代的教学价值——跳过教学沙盘直接上数字孪生，学生缺乏直觉基础；跳过数字孪生直接上现场，风险不可控；只在仿真环境中训练而不接触真实系统，则永远无法理解”模型与现实的差距”这一CHS实践的核心命题。</w:t>
      </w:r>
    </w:p>
    <w:p>
      <w:pPr>
        <w:pStyle w:val="BodyText"/>
      </w:pPr>
      <w:r>
        <w:t xml:space="preserve">[图7-3: 三级实践平台递进关系图]</w:t>
      </w:r>
    </w:p>
    <w:p>
      <w:pPr>
        <w:pStyle w:val="BodyText"/>
      </w:pPr>
      <w:r>
        <w:t xml:space="preserve">表7-5 三级实践平台对比</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维度</w:t>
            </w:r>
          </w:p>
        </w:tc>
        <w:tc>
          <w:tcPr/>
          <w:p>
            <w:pPr>
              <w:pStyle w:val="Compact"/>
              <w:jc w:val="left"/>
            </w:pPr>
            <w:r>
              <w:t xml:space="preserve">教学沙盘</w:t>
            </w:r>
          </w:p>
        </w:tc>
        <w:tc>
          <w:tcPr/>
          <w:p>
            <w:pPr>
              <w:pStyle w:val="Compact"/>
              <w:jc w:val="left"/>
            </w:pPr>
            <w:r>
              <w:t xml:space="preserve">数字孪生平台</w:t>
            </w:r>
          </w:p>
        </w:tc>
        <w:tc>
          <w:tcPr/>
          <w:p>
            <w:pPr>
              <w:pStyle w:val="Compact"/>
              <w:jc w:val="left"/>
            </w:pPr>
            <w:r>
              <w:t xml:space="preserve">现场试点</w:t>
            </w:r>
          </w:p>
        </w:tc>
      </w:tr>
      <w:tr>
        <w:tc>
          <w:tcPr/>
          <w:p>
            <w:pPr>
              <w:pStyle w:val="Compact"/>
              <w:jc w:val="left"/>
            </w:pPr>
            <w:r>
              <w:t xml:space="preserve">物理/仿真</w:t>
            </w:r>
          </w:p>
        </w:tc>
        <w:tc>
          <w:tcPr/>
          <w:p>
            <w:pPr>
              <w:pStyle w:val="Compact"/>
              <w:jc w:val="left"/>
            </w:pPr>
            <w:r>
              <w:t xml:space="preserve">小型实物</w:t>
            </w:r>
          </w:p>
        </w:tc>
        <w:tc>
          <w:tcPr/>
          <w:p>
            <w:pPr>
              <w:pStyle w:val="Compact"/>
              <w:jc w:val="left"/>
            </w:pPr>
            <w:r>
              <w:t xml:space="preserve">全尺度仿真</w:t>
            </w:r>
          </w:p>
        </w:tc>
        <w:tc>
          <w:tcPr/>
          <w:p>
            <w:pPr>
              <w:pStyle w:val="Compact"/>
              <w:jc w:val="left"/>
            </w:pPr>
            <w:r>
              <w:t xml:space="preserve">真实工程</w:t>
            </w:r>
          </w:p>
        </w:tc>
      </w:tr>
      <w:tr>
        <w:tc>
          <w:tcPr/>
          <w:p>
            <w:pPr>
              <w:pStyle w:val="Compact"/>
              <w:jc w:val="left"/>
            </w:pPr>
            <w:r>
              <w:t xml:space="preserve">时间尺度</w:t>
            </w:r>
          </w:p>
        </w:tc>
        <w:tc>
          <w:tcPr/>
          <w:p>
            <w:pPr>
              <w:pStyle w:val="Compact"/>
              <w:jc w:val="left"/>
            </w:pPr>
            <w:r>
              <w:t xml:space="preserve">分钟级（加速）</w:t>
            </w:r>
          </w:p>
        </w:tc>
        <w:tc>
          <w:tcPr/>
          <w:p>
            <w:pPr>
              <w:pStyle w:val="Compact"/>
              <w:jc w:val="left"/>
            </w:pPr>
            <w:r>
              <w:t xml:space="preserve">实时或加速</w:t>
            </w:r>
          </w:p>
        </w:tc>
        <w:tc>
          <w:tcPr/>
          <w:p>
            <w:pPr>
              <w:pStyle w:val="Compact"/>
              <w:jc w:val="left"/>
            </w:pPr>
            <w:r>
              <w:t xml:space="preserve">实时</w:t>
            </w:r>
          </w:p>
        </w:tc>
      </w:tr>
      <w:tr>
        <w:tc>
          <w:tcPr/>
          <w:p>
            <w:pPr>
              <w:pStyle w:val="Compact"/>
              <w:jc w:val="left"/>
            </w:pPr>
            <w:r>
              <w:t xml:space="preserve">空间尺度</w:t>
            </w:r>
          </w:p>
        </w:tc>
        <w:tc>
          <w:tcPr/>
          <w:p>
            <w:pPr>
              <w:pStyle w:val="Compact"/>
              <w:jc w:val="left"/>
            </w:pPr>
            <w:r>
              <w:t xml:space="preserve">5—10 m</w:t>
            </w:r>
          </w:p>
        </w:tc>
        <w:tc>
          <w:tcPr/>
          <w:p>
            <w:pPr>
              <w:pStyle w:val="Compact"/>
              <w:jc w:val="left"/>
            </w:pPr>
            <w:r>
              <w:t xml:space="preserve">全工程尺度</w:t>
            </w:r>
          </w:p>
        </w:tc>
        <w:tc>
          <w:tcPr/>
          <w:p>
            <w:pPr>
              <w:pStyle w:val="Compact"/>
              <w:jc w:val="left"/>
            </w:pPr>
            <w:r>
              <w:t xml:space="preserve">试点渠段/机组</w:t>
            </w:r>
          </w:p>
        </w:tc>
      </w:tr>
      <w:tr>
        <w:tc>
          <w:tcPr/>
          <w:p>
            <w:pPr>
              <w:pStyle w:val="Compact"/>
              <w:jc w:val="left"/>
            </w:pPr>
            <w:r>
              <w:t xml:space="preserve">风险</w:t>
            </w:r>
          </w:p>
        </w:tc>
        <w:tc>
          <w:tcPr/>
          <w:p>
            <w:pPr>
              <w:pStyle w:val="Compact"/>
              <w:jc w:val="left"/>
            </w:pPr>
            <w:r>
              <w:t xml:space="preserve">极低</w:t>
            </w:r>
          </w:p>
        </w:tc>
        <w:tc>
          <w:tcPr/>
          <w:p>
            <w:pPr>
              <w:pStyle w:val="Compact"/>
              <w:jc w:val="left"/>
            </w:pPr>
            <w:r>
              <w:t xml:space="preserve">零（纯仿真）</w:t>
            </w:r>
          </w:p>
        </w:tc>
        <w:tc>
          <w:tcPr/>
          <w:p>
            <w:pPr>
              <w:pStyle w:val="Compact"/>
              <w:jc w:val="left"/>
            </w:pPr>
            <w:r>
              <w:t xml:space="preserve">中等（有安全保障）</w:t>
            </w:r>
          </w:p>
        </w:tc>
      </w:tr>
      <w:tr>
        <w:tc>
          <w:tcPr/>
          <w:p>
            <w:pPr>
              <w:pStyle w:val="Compact"/>
              <w:jc w:val="left"/>
            </w:pPr>
            <w:r>
              <w:t xml:space="preserve">投资</w:t>
            </w:r>
          </w:p>
        </w:tc>
        <w:tc>
          <w:tcPr/>
          <w:p>
            <w:pPr>
              <w:pStyle w:val="Compact"/>
              <w:jc w:val="left"/>
            </w:pPr>
            <w:r>
              <w:t xml:space="preserve">30—50万元</w:t>
            </w:r>
          </w:p>
        </w:tc>
        <w:tc>
          <w:tcPr/>
          <w:p>
            <w:pPr>
              <w:pStyle w:val="Compact"/>
              <w:jc w:val="left"/>
            </w:pPr>
            <w:r>
              <w:t xml:space="preserve">100—300万元</w:t>
            </w:r>
          </w:p>
        </w:tc>
        <w:tc>
          <w:tcPr/>
          <w:p>
            <w:pPr>
              <w:pStyle w:val="Compact"/>
              <w:jc w:val="left"/>
            </w:pPr>
            <w:r>
              <w:t xml:space="preserve">依托现有工程</w:t>
            </w:r>
          </w:p>
        </w:tc>
      </w:tr>
      <w:tr>
        <w:tc>
          <w:tcPr/>
          <w:p>
            <w:pPr>
              <w:pStyle w:val="Compact"/>
              <w:jc w:val="left"/>
            </w:pPr>
            <w:r>
              <w:t xml:space="preserve">适用阶段</w:t>
            </w:r>
          </w:p>
        </w:tc>
        <w:tc>
          <w:tcPr/>
          <w:p>
            <w:pPr>
              <w:pStyle w:val="Compact"/>
              <w:jc w:val="left"/>
            </w:pPr>
            <w:r>
              <w:t xml:space="preserve">本科/入门</w:t>
            </w:r>
          </w:p>
        </w:tc>
        <w:tc>
          <w:tcPr/>
          <w:p>
            <w:pPr>
              <w:pStyle w:val="Compact"/>
              <w:jc w:val="left"/>
            </w:pPr>
            <w:r>
              <w:t xml:space="preserve">硕士/高级培训</w:t>
            </w:r>
          </w:p>
        </w:tc>
        <w:tc>
          <w:tcPr/>
          <w:p>
            <w:pPr>
              <w:pStyle w:val="Compact"/>
              <w:jc w:val="left"/>
            </w:pPr>
            <w:r>
              <w:t xml:space="preserve">博士/工程师实训</w:t>
            </w:r>
          </w:p>
        </w:tc>
      </w:tr>
      <w:tr>
        <w:tc>
          <w:tcPr/>
          <w:p>
            <w:pPr>
              <w:pStyle w:val="Compact"/>
              <w:jc w:val="left"/>
            </w:pPr>
            <w:r>
              <w:t xml:space="preserve">核心教学价值</w:t>
            </w:r>
          </w:p>
        </w:tc>
        <w:tc>
          <w:tcPr/>
          <w:p>
            <w:pPr>
              <w:pStyle w:val="Compact"/>
              <w:jc w:val="left"/>
            </w:pPr>
            <w:r>
              <w:t xml:space="preserve">建立直觉</w:t>
            </w:r>
          </w:p>
        </w:tc>
        <w:tc>
          <w:tcPr/>
          <w:p>
            <w:pPr>
              <w:pStyle w:val="Compact"/>
              <w:jc w:val="left"/>
            </w:pPr>
            <w:r>
              <w:t xml:space="preserve">工程级验证</w:t>
            </w:r>
          </w:p>
        </w:tc>
        <w:tc>
          <w:tcPr/>
          <w:p>
            <w:pPr>
              <w:pStyle w:val="Compact"/>
              <w:jc w:val="left"/>
            </w:pPr>
            <w:r>
              <w:t xml:space="preserve">体会模型-现实差距</w:t>
            </w:r>
          </w:p>
        </w:tc>
      </w:tr>
    </w:tbl>
    <w:p>
      <w:pPr>
        <w:pStyle w:val="BodyText"/>
      </w:pPr>
      <w:r>
        <w:t xml:space="preserve">平台共享是降低建设成本的关键。建议以区域高校联盟或流域机构为单位，建设共享的数字孪生平台——一个基于南水北调中线模型的高精度仿真环境可以服务多所高校的教学和科研需求，其边际成本远低于每所高校独立建设。</w:t>
      </w:r>
    </w:p>
    <w:p>
      <w:pPr>
        <w:pStyle w:val="BodyText"/>
      </w:pPr>
      <w:r>
        <w:t xml:space="preserve">有了课程和平台，还需要一个支撑知识生产和人才流动的组织架构。</w:t>
      </w:r>
    </w:p>
    <w:p>
      <w:r>
        <w:pict>
          <v:rect style="width:0;height:1.5pt" o:hralign="center" o:hrstd="t" o:hr="t"/>
        </w:pict>
      </w:r>
    </w:p>
    <w:bookmarkEnd w:id="42"/>
    <w:bookmarkEnd w:id="43"/>
    <w:bookmarkStart w:id="47" w:name="学科组织与国际合作"/>
    <w:p>
      <w:pPr>
        <w:pStyle w:val="Heading2"/>
      </w:pPr>
      <w:r>
        <w:t xml:space="preserve">7.6 学科组织与国际合作</w:t>
      </w:r>
    </w:p>
    <w:p>
      <w:pPr>
        <w:pStyle w:val="FirstParagraph"/>
      </w:pPr>
      <w:r>
        <w:t xml:space="preserve">课程培养个体能力，平台训练实操技能，但学科的持续发展还需要组织层面的支撑——学术共同体生产知识、教材共同体传播知识、产业共同体消费和反馈知识。没有组织建设的学科，就像没有灌溉系统的农田——即使种子很好，也无法大面积丰收。本节讨论CHS的组织建设策略，重点关注三个共同体的构建和一个关键基础设施——</w:t>
      </w:r>
      <w:r>
        <w:t xml:space="preserve">“</w:t>
      </w:r>
      <w:r>
        <w:t xml:space="preserve">共识语义层</w:t>
      </w:r>
      <w:r>
        <w:t xml:space="preserve">”</w:t>
      </w:r>
      <w:r>
        <w:t xml:space="preserve">——的建设。国际合作是本节的另一个重点：CHS不是一个国家的事业，水系统的控制理论和工程方法需要在全球范围内交流和验证才能成熟。荷兰的三角洲防洪、澳大利亚的灌区自动化、日本的城市供水管理——每个国家都有独特的工程经验，只有跨国共享和联合验证，才能真正加速整个学科的成熟和健康发展，而封闭只会导致低水平重复。</w:t>
      </w:r>
    </w:p>
    <w:bookmarkStart w:id="44" w:name="三个共同体"/>
    <w:p>
      <w:pPr>
        <w:pStyle w:val="Heading3"/>
      </w:pPr>
      <w:r>
        <w:t xml:space="preserve">7.6.1 三个共同体</w:t>
      </w:r>
    </w:p>
    <w:p>
      <w:pPr>
        <w:pStyle w:val="FirstParagraph"/>
      </w:pPr>
      <w:r>
        <w:t xml:space="preserve">CHS的组织建设需要同步推进三个层面的共同体：</w:t>
      </w:r>
    </w:p>
    <w:p>
      <w:pPr>
        <w:pStyle w:val="BodyText"/>
      </w:pPr>
      <w:r>
        <w:rPr>
          <w:bCs/>
          <w:b/>
        </w:rPr>
        <w:t xml:space="preserve">学术共同体。</w:t>
      </w:r>
      <w:r>
        <w:t xml:space="preserve"> </w:t>
      </w:r>
      <w:r>
        <w:t xml:space="preserve">依托国际水利与环境工程学会（IAHR）水系统运行工作组（Water Systems Operation Working Group）等平台，形成跨国学术协作网络。学术共同体的核心任务是：统一术语和概念框架、建立可比较的性能评价基准（benchmark）、以及推动开放的案例数据库共享。IAHR的平台优势在于其全球覆盖面和行业认可度——CHS的核心概念如果能被纳入IAHR的技术报告和标准建议，就获得了国际学术界的”通行证” [7-16]。</w:t>
      </w:r>
    </w:p>
    <w:p>
      <w:pPr>
        <w:pStyle w:val="BodyText"/>
      </w:pPr>
      <w:r>
        <w:rPr>
          <w:bCs/>
          <w:b/>
        </w:rPr>
        <w:t xml:space="preserve">教材共同体。</w:t>
      </w:r>
      <w:r>
        <w:t xml:space="preserve"> </w:t>
      </w:r>
      <w:r>
        <w:t xml:space="preserve">围绕T1/T2/M系列教材建立持续迭代机制。教材不是”写一次就完”的产品，而是需要根据工程实践的反馈持续更新的”活文档”。建议建立教材编委会，每两年修订一次主要内容，确保概念、符号和案例的一致性。国际版本的编译和本地化是另一个重要任务——CHS的英文术语体系已在本书中初步建立（如WNAL、HydroOS、ODD等），需要通过国际教材的出版来推广 [7-17]。</w:t>
      </w:r>
    </w:p>
    <w:p>
      <w:pPr>
        <w:pStyle w:val="BodyText"/>
      </w:pPr>
      <w:r>
        <w:rPr>
          <w:bCs/>
          <w:b/>
        </w:rPr>
        <w:t xml:space="preserve">产业共同体。</w:t>
      </w:r>
      <w:r>
        <w:t xml:space="preserve"> </w:t>
      </w:r>
      <w:r>
        <w:t xml:space="preserve">联合流域管理机构、设计院、设备制造商和软件开发商，开展联合课题研究、联合人才培养和联合标准制定。产业共同体的核心价值在于”让知识在产学研之间流动”——高校的研究成果通过产业合作伙伴转化为工程产品，工程实践中的问题反馈回高校成为研究课题。</w:t>
      </w:r>
    </w:p>
    <w:bookmarkEnd w:id="44"/>
    <w:bookmarkStart w:id="45" w:name="共识语义层"/>
    <w:p>
      <w:pPr>
        <w:pStyle w:val="Heading3"/>
      </w:pPr>
      <w:r>
        <w:t xml:space="preserve">7.6.2 共识语义层</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给水利工程师的速览：为什么”术语统一”如此重要？</w:t>
            </w:r>
          </w:p>
        </w:tc>
      </w:tr>
      <w:tr>
        <w:tc>
          <w:tcPr/>
          <w:p>
            <w:pPr>
              <w:pStyle w:val="Compact"/>
              <w:jc w:val="left"/>
            </w:pPr>
            <w:r>
              <w:t xml:space="preserve">当一位中国工程师说”L3自主运行”、一位荷兰工程师说”autonomous operation”、一位日本工程师说”自律運転”时，他们说的是同一件事吗？如果WNAL的L3在不同国家有不同的准入条件和评价标准，国际合作就会陷入”鸡同鸭讲”的困境。这就是为什么”共识语义层”——统一的术语定义、等级标准和评价方法——是国际合作的基础设施。没有这个基础设施，一切合作都是在流沙上建房。</w:t>
            </w:r>
          </w:p>
        </w:tc>
      </w:tr>
    </w:tbl>
    <w:p>
      <w:pPr>
        <w:pStyle w:val="FirstParagraph"/>
      </w:pPr>
      <w:r>
        <w:t xml:space="preserve">共识语义层的建设包含三个具体任务：</w:t>
      </w:r>
    </w:p>
    <w:p>
      <w:pPr>
        <w:pStyle w:val="BodyText"/>
      </w:pPr>
      <w:r>
        <w:t xml:space="preserve">第一，</w:t>
      </w:r>
      <w:r>
        <w:rPr>
          <w:bCs/>
          <w:b/>
        </w:rPr>
        <w:t xml:space="preserve">术语词典</w:t>
      </w:r>
      <w:r>
        <w:t xml:space="preserve">。编制CHS核心术语的多语言对照词典（中、英、法、日至少四种语言），明确每个术语的定义、上下文和与相关术语的区别。例如，</w:t>
      </w:r>
      <w:r>
        <w:t xml:space="preserve">“</w:t>
      </w:r>
      <w:r>
        <w:t xml:space="preserve">安全包络</w:t>
      </w:r>
      <w:r>
        <w:t xml:space="preserve">”</w:t>
      </w:r>
      <w:r>
        <w:t xml:space="preserve">（safety envelope）、</w:t>
      </w:r>
      <w:r>
        <w:t xml:space="preserve">“</w:t>
      </w:r>
      <w:r>
        <w:t xml:space="preserve">安全裕度</w:t>
      </w:r>
      <w:r>
        <w:t xml:space="preserve">”</w:t>
      </w:r>
      <w:r>
        <w:t xml:space="preserve">（safety margin）和”安全阈值”（safety threshold）三个概念在中文语境中经常混用，必须给出精确区分。</w:t>
      </w:r>
    </w:p>
    <w:p>
      <w:pPr>
        <w:pStyle w:val="BodyText"/>
      </w:pPr>
      <w:r>
        <w:t xml:space="preserve">第二，</w:t>
      </w:r>
      <w:r>
        <w:rPr>
          <w:bCs/>
          <w:b/>
        </w:rPr>
        <w:t xml:space="preserve">WNAL国际对标</w:t>
      </w:r>
      <w:r>
        <w:t xml:space="preserve">。将WNAL分级体系与国际上已有的自动化分级体系（如SAE J3016自动驾驶分级、IEC 62264工业自动化层级模型）进行对照映射。这种对标不是简单的”等号对应”，而是分析CHS分级在水利领域的特殊性及其与其他行业分级的可比性和差异性 [7-18]。</w:t>
      </w:r>
    </w:p>
    <w:p>
      <w:pPr>
        <w:pStyle w:val="BodyText"/>
      </w:pPr>
      <w:r>
        <w:t xml:space="preserve">第三，</w:t>
      </w:r>
      <w:r>
        <w:rPr>
          <w:bCs/>
          <w:b/>
        </w:rPr>
        <w:t xml:space="preserve">基准测试库</w:t>
      </w:r>
      <w:r>
        <w:t xml:space="preserve">。建立一套开放的CHS性能评价基准——包括标准化的仿真场景、评价指标和参考数据集。基准测试库让不同团队的技术方案能够在相同条件下进行公平比较，类似于ASCE Canal Control Algorithms Test Cases在灌溉渠道控制领域所扮演的角色 [7-19]。</w:t>
      </w:r>
    </w:p>
    <w:bookmarkEnd w:id="45"/>
    <w:bookmarkStart w:id="46" w:name="国际合作的组织机制"/>
    <w:p>
      <w:pPr>
        <w:pStyle w:val="Heading3"/>
      </w:pPr>
      <w:r>
        <w:t xml:space="preserve">7.6.3 国际合作的组织机制</w:t>
      </w:r>
    </w:p>
    <w:p>
      <w:pPr>
        <w:pStyle w:val="FirstParagraph"/>
      </w:pPr>
      <w:r>
        <w:t xml:space="preserve">结合IAHR水系统运行工作组和SWAN（Smart Water Networks Forum）等国际组织的既有框架，建议建立以下合作机制：</w:t>
      </w:r>
    </w:p>
    <w:p>
      <w:pPr>
        <w:pStyle w:val="BodyText"/>
      </w:pPr>
      <w:r>
        <w:rPr>
          <w:bCs/>
          <w:b/>
        </w:rPr>
        <w:t xml:space="preserve">年度技术研讨会。</w:t>
      </w:r>
      <w:r>
        <w:t xml:space="preserve"> </w:t>
      </w:r>
      <w:r>
        <w:t xml:space="preserve">每年在IAHR大会期间组织CHS专题研讨会，聚焦当年的重点议题（如”WNAL评估方法的国际比较”</w:t>
      </w:r>
      <w:r>
        <w:t xml:space="preserve">“</w:t>
      </w:r>
      <w:r>
        <w:t xml:space="preserve">CAI引擎的工程应用进展</w:t>
      </w:r>
      <w:r>
        <w:t xml:space="preserve">”</w:t>
      </w:r>
      <w:r>
        <w:t xml:space="preserve">等）。</w:t>
      </w:r>
    </w:p>
    <w:p>
      <w:pPr>
        <w:pStyle w:val="BodyText"/>
      </w:pPr>
      <w:r>
        <w:rPr>
          <w:bCs/>
          <w:b/>
        </w:rPr>
        <w:t xml:space="preserve">联合研究项目。</w:t>
      </w:r>
      <w:r>
        <w:t xml:space="preserve"> </w:t>
      </w:r>
      <w:r>
        <w:t xml:space="preserve">以3—5年为周期，围绕共同关心的技术问题（如分布式MPC的可扩展性、跨流域水系统的安全治理等）组建国际联合研究团队。具体建议三个优先方向：① 中—荷联合项目”长距离调水渠道的鲁棒MPC控制”（中国有南水北调的工程规模优势，荷兰有三角洲水管理的控制理论优势）；② 中—澳联合项目”灌区水资源自动化分配”（澳大利亚Murray-Darling流域的灌区自动化经验值得借鉴）；③ 多国联合项目”水系统自主运行的伦理与治理框架”。</w:t>
      </w:r>
    </w:p>
    <w:p>
      <w:pPr>
        <w:pStyle w:val="BodyText"/>
      </w:pPr>
      <w:r>
        <w:rPr>
          <w:bCs/>
          <w:b/>
        </w:rPr>
        <w:t xml:space="preserve">人员交流。</w:t>
      </w:r>
      <w:r>
        <w:t xml:space="preserve"> </w:t>
      </w:r>
      <w:r>
        <w:t xml:space="preserve">建立研究生联合培养和工程师互访机制，让不同国家的团队能够直接接触彼此的工程实践——这是打破”信息茧房”和建立互信的最有效方式。</w:t>
      </w:r>
    </w:p>
    <w:p>
      <w:pPr>
        <w:pStyle w:val="BodyText"/>
      </w:pPr>
      <w:r>
        <w:t xml:space="preserve">组织建设需要时间——以下路线图给出了一个分阶段推进的时间框架。</w:t>
      </w:r>
    </w:p>
    <w:p>
      <w:r>
        <w:pict>
          <v:rect style="width:0;height:1.5pt" o:hralign="center" o:hrstd="t" o:hr="t"/>
        </w:pict>
      </w:r>
    </w:p>
    <w:bookmarkEnd w:id="46"/>
    <w:bookmarkEnd w:id="47"/>
    <w:bookmarkStart w:id="52" w:name="十年人才路线图20262035"/>
    <w:p>
      <w:pPr>
        <w:pStyle w:val="Heading2"/>
      </w:pPr>
      <w:r>
        <w:t xml:space="preserve">7.7 十年人才路线图（2026—2035）</w:t>
      </w:r>
    </w:p>
    <w:p>
      <w:pPr>
        <w:pStyle w:val="FirstParagraph"/>
      </w:pPr>
      <w:r>
        <w:t xml:space="preserve">前面五节分别讨论了能力模型（§7.2）、课程体系（§7.3）、培养路径（§7.4）、实践平台（§7.5）和组织建设（§7.6）。这五个要素如何在时间轴上有序展开？不可能同时推进所有方面——资源有限，必须分阶段、有重点。就像盖一栋大楼，不能地基、框架、装修同时动工——先打地基（阶段I：试点验模式），再建框架（阶段II：规模化建认证），最后精装修（阶段III：生态化连国际）。本节给出一个三阶段的十年推进计划，并配套可量化的评价指标体系——有路线图指引方向，也有”仪表盘”监测进展，让推进过程可测量、可纠偏——避免十年后回头一看，才发现走了很多本可避免的弯路，却因为缺少量化监测而无人及时察觉和纠偏。好的路线图自带纠偏机制。</w:t>
      </w:r>
    </w:p>
    <w:p>
      <w:pPr>
        <w:pStyle w:val="BodyText"/>
      </w:pPr>
      <w:r>
        <w:t xml:space="preserve">[图7-1: CHS人才与学科建设十年路线图]</w:t>
      </w:r>
    </w:p>
    <w:bookmarkStart w:id="48" w:name="阶段i先导与试点20262028"/>
    <w:p>
      <w:pPr>
        <w:pStyle w:val="Heading3"/>
      </w:pPr>
      <w:r>
        <w:t xml:space="preserve">7.7.1 阶段I：先导与试点（2026—2028）</w:t>
      </w:r>
    </w:p>
    <w:p>
      <w:pPr>
        <w:pStyle w:val="FirstParagraph"/>
      </w:pPr>
      <w:r>
        <w:t xml:space="preserve">阶段I的核心目标是”从0到1”——建立最小可行的学科基础设施。这个阶段最重要的不是”规模”而是”闭环”：哪怕只有一所高校开设了一门课、一个工程完成了一次继续教育培训、一个数字孪生平台跑通了一次在环测试——只要形成了”教学→实践→反馈→改进”的完整循环，就是成功。追求规模化是阶段II的任务，阶段I的核心是验证模式、积累经验、培养种子团队——这些种子团队将是阶段II推广的核心力量，他们的实战经验是任何教材都无法替代的。具体的里程碑和交付物见表7-6。</w:t>
      </w:r>
    </w:p>
    <w:p>
      <w:pPr>
        <w:pStyle w:val="BodyText"/>
      </w:pPr>
      <w:r>
        <w:t xml:space="preserve">表7-6 阶段I关键里程碑</w:t>
      </w:r>
    </w:p>
    <w:tbl>
      <w:tblPr>
        <w:tblStyle w:val="Table"/>
        <w:tblW w:type="pct" w:w="5000"/>
        <w:tblLook w:firstRow="1" w:lastRow="0" w:firstColumn="0" w:lastColumn="0" w:noHBand="0" w:noVBand="0" w:val="0020"/>
        <w:jc w:val="start"/>
      </w:tblPr>
      <w:tblGrid>
        <w:gridCol w:w="1485"/>
        <w:gridCol w:w="1485"/>
        <w:gridCol w:w="2722"/>
        <w:gridCol w:w="2227"/>
      </w:tblGrid>
      <w:tr>
        <w:trPr>
          <w:tblHeader w:val="true"/>
        </w:trPr>
        <w:tc>
          <w:tcPr/>
          <w:p>
            <w:pPr>
              <w:pStyle w:val="Compact"/>
              <w:jc w:val="left"/>
            </w:pPr>
            <w:r>
              <w:t xml:space="preserve">维度</w:t>
            </w:r>
          </w:p>
        </w:tc>
        <w:tc>
          <w:tcPr/>
          <w:p>
            <w:pPr>
              <w:pStyle w:val="Compact"/>
              <w:jc w:val="left"/>
            </w:pPr>
            <w:r>
              <w:t xml:space="preserve">目标</w:t>
            </w:r>
          </w:p>
        </w:tc>
        <w:tc>
          <w:tcPr/>
          <w:p>
            <w:pPr>
              <w:pStyle w:val="Compact"/>
              <w:jc w:val="left"/>
            </w:pPr>
            <w:r>
              <w:t xml:space="preserve">具体交付物</w:t>
            </w:r>
          </w:p>
        </w:tc>
        <w:tc>
          <w:tcPr/>
          <w:p>
            <w:pPr>
              <w:pStyle w:val="Compact"/>
              <w:jc w:val="left"/>
            </w:pPr>
            <w:r>
              <w:t xml:space="preserve">负责主体</w:t>
            </w:r>
          </w:p>
        </w:tc>
      </w:tr>
      <w:tr>
        <w:tc>
          <w:tcPr/>
          <w:p>
            <w:pPr>
              <w:pStyle w:val="Compact"/>
              <w:jc w:val="left"/>
            </w:pPr>
            <w:r>
              <w:t xml:space="preserve">课程</w:t>
            </w:r>
          </w:p>
        </w:tc>
        <w:tc>
          <w:tcPr/>
          <w:p>
            <w:pPr>
              <w:pStyle w:val="Compact"/>
              <w:jc w:val="left"/>
            </w:pPr>
            <w:r>
              <w:t xml:space="preserve">完成核心教材和先导课程</w:t>
            </w:r>
          </w:p>
        </w:tc>
        <w:tc>
          <w:tcPr/>
          <w:p>
            <w:pPr>
              <w:pStyle w:val="Compact"/>
              <w:jc w:val="left"/>
            </w:pPr>
            <w:r>
              <w:t xml:space="preserve">T1/T2系列教材出版；4门核心课在2—3所高校试讲</w:t>
            </w:r>
          </w:p>
        </w:tc>
        <w:tc>
          <w:tcPr/>
          <w:p>
            <w:pPr>
              <w:pStyle w:val="Compact"/>
              <w:jc w:val="left"/>
            </w:pPr>
            <w:r>
              <w:t xml:space="preserve">编委会+试点高校</w:t>
            </w:r>
          </w:p>
        </w:tc>
      </w:tr>
      <w:tr>
        <w:tc>
          <w:tcPr/>
          <w:p>
            <w:pPr>
              <w:pStyle w:val="Compact"/>
              <w:jc w:val="left"/>
            </w:pPr>
            <w:r>
              <w:t xml:space="preserve">平台</w:t>
            </w:r>
          </w:p>
        </w:tc>
        <w:tc>
          <w:tcPr/>
          <w:p>
            <w:pPr>
              <w:pStyle w:val="Compact"/>
              <w:jc w:val="left"/>
            </w:pPr>
            <w:r>
              <w:t xml:space="preserve">建成首个教学沙盘+数字孪生平台</w:t>
            </w:r>
          </w:p>
        </w:tc>
        <w:tc>
          <w:tcPr/>
          <w:p>
            <w:pPr>
              <w:pStyle w:val="Compact"/>
              <w:jc w:val="left"/>
            </w:pPr>
            <w:r>
              <w:t xml:space="preserve">1套教学沙盘硬件+1个基于胶东调水模型的数字孪生平台</w:t>
            </w:r>
          </w:p>
        </w:tc>
        <w:tc>
          <w:tcPr/>
          <w:p>
            <w:pPr>
              <w:pStyle w:val="Compact"/>
              <w:jc w:val="left"/>
            </w:pPr>
            <w:r>
              <w:t xml:space="preserve">试点高校+工程合作方</w:t>
            </w:r>
          </w:p>
        </w:tc>
      </w:tr>
      <w:tr>
        <w:tc>
          <w:tcPr/>
          <w:p>
            <w:pPr>
              <w:pStyle w:val="Compact"/>
              <w:jc w:val="left"/>
            </w:pPr>
            <w:r>
              <w:t xml:space="preserve">标准化</w:t>
            </w:r>
          </w:p>
        </w:tc>
        <w:tc>
          <w:tcPr/>
          <w:p>
            <w:pPr>
              <w:pStyle w:val="Compact"/>
              <w:jc w:val="left"/>
            </w:pPr>
            <w:r>
              <w:t xml:space="preserve">发布术语词典和WNAL评估导则</w:t>
            </w:r>
          </w:p>
        </w:tc>
        <w:tc>
          <w:tcPr/>
          <w:p>
            <w:pPr>
              <w:pStyle w:val="Compact"/>
              <w:jc w:val="left"/>
            </w:pPr>
            <w:r>
              <w:t xml:space="preserve">CHS术语词典v1.0；WNAL评估操作手册v1.0</w:t>
            </w:r>
          </w:p>
        </w:tc>
        <w:tc>
          <w:tcPr/>
          <w:p>
            <w:pPr>
              <w:pStyle w:val="Compact"/>
              <w:jc w:val="left"/>
            </w:pPr>
            <w:r>
              <w:t xml:space="preserve">IAHR工作组</w:t>
            </w:r>
          </w:p>
        </w:tc>
      </w:tr>
      <w:tr>
        <w:tc>
          <w:tcPr/>
          <w:p>
            <w:pPr>
              <w:pStyle w:val="Compact"/>
              <w:jc w:val="left"/>
            </w:pPr>
            <w:r>
              <w:t xml:space="preserve">产业协同</w:t>
            </w:r>
          </w:p>
        </w:tc>
        <w:tc>
          <w:tcPr/>
          <w:p>
            <w:pPr>
              <w:pStyle w:val="Compact"/>
              <w:jc w:val="left"/>
            </w:pPr>
            <w:r>
              <w:t xml:space="preserve">建立首个产学研联合实验室</w:t>
            </w:r>
          </w:p>
        </w:tc>
        <w:tc>
          <w:tcPr/>
          <w:p>
            <w:pPr>
              <w:pStyle w:val="Compact"/>
              <w:jc w:val="left"/>
            </w:pPr>
            <w:r>
              <w:t xml:space="preserve">1个联合实验室签约运行；2个继续教育培训班开班</w:t>
            </w:r>
          </w:p>
        </w:tc>
        <w:tc>
          <w:tcPr/>
          <w:p>
            <w:pPr>
              <w:pStyle w:val="Compact"/>
              <w:jc w:val="left"/>
            </w:pPr>
            <w:r>
              <w:t xml:space="preserve">高校+流域机构+企业</w:t>
            </w:r>
          </w:p>
        </w:tc>
      </w:tr>
    </w:tbl>
    <w:p>
      <w:pPr>
        <w:pStyle w:val="BodyText"/>
      </w:pPr>
      <w:r>
        <w:t xml:space="preserve">阶段I的成功标准不是”规模”而是”闭环”——哪怕只有一所高校、一个工程项目、一套培训教材，只要形成了”教学→实践→反馈→改进”的闭环，就是成功。</w:t>
      </w:r>
    </w:p>
    <w:bookmarkEnd w:id="48"/>
    <w:bookmarkStart w:id="49" w:name="阶段ii规模化与认证20292031"/>
    <w:p>
      <w:pPr>
        <w:pStyle w:val="Heading3"/>
      </w:pPr>
      <w:r>
        <w:t xml:space="preserve">7.7.2 阶段II：规模化与认证（2029—2031）</w:t>
      </w:r>
    </w:p>
    <w:p>
      <w:pPr>
        <w:pStyle w:val="FirstParagraph"/>
      </w:pPr>
      <w:r>
        <w:t xml:space="preserve">阶段II的核心目标是”从1到10”——将试点经验复制到更多机构，并建立质量保障机制。</w:t>
      </w:r>
    </w:p>
    <w:p>
      <w:pPr>
        <w:pStyle w:val="BodyText"/>
      </w:pPr>
      <w:r>
        <w:rPr>
          <w:bCs/>
          <w:b/>
        </w:rPr>
        <w:t xml:space="preserve">课程推广。</w:t>
      </w:r>
      <w:r>
        <w:t xml:space="preserve"> </w:t>
      </w:r>
      <w:r>
        <w:t xml:space="preserve">将试点高校验证过的课程方案推广到10—15所高校。推广不是简单的”复制教案”，而是需要本地化适配——不同地区的高校可能侧重不同类型的水利工程（北方侧重调水、西南侧重水电、东部侧重城市供水），课程案例应相应调整。</w:t>
      </w:r>
    </w:p>
    <w:p>
      <w:pPr>
        <w:pStyle w:val="BodyText"/>
      </w:pPr>
      <w:r>
        <w:rPr>
          <w:bCs/>
          <w:b/>
        </w:rPr>
        <w:t xml:space="preserve">认证体系建立。</w:t>
      </w:r>
      <w:r>
        <w:t xml:space="preserve"> </w:t>
      </w:r>
      <w:r>
        <w:t xml:space="preserve">参照国际工程教育认证（如华盛顿协议）的框架，建立CHS相关能力的认证标准。认证不仅面向学生（毕业能力要求），也面向在岗工程师（继续教育学分和能力证书）。认证标准应与WNAL等级挂钩——例如，L3系统的运行团队中必须有至少1人持有CE3（在环测试）和CE4（ODD管理）的认证证书。</w:t>
      </w:r>
    </w:p>
    <w:p>
      <w:pPr>
        <w:pStyle w:val="BodyText"/>
      </w:pPr>
      <w:r>
        <w:rPr>
          <w:bCs/>
          <w:b/>
        </w:rPr>
        <w:t xml:space="preserve">数字孪生平台共享。</w:t>
      </w:r>
      <w:r>
        <w:t xml:space="preserve"> </w:t>
      </w:r>
      <w:r>
        <w:t xml:space="preserve">建立区域共享的数字孪生平台网络。建议按照流域划分（如黄河流域、长江流域、珠江流域各建一个），每个平台以该流域的典型工程为模型基础，同时支持多校远程接入使用。</w:t>
      </w:r>
    </w:p>
    <w:bookmarkEnd w:id="49"/>
    <w:bookmarkStart w:id="50" w:name="阶段iii生态化与国际协同20322035"/>
    <w:p>
      <w:pPr>
        <w:pStyle w:val="Heading3"/>
      </w:pPr>
      <w:r>
        <w:t xml:space="preserve">7.7.3 阶段III：生态化与国际协同（2032—2035）</w:t>
      </w:r>
    </w:p>
    <w:p>
      <w:pPr>
        <w:pStyle w:val="FirstParagraph"/>
      </w:pPr>
      <w:r>
        <w:t xml:space="preserve">阶段III的核心目标是”从10到N”——形成自我维持的学科生态和国际合作网络。</w:t>
      </w:r>
    </w:p>
    <w:p>
      <w:pPr>
        <w:pStyle w:val="BodyText"/>
      </w:pPr>
      <w:r>
        <w:rPr>
          <w:bCs/>
          <w:b/>
        </w:rPr>
        <w:t xml:space="preserve">标准互认。</w:t>
      </w:r>
      <w:r>
        <w:t xml:space="preserve"> </w:t>
      </w:r>
      <w:r>
        <w:t xml:space="preserve">推动CHS相关能力认证在国际范围内的互认。这需要以IAHR工作组为平台，与欧美的水利工程教育和认证机构建立对等协议。WNAL分级体系如果能被纳入国际标准化组织（ISO）或IAHR的技术标准，将大大提升其国际接受度 [7-20]。</w:t>
      </w:r>
    </w:p>
    <w:p>
      <w:pPr>
        <w:pStyle w:val="BodyText"/>
      </w:pPr>
      <w:r>
        <w:rPr>
          <w:bCs/>
          <w:b/>
        </w:rPr>
        <w:t xml:space="preserve">知识输出。</w:t>
      </w:r>
      <w:r>
        <w:t xml:space="preserve"> </w:t>
      </w:r>
      <w:r>
        <w:t xml:space="preserve">将CHS的课程包、平台工具和评测方案打包为可输出的”学科建设工具箱”。这不仅服务于国际合作，也服务于国内的新建高校和职业院校——降低学科建设的门槛，让更多机构能够低成本地开设CHS相关课程。</w:t>
      </w:r>
    </w:p>
    <w:p>
      <w:pPr>
        <w:pStyle w:val="BodyText"/>
      </w:pPr>
      <w:r>
        <w:rPr>
          <w:bCs/>
          <w:b/>
        </w:rPr>
        <w:t xml:space="preserve">产业反哺。</w:t>
      </w:r>
      <w:r>
        <w:t xml:space="preserve"> </w:t>
      </w:r>
      <w:r>
        <w:t xml:space="preserve">到2035年，预期国内将有30—50个水利工程达到WNAL L3及以上水平。这些工程的运行数据、案例经验和人才需求将成为学科持续发展的核心驱动力——产业实践不断提出新问题，学术研究不断给出新解法，形成正循环。</w:t>
      </w:r>
    </w:p>
    <w:bookmarkEnd w:id="50"/>
    <w:bookmarkStart w:id="51" w:name="路线图评价指标"/>
    <w:p>
      <w:pPr>
        <w:pStyle w:val="Heading3"/>
      </w:pPr>
      <w:r>
        <w:t xml:space="preserve">7.7.4 路线图评价指标</w:t>
      </w:r>
    </w:p>
    <w:p>
      <w:pPr>
        <w:pStyle w:val="FirstParagraph"/>
      </w:pPr>
      <w:r>
        <w:t xml:space="preserve">没有可量化的评价指标，路线图就只是一张”愿景图”。好的指标应该满足三个条件：可测量（有明确的数据来源）、有区分度（能区分”做了”和”做好了”）、与目标对齐（指标的改善确实意味着学科建设的进步）。表7-7列出了建议的指标体系，每个指标都对应三个阶段的具体目标值。需要特别指出的是，</w:t>
      </w:r>
      <w:r>
        <w:t xml:space="preserve">“</w:t>
      </w:r>
      <w:r>
        <w:t xml:space="preserve">达到WNAL L3+的工程数量</w:t>
      </w:r>
      <w:r>
        <w:t xml:space="preserve">”</w:t>
      </w:r>
      <w:r>
        <w:t xml:space="preserve">是最终的结果指标——如果课程、平台和认证都到位了但这个数字没有增长，说明整个体系的有效性存疑。</w:t>
      </w:r>
    </w:p>
    <w:p>
      <w:pPr>
        <w:pStyle w:val="BodyText"/>
      </w:pPr>
      <w:r>
        <w:t xml:space="preserve">表7-7 CHS学科建设十年路线图评价指标</w:t>
      </w:r>
    </w:p>
    <w:tbl>
      <w:tblPr>
        <w:tblStyle w:val="Table"/>
        <w:tblW w:type="pct" w:w="5000"/>
        <w:tblLook w:firstRow="1" w:lastRow="0" w:firstColumn="0" w:lastColumn="0" w:noHBand="0" w:noVBand="0" w:val="0020"/>
        <w:jc w:val="start"/>
      </w:tblPr>
      <w:tblGrid>
        <w:gridCol w:w="1425"/>
        <w:gridCol w:w="1425"/>
        <w:gridCol w:w="1584"/>
        <w:gridCol w:w="1742"/>
        <w:gridCol w:w="1742"/>
      </w:tblGrid>
      <w:tr>
        <w:trPr>
          <w:tblHeader w:val="true"/>
        </w:trPr>
        <w:tc>
          <w:tcPr/>
          <w:p>
            <w:pPr>
              <w:pStyle w:val="Compact"/>
              <w:jc w:val="left"/>
            </w:pPr>
            <w:r>
              <w:t xml:space="preserve">指标类别</w:t>
            </w:r>
          </w:p>
        </w:tc>
        <w:tc>
          <w:tcPr/>
          <w:p>
            <w:pPr>
              <w:pStyle w:val="Compact"/>
              <w:jc w:val="left"/>
            </w:pPr>
            <w:r>
              <w:t xml:space="preserve">具体指标</w:t>
            </w:r>
          </w:p>
        </w:tc>
        <w:tc>
          <w:tcPr/>
          <w:p>
            <w:pPr>
              <w:pStyle w:val="Compact"/>
              <w:jc w:val="left"/>
            </w:pPr>
            <w:r>
              <w:t xml:space="preserve">阶段I目标</w:t>
            </w:r>
          </w:p>
        </w:tc>
        <w:tc>
          <w:tcPr/>
          <w:p>
            <w:pPr>
              <w:pStyle w:val="Compact"/>
              <w:jc w:val="left"/>
            </w:pPr>
            <w:r>
              <w:t xml:space="preserve">阶段II目标</w:t>
            </w:r>
          </w:p>
        </w:tc>
        <w:tc>
          <w:tcPr/>
          <w:p>
            <w:pPr>
              <w:pStyle w:val="Compact"/>
              <w:jc w:val="left"/>
            </w:pPr>
            <w:r>
              <w:t xml:space="preserve">阶段III目标</w:t>
            </w:r>
          </w:p>
        </w:tc>
      </w:tr>
      <w:tr>
        <w:tc>
          <w:tcPr/>
          <w:p>
            <w:pPr>
              <w:pStyle w:val="Compact"/>
              <w:jc w:val="left"/>
            </w:pPr>
            <w:r>
              <w:t xml:space="preserve">课程覆盖</w:t>
            </w:r>
          </w:p>
        </w:tc>
        <w:tc>
          <w:tcPr/>
          <w:p>
            <w:pPr>
              <w:pStyle w:val="Compact"/>
              <w:jc w:val="left"/>
            </w:pPr>
            <w:r>
              <w:t xml:space="preserve">开设CHS核心课程的高校数</w:t>
            </w:r>
          </w:p>
        </w:tc>
        <w:tc>
          <w:tcPr/>
          <w:p>
            <w:pPr>
              <w:pStyle w:val="Compact"/>
              <w:jc w:val="left"/>
            </w:pPr>
            <w:r>
              <w:t xml:space="preserve">2—3所</w:t>
            </w:r>
          </w:p>
        </w:tc>
        <w:tc>
          <w:tcPr/>
          <w:p>
            <w:pPr>
              <w:pStyle w:val="Compact"/>
              <w:jc w:val="left"/>
            </w:pPr>
            <w:r>
              <w:t xml:space="preserve">10—15所</w:t>
            </w:r>
          </w:p>
        </w:tc>
        <w:tc>
          <w:tcPr/>
          <w:p>
            <w:pPr>
              <w:pStyle w:val="Compact"/>
              <w:jc w:val="left"/>
            </w:pPr>
            <w:r>
              <w:t xml:space="preserve">30所+</w:t>
            </w:r>
          </w:p>
        </w:tc>
      </w:tr>
      <w:tr>
        <w:tc>
          <w:tcPr/>
          <w:p>
            <w:pPr>
              <w:pStyle w:val="Compact"/>
              <w:jc w:val="left"/>
            </w:pPr>
            <w:r>
              <w:t xml:space="preserve">人才产出</w:t>
            </w:r>
          </w:p>
        </w:tc>
        <w:tc>
          <w:tcPr/>
          <w:p>
            <w:pPr>
              <w:pStyle w:val="Compact"/>
              <w:jc w:val="left"/>
            </w:pPr>
            <w:r>
              <w:t xml:space="preserve">CHS方向硕士毕业生年产出</w:t>
            </w:r>
          </w:p>
        </w:tc>
        <w:tc>
          <w:tcPr/>
          <w:p>
            <w:pPr>
              <w:pStyle w:val="Compact"/>
              <w:jc w:val="left"/>
            </w:pPr>
            <w:r>
              <w:t xml:space="preserve">20—30人</w:t>
            </w:r>
          </w:p>
        </w:tc>
        <w:tc>
          <w:tcPr/>
          <w:p>
            <w:pPr>
              <w:pStyle w:val="Compact"/>
              <w:jc w:val="left"/>
            </w:pPr>
            <w:r>
              <w:t xml:space="preserve">100—150人</w:t>
            </w:r>
          </w:p>
        </w:tc>
        <w:tc>
          <w:tcPr/>
          <w:p>
            <w:pPr>
              <w:pStyle w:val="Compact"/>
              <w:jc w:val="left"/>
            </w:pPr>
            <w:r>
              <w:t xml:space="preserve">300人+</w:t>
            </w:r>
          </w:p>
        </w:tc>
      </w:tr>
      <w:tr>
        <w:tc>
          <w:tcPr/>
          <w:p>
            <w:pPr>
              <w:pStyle w:val="Compact"/>
              <w:jc w:val="left"/>
            </w:pPr>
            <w:r>
              <w:t xml:space="preserve">继续教育</w:t>
            </w:r>
          </w:p>
        </w:tc>
        <w:tc>
          <w:tcPr/>
          <w:p>
            <w:pPr>
              <w:pStyle w:val="Compact"/>
              <w:jc w:val="left"/>
            </w:pPr>
            <w:r>
              <w:t xml:space="preserve">完成CE认证的在岗工程师</w:t>
            </w:r>
          </w:p>
        </w:tc>
        <w:tc>
          <w:tcPr/>
          <w:p>
            <w:pPr>
              <w:pStyle w:val="Compact"/>
              <w:jc w:val="left"/>
            </w:pPr>
            <w:r>
              <w:t xml:space="preserve">100人</w:t>
            </w:r>
          </w:p>
        </w:tc>
        <w:tc>
          <w:tcPr/>
          <w:p>
            <w:pPr>
              <w:pStyle w:val="Compact"/>
              <w:jc w:val="left"/>
            </w:pPr>
            <w:r>
              <w:t xml:space="preserve">500人</w:t>
            </w:r>
          </w:p>
        </w:tc>
        <w:tc>
          <w:tcPr/>
          <w:p>
            <w:pPr>
              <w:pStyle w:val="Compact"/>
              <w:jc w:val="left"/>
            </w:pPr>
            <w:r>
              <w:t xml:space="preserve">2000人+</w:t>
            </w:r>
          </w:p>
        </w:tc>
      </w:tr>
      <w:tr>
        <w:tc>
          <w:tcPr/>
          <w:p>
            <w:pPr>
              <w:pStyle w:val="Compact"/>
              <w:jc w:val="left"/>
            </w:pPr>
            <w:r>
              <w:t xml:space="preserve">平台建设</w:t>
            </w:r>
          </w:p>
        </w:tc>
        <w:tc>
          <w:tcPr/>
          <w:p>
            <w:pPr>
              <w:pStyle w:val="Compact"/>
              <w:jc w:val="left"/>
            </w:pPr>
            <w:r>
              <w:t xml:space="preserve">共享数字孪生平台数量</w:t>
            </w:r>
          </w:p>
        </w:tc>
        <w:tc>
          <w:tcPr/>
          <w:p>
            <w:pPr>
              <w:pStyle w:val="Compact"/>
              <w:jc w:val="left"/>
            </w:pPr>
            <w:r>
              <w:t xml:space="preserve">1个</w:t>
            </w:r>
          </w:p>
        </w:tc>
        <w:tc>
          <w:tcPr/>
          <w:p>
            <w:pPr>
              <w:pStyle w:val="Compact"/>
              <w:jc w:val="left"/>
            </w:pPr>
            <w:r>
              <w:t xml:space="preserve">3—5个</w:t>
            </w:r>
          </w:p>
        </w:tc>
        <w:tc>
          <w:tcPr/>
          <w:p>
            <w:pPr>
              <w:pStyle w:val="Compact"/>
              <w:jc w:val="left"/>
            </w:pPr>
            <w:r>
              <w:t xml:space="preserve">流域全覆盖</w:t>
            </w:r>
          </w:p>
        </w:tc>
      </w:tr>
      <w:tr>
        <w:tc>
          <w:tcPr/>
          <w:p>
            <w:pPr>
              <w:pStyle w:val="Compact"/>
              <w:jc w:val="left"/>
            </w:pPr>
            <w:r>
              <w:t xml:space="preserve">工程应用</w:t>
            </w:r>
          </w:p>
        </w:tc>
        <w:tc>
          <w:tcPr/>
          <w:p>
            <w:pPr>
              <w:pStyle w:val="Compact"/>
              <w:jc w:val="left"/>
            </w:pPr>
            <w:r>
              <w:t xml:space="preserve">达到WNAL L3+的工程数量</w:t>
            </w:r>
          </w:p>
        </w:tc>
        <w:tc>
          <w:tcPr/>
          <w:p>
            <w:pPr>
              <w:pStyle w:val="Compact"/>
              <w:jc w:val="left"/>
            </w:pPr>
            <w:r>
              <w:t xml:space="preserve">3—5个</w:t>
            </w:r>
          </w:p>
        </w:tc>
        <w:tc>
          <w:tcPr/>
          <w:p>
            <w:pPr>
              <w:pStyle w:val="Compact"/>
              <w:jc w:val="left"/>
            </w:pPr>
            <w:r>
              <w:t xml:space="preserve">10—15个</w:t>
            </w:r>
          </w:p>
        </w:tc>
        <w:tc>
          <w:tcPr/>
          <w:p>
            <w:pPr>
              <w:pStyle w:val="Compact"/>
              <w:jc w:val="left"/>
            </w:pPr>
            <w:r>
              <w:t xml:space="preserve">30—50个</w:t>
            </w:r>
          </w:p>
        </w:tc>
      </w:tr>
      <w:tr>
        <w:tc>
          <w:tcPr/>
          <w:p>
            <w:pPr>
              <w:pStyle w:val="Compact"/>
              <w:jc w:val="left"/>
            </w:pPr>
            <w:r>
              <w:t xml:space="preserve">国际合作</w:t>
            </w:r>
          </w:p>
        </w:tc>
        <w:tc>
          <w:tcPr/>
          <w:p>
            <w:pPr>
              <w:pStyle w:val="Compact"/>
              <w:jc w:val="left"/>
            </w:pPr>
            <w:r>
              <w:t xml:space="preserve">联合研究项目数量</w:t>
            </w:r>
          </w:p>
        </w:tc>
        <w:tc>
          <w:tcPr/>
          <w:p>
            <w:pPr>
              <w:pStyle w:val="Compact"/>
              <w:jc w:val="left"/>
            </w:pPr>
            <w:r>
              <w:t xml:space="preserve">1—2个</w:t>
            </w:r>
          </w:p>
        </w:tc>
        <w:tc>
          <w:tcPr/>
          <w:p>
            <w:pPr>
              <w:pStyle w:val="Compact"/>
              <w:jc w:val="left"/>
            </w:pPr>
            <w:r>
              <w:t xml:space="preserve">5—8个</w:t>
            </w:r>
          </w:p>
        </w:tc>
        <w:tc>
          <w:tcPr/>
          <w:p>
            <w:pPr>
              <w:pStyle w:val="Compact"/>
              <w:jc w:val="left"/>
            </w:pPr>
            <w:r>
              <w:t xml:space="preserve">15个+</w:t>
            </w:r>
          </w:p>
        </w:tc>
      </w:tr>
      <w:tr>
        <w:tc>
          <w:tcPr/>
          <w:p>
            <w:pPr>
              <w:pStyle w:val="Compact"/>
              <w:jc w:val="left"/>
            </w:pPr>
            <w:r>
              <w:t xml:space="preserve">标准化</w:t>
            </w:r>
          </w:p>
        </w:tc>
        <w:tc>
          <w:tcPr/>
          <w:p>
            <w:pPr>
              <w:pStyle w:val="Compact"/>
              <w:jc w:val="left"/>
            </w:pPr>
            <w:r>
              <w:t xml:space="preserve">发布的标准/导则数量</w:t>
            </w:r>
          </w:p>
        </w:tc>
        <w:tc>
          <w:tcPr/>
          <w:p>
            <w:pPr>
              <w:pStyle w:val="Compact"/>
              <w:jc w:val="left"/>
            </w:pPr>
            <w:r>
              <w:t xml:space="preserve">2份（术语+WNAL）</w:t>
            </w:r>
          </w:p>
        </w:tc>
        <w:tc>
          <w:tcPr/>
          <w:p>
            <w:pPr>
              <w:pStyle w:val="Compact"/>
              <w:jc w:val="left"/>
            </w:pPr>
            <w:r>
              <w:t xml:space="preserve">5份+</w:t>
            </w:r>
          </w:p>
        </w:tc>
        <w:tc>
          <w:tcPr/>
          <w:p>
            <w:pPr>
              <w:pStyle w:val="Compact"/>
              <w:jc w:val="left"/>
            </w:pPr>
            <w:r>
              <w:t xml:space="preserve">含ISO/IAHR国际标准</w:t>
            </w:r>
          </w:p>
        </w:tc>
      </w:tr>
    </w:tbl>
    <w:p>
      <w:pPr>
        <w:pStyle w:val="BodyText"/>
      </w:pPr>
      <w:r>
        <w:t xml:space="preserve">路线图的实现不是按部就班的”项目管理”，而是需要在实践中不断调整——第一阶段的试点经验会极大地影响第二阶段的推广策略。因此，每个阶段结束时都应进行一次全面的评估和路线修正。</w:t>
      </w:r>
    </w:p>
    <w:p>
      <w:pPr>
        <w:pStyle w:val="BodyText"/>
      </w:pPr>
      <w:r>
        <w:t xml:space="preserve">十年路线图是”战略级”的。对于一个具体机构，需要更具操作性的”战术级”启动方案。</w:t>
      </w:r>
    </w:p>
    <w:p>
      <w:r>
        <w:pict>
          <v:rect style="width:0;height:1.5pt" o:hralign="center" o:hrstd="t" o:hr="t"/>
        </w:pict>
      </w:r>
    </w:p>
    <w:bookmarkEnd w:id="51"/>
    <w:bookmarkEnd w:id="52"/>
    <w:bookmarkStart w:id="56" w:name="机构推进模板"/>
    <w:p>
      <w:pPr>
        <w:pStyle w:val="Heading2"/>
      </w:pPr>
      <w:r>
        <w:t xml:space="preserve">7.8 机构推进模板</w:t>
      </w:r>
    </w:p>
    <w:p>
      <w:pPr>
        <w:pStyle w:val="FirstParagraph"/>
      </w:pPr>
      <w:r>
        <w:t xml:space="preserve">十年路线图是”战略级”规划，对于一个具体机构来说还是太抽象了——</w:t>
      </w:r>
      <w:r>
        <w:t xml:space="preserve">“</w:t>
      </w:r>
      <w:r>
        <w:t xml:space="preserve">明天上班该做什么</w:t>
      </w:r>
      <w:r>
        <w:t xml:space="preserve">”</w:t>
      </w:r>
      <w:r>
        <w:t xml:space="preserve">才是最紧迫的问题。就像医生给了病人一份”五年康复方案”，病人最想知道的是”今天吃什么药、明天做什么检查”。本节提供两个可直接使用的操作工具：90天启动计划（快速建立基础，§7.8.1）和失败点清单（避免常见陷阱，§7.8.2），外加三个”极端测试”作为成功判据（§7.8.3）。这些工具的设计原则是”小步快跑、快速闭环”——不追求一步到位，而是在最短时间内验证方向、暴露问题、迭代改进。90天之后团队不一定能”做好”，但一定要”知道自己哪里没做好”——这就是闭环的意义——知道问题在哪里，下一步的改进才有清晰明确的方向。</w:t>
      </w:r>
    </w:p>
    <w:bookmarkStart w:id="53" w:name="天启动计划"/>
    <w:p>
      <w:pPr>
        <w:pStyle w:val="Heading3"/>
      </w:pPr>
      <w:r>
        <w:t xml:space="preserve">7.8.1 90天启动计划</w:t>
      </w:r>
    </w:p>
    <w:p>
      <w:pPr>
        <w:pStyle w:val="FirstParagraph"/>
      </w:pPr>
      <w:r>
        <w:t xml:space="preserve">以下90天计划适用于有意推进CHS能力建设的高校、流域管理机构或水利企业。计划的设计原则是”小步快跑、快速闭环”——不追求一步到位，而是在最短时间内建立可迭代的基础。</w:t>
      </w:r>
    </w:p>
    <w:p>
      <w:pPr>
        <w:pStyle w:val="BodyText"/>
      </w:pPr>
      <w:r>
        <w:t xml:space="preserve">[图7-4: 90天启动计划甘特图]</w:t>
      </w:r>
    </w:p>
    <w:p>
      <w:pPr>
        <w:pStyle w:val="BodyText"/>
      </w:pPr>
      <w:r>
        <w:rPr>
          <w:bCs/>
          <w:b/>
        </w:rPr>
        <w:t xml:space="preserve">第1—30天：统一语言。</w:t>
      </w:r>
    </w:p>
    <w:p>
      <w:pPr>
        <w:pStyle w:val="BodyText"/>
      </w:pPr>
      <w:r>
        <w:t xml:space="preserve">核心任务是消除团队内部的术语混乱和认知差异。具体行动包括：组织全员学习CHS核心概念（至少覆盖WNAL分级、ODD定义、四态机和审计链四个概念）；明确每个概念的责任人（谁负责ODD文档？谁负责审计链维护？）；建立跨岗位周例会机制，确保调度、运维、算法三个团队之间的信息流畅通。</w:t>
      </w:r>
    </w:p>
    <w:p>
      <w:pPr>
        <w:pStyle w:val="BodyText"/>
      </w:pPr>
      <w:r>
        <w:t xml:space="preserve">这一阶段的标志性产出是：团队中的每个人都能用不超过两句话准确描述”WNAL L3意味着什么”</w:t>
      </w:r>
      <w:r>
        <w:t xml:space="preserve">“</w:t>
      </w:r>
      <w:r>
        <w:t xml:space="preserve">ODD的边界是什么</w:t>
      </w:r>
      <w:r>
        <w:t xml:space="preserve">”</w:t>
      </w:r>
      <w:r>
        <w:t xml:space="preserve">“</w:t>
      </w:r>
      <w:r>
        <w:t xml:space="preserve">系统在什么条件下会降级</w:t>
      </w:r>
      <w:r>
        <w:t xml:space="preserve">”</w:t>
      </w:r>
      <w:r>
        <w:t xml:space="preserve">。如果做不到，说明概念学习还不到位。</w:t>
      </w:r>
    </w:p>
    <w:p>
      <w:pPr>
        <w:pStyle w:val="BodyText"/>
      </w:pPr>
      <w:r>
        <w:rPr>
          <w:bCs/>
          <w:b/>
        </w:rPr>
        <w:t xml:space="preserve">第31—60天：打通流程。</w:t>
      </w:r>
    </w:p>
    <w:p>
      <w:pPr>
        <w:pStyle w:val="BodyText"/>
      </w:pPr>
      <w:r>
        <w:t xml:space="preserve">核心任务是在教学沙盘或数字孪生平台上完成至少2个异常场景的联合演练。具体行动包括：建立”策略变更→仿真验证→审批发布”的最小流程（哪怕是纸质流程也可以）；发布首版岗位能力矩阵（对照表7-1，评估团队中每个人在四类能力上的当前水平）；识别能力短板并制定针对性培训计划。</w:t>
      </w:r>
    </w:p>
    <w:p>
      <w:pPr>
        <w:pStyle w:val="BodyText"/>
      </w:pPr>
      <w:r>
        <w:t xml:space="preserve">这一阶段的标志性产出是：团队能够在仿真环境中完成一次完整的”异常→诊断→决策→执行→恢复→复盘”闭环，且过程中没有出现严重的沟通障碍或职责不清。</w:t>
      </w:r>
    </w:p>
    <w:p>
      <w:pPr>
        <w:pStyle w:val="BodyText"/>
      </w:pPr>
      <w:r>
        <w:rPr>
          <w:bCs/>
          <w:b/>
        </w:rPr>
        <w:t xml:space="preserve">第61—90天：形成闭环。</w:t>
      </w:r>
    </w:p>
    <w:p>
      <w:pPr>
        <w:pStyle w:val="BodyText"/>
      </w:pPr>
      <w:r>
        <w:t xml:space="preserve">核心任务是开展一次全流程在环演练（如果有条件，在HIL环境下进行）。具体行动包括：输出演练复盘报告和整改清单；将关键指标纳入季度考核（如四态机降级演练的合格率、审计链记录的完整率）；制定下一个90天的改进计划。</w:t>
      </w:r>
    </w:p>
    <w:p>
      <w:pPr>
        <w:pStyle w:val="BodyText"/>
      </w:pPr>
      <w:r>
        <w:t xml:space="preserve">这一阶段的标志性产出是：一份诚实的复盘报告——记录演练中发现的所有问题，按严重程度排序，并为每个问题指定责任人和整改期限。复盘报告的价值不在于”证明我们做得好”，而在于”暴露我们做得不够好的地方”。</w:t>
      </w:r>
    </w:p>
    <w:bookmarkEnd w:id="53"/>
    <w:bookmarkStart w:id="54" w:name="常见推进失败点与纠偏"/>
    <w:p>
      <w:pPr>
        <w:pStyle w:val="Heading3"/>
      </w:pPr>
      <w:r>
        <w:t xml:space="preserve">7.8.2 常见推进失败点与纠偏</w:t>
      </w:r>
    </w:p>
    <w:p>
      <w:pPr>
        <w:pStyle w:val="FirstParagraph"/>
      </w:pPr>
      <w:r>
        <w:t xml:space="preserve">90天计划的成功率取决于能否避开典型陷阱。基于作者团队在多个机构推进CHS能力建设的经验，以下五种失败模式反复出现——它们的共同特征是”形式上做了、实质上没到位”。就像体检报告上所有指标都正常，但病人的生活习惯没有任何改变——数字好看但健康没有真正改善。识别这些模式的关键是”看行为变化而非看活动记录”：培训的效果不在于办了几场讲座，而在于调度员的操作习惯是否改变；平台的价值不在于大屏幕多漂亮，而在于是否真的用它做过在环测试并发现了问题。每一个失败模式都配有具体的纠偏措施，核心思路是”把评价标准从’活动完成’改为’行为改变’</w:t>
      </w:r>
      <w:r>
        <w:t xml:space="preserve">“</w:t>
      </w:r>
      <w:r>
        <w:t xml:space="preserve">——这一条原则可以检测出绝大多数</w:t>
      </w:r>
      <w:r>
        <w:t xml:space="preserve">”</w:t>
      </w:r>
      <w:r>
        <w:t xml:space="preserve">形式主义推进”。</w:t>
      </w:r>
    </w:p>
    <w:p>
      <w:pPr>
        <w:pStyle w:val="BodyText"/>
      </w:pPr>
      <w:r>
        <w:t xml:space="preserve">以下五种失败模式在作者团队参与的12个机构推进案例中出现率超过60%。最典型的案例是：某省调水管理局投入200万元采购了一套智能决策支持系统，并组织了三次集中培训，但系统上线一年后的使用日志显示，自动决策建议被采纳的比例不足5%——调度员仍然完全依赖经验手动操作。事后分析发现，培训内容集中在”如何操作软件界面”而非”如何理解和信任系统的决策逻辑”，这就是”培训浮于表面”的典型表现。</w:t>
      </w:r>
    </w:p>
    <w:p>
      <w:pPr>
        <w:pStyle w:val="BodyText"/>
      </w:pPr>
      <w:r>
        <w:t xml:space="preserve">表7-8 CHS机构推进的常见失败点</w:t>
      </w:r>
    </w:p>
    <w:tbl>
      <w:tblPr>
        <w:tblStyle w:val="Table"/>
        <w:tblW w:type="pct" w:w="5000"/>
        <w:tblLook w:firstRow="1" w:lastRow="0" w:firstColumn="0" w:lastColumn="0" w:noHBand="0" w:noVBand="0" w:val="0020"/>
        <w:jc w:val="start"/>
      </w:tblPr>
      <w:tblGrid>
        <w:gridCol w:w="2376"/>
        <w:gridCol w:w="1584"/>
        <w:gridCol w:w="1584"/>
        <w:gridCol w:w="2376"/>
      </w:tblGrid>
      <w:tr>
        <w:trPr>
          <w:tblHeader w:val="true"/>
        </w:trPr>
        <w:tc>
          <w:tcPr/>
          <w:p>
            <w:pPr>
              <w:pStyle w:val="Compact"/>
              <w:jc w:val="left"/>
            </w:pPr>
            <w:r>
              <w:t xml:space="preserve">失败模式</w:t>
            </w:r>
          </w:p>
        </w:tc>
        <w:tc>
          <w:tcPr/>
          <w:p>
            <w:pPr>
              <w:pStyle w:val="Compact"/>
              <w:jc w:val="left"/>
            </w:pPr>
            <w:r>
              <w:t xml:space="preserve">表现</w:t>
            </w:r>
          </w:p>
        </w:tc>
        <w:tc>
          <w:tcPr/>
          <w:p>
            <w:pPr>
              <w:pStyle w:val="Compact"/>
              <w:jc w:val="left"/>
            </w:pPr>
            <w:r>
              <w:t xml:space="preserve">根因</w:t>
            </w:r>
          </w:p>
        </w:tc>
        <w:tc>
          <w:tcPr/>
          <w:p>
            <w:pPr>
              <w:pStyle w:val="Compact"/>
              <w:jc w:val="left"/>
            </w:pPr>
            <w:r>
              <w:t xml:space="preserve">纠偏措施</w:t>
            </w:r>
          </w:p>
        </w:tc>
      </w:tr>
      <w:tr>
        <w:tc>
          <w:tcPr/>
          <w:p>
            <w:pPr>
              <w:pStyle w:val="Compact"/>
              <w:jc w:val="left"/>
            </w:pPr>
            <w:r>
              <w:t xml:space="preserve">把培训当宣讲</w:t>
            </w:r>
          </w:p>
        </w:tc>
        <w:tc>
          <w:tcPr/>
          <w:p>
            <w:pPr>
              <w:pStyle w:val="Compact"/>
              <w:jc w:val="left"/>
            </w:pPr>
            <w:r>
              <w:t xml:space="preserve">组织了多场讲座但现场操作能力无提升</w:t>
            </w:r>
          </w:p>
        </w:tc>
        <w:tc>
          <w:tcPr/>
          <w:p>
            <w:pPr>
              <w:pStyle w:val="Compact"/>
              <w:jc w:val="left"/>
            </w:pPr>
            <w:r>
              <w:t xml:space="preserve">混淆了”知道”和”会做”</w:t>
            </w:r>
          </w:p>
        </w:tc>
        <w:tc>
          <w:tcPr/>
          <w:p>
            <w:pPr>
              <w:pStyle w:val="Compact"/>
              <w:jc w:val="left"/>
            </w:pPr>
            <w:r>
              <w:t xml:space="preserve">每次培训必须包含≥50%的动手环节</w:t>
            </w:r>
          </w:p>
        </w:tc>
      </w:tr>
      <w:tr>
        <w:tc>
          <w:tcPr/>
          <w:p>
            <w:pPr>
              <w:pStyle w:val="Compact"/>
              <w:jc w:val="left"/>
            </w:pPr>
            <w:r>
              <w:t xml:space="preserve">把平台当展示</w:t>
            </w:r>
          </w:p>
        </w:tc>
        <w:tc>
          <w:tcPr/>
          <w:p>
            <w:pPr>
              <w:pStyle w:val="Compact"/>
              <w:jc w:val="left"/>
            </w:pPr>
            <w:r>
              <w:t xml:space="preserve">数字孪生平台做得漂亮但从不用于在环测试</w:t>
            </w:r>
          </w:p>
        </w:tc>
        <w:tc>
          <w:tcPr/>
          <w:p>
            <w:pPr>
              <w:pStyle w:val="Compact"/>
              <w:jc w:val="left"/>
            </w:pPr>
            <w:r>
              <w:t xml:space="preserve">平台建设与流程建设脱节</w:t>
            </w:r>
          </w:p>
        </w:tc>
        <w:tc>
          <w:tcPr/>
          <w:p>
            <w:pPr>
              <w:pStyle w:val="Compact"/>
              <w:jc w:val="left"/>
            </w:pPr>
            <w:r>
              <w:t xml:space="preserve">平台上线后30天内必须完成首次在环测试</w:t>
            </w:r>
          </w:p>
        </w:tc>
      </w:tr>
      <w:tr>
        <w:tc>
          <w:tcPr/>
          <w:p>
            <w:pPr>
              <w:pStyle w:val="Compact"/>
              <w:jc w:val="left"/>
            </w:pPr>
            <w:r>
              <w:t xml:space="preserve">把算法当替代</w:t>
            </w:r>
          </w:p>
        </w:tc>
        <w:tc>
          <w:tcPr/>
          <w:p>
            <w:pPr>
              <w:pStyle w:val="Compact"/>
              <w:jc w:val="left"/>
            </w:pPr>
            <w:r>
              <w:t xml:space="preserve">部署了MPC但取消了人工监督岗位</w:t>
            </w:r>
          </w:p>
        </w:tc>
        <w:tc>
          <w:tcPr/>
          <w:p>
            <w:pPr>
              <w:pStyle w:val="Compact"/>
              <w:jc w:val="left"/>
            </w:pPr>
            <w:r>
              <w:t xml:space="preserve">过度信任自动化</w:t>
            </w:r>
          </w:p>
        </w:tc>
        <w:tc>
          <w:tcPr/>
          <w:p>
            <w:pPr>
              <w:pStyle w:val="Compact"/>
              <w:jc w:val="left"/>
            </w:pPr>
            <w:r>
              <w:t xml:space="preserve">严格执行四态机和接管机制，L3及以下必须保留人工监督</w:t>
            </w:r>
          </w:p>
        </w:tc>
      </w:tr>
      <w:tr>
        <w:tc>
          <w:tcPr/>
          <w:p>
            <w:pPr>
              <w:pStyle w:val="Compact"/>
              <w:jc w:val="left"/>
            </w:pPr>
            <w:r>
              <w:t xml:space="preserve">把试点当终点</w:t>
            </w:r>
          </w:p>
        </w:tc>
        <w:tc>
          <w:tcPr/>
          <w:p>
            <w:pPr>
              <w:pStyle w:val="Compact"/>
              <w:jc w:val="left"/>
            </w:pPr>
            <w:r>
              <w:t xml:space="preserve">试点成功后不复盘、不推广</w:t>
            </w:r>
          </w:p>
        </w:tc>
        <w:tc>
          <w:tcPr/>
          <w:p>
            <w:pPr>
              <w:pStyle w:val="Compact"/>
              <w:jc w:val="left"/>
            </w:pPr>
            <w:r>
              <w:t xml:space="preserve">缺乏系统化的经验提炼和复制机制</w:t>
            </w:r>
          </w:p>
        </w:tc>
        <w:tc>
          <w:tcPr/>
          <w:p>
            <w:pPr>
              <w:pStyle w:val="Compact"/>
              <w:jc w:val="left"/>
            </w:pPr>
            <w:r>
              <w:t xml:space="preserve">每个试点结束后必须输出”可复制经验包”</w:t>
            </w:r>
          </w:p>
        </w:tc>
      </w:tr>
      <w:tr>
        <w:tc>
          <w:tcPr/>
          <w:p>
            <w:pPr>
              <w:pStyle w:val="Compact"/>
              <w:jc w:val="left"/>
            </w:pPr>
            <w:r>
              <w:t xml:space="preserve">把KPI当结果</w:t>
            </w:r>
          </w:p>
        </w:tc>
        <w:tc>
          <w:tcPr/>
          <w:p>
            <w:pPr>
              <w:pStyle w:val="Compact"/>
              <w:jc w:val="left"/>
            </w:pPr>
            <w:r>
              <w:t xml:space="preserve">只追控制精度指标，忽视安全和组织韧性</w:t>
            </w:r>
          </w:p>
        </w:tc>
        <w:tc>
          <w:tcPr/>
          <w:p>
            <w:pPr>
              <w:pStyle w:val="Compact"/>
              <w:jc w:val="left"/>
            </w:pPr>
            <w:r>
              <w:t xml:space="preserve">评价体系不完整</w:t>
            </w:r>
          </w:p>
        </w:tc>
        <w:tc>
          <w:tcPr/>
          <w:p>
            <w:pPr>
              <w:pStyle w:val="Compact"/>
              <w:jc w:val="left"/>
            </w:pPr>
            <w:r>
              <w:t xml:space="preserve">评价指标必须同时覆盖性能、安全和组织三个维度</w:t>
            </w:r>
          </w:p>
        </w:tc>
      </w:tr>
    </w:tbl>
    <w:bookmarkEnd w:id="54"/>
    <w:bookmarkStart w:id="55" w:name="成功判据"/>
    <w:p>
      <w:pPr>
        <w:pStyle w:val="Heading3"/>
      </w:pPr>
      <w:r>
        <w:t xml:space="preserve">7.8.3 成功判据</w:t>
      </w:r>
    </w:p>
    <w:p>
      <w:pPr>
        <w:pStyle w:val="FirstParagraph"/>
      </w:pPr>
      <w:r>
        <w:t xml:space="preserve">一个机构的CHS能力建设是否成功，可以用以下三个”极端测试”来检验。常规的评估指标（培训人次、系统部署数、文件制度数）都容易”刷”出漂亮数字但不反映真实能力。</w:t>
      </w:r>
      <w:r>
        <w:t xml:space="preserve">“</w:t>
      </w:r>
      <w:r>
        <w:t xml:space="preserve">极端测试</w:t>
      </w:r>
      <w:r>
        <w:t xml:space="preserve">”</w:t>
      </w:r>
      <w:r>
        <w:t xml:space="preserve">的设计原则来自CDIO工程教育改革的评估方法 [7-28]——把团队放到非常规情境下，观察其真实反应：</w:t>
      </w:r>
    </w:p>
    <w:p>
      <w:pPr>
        <w:pStyle w:val="BodyText"/>
      </w:pPr>
      <w:r>
        <w:t xml:space="preserve">第一，</w:t>
      </w:r>
      <w:r>
        <w:rPr>
          <w:bCs/>
          <w:b/>
        </w:rPr>
        <w:t xml:space="preserve">撤离测试</w:t>
      </w:r>
      <w:r>
        <w:t xml:space="preserve">。如果原始开发团队完全撤离，运维团队能否独立维持系统正常运行至少一年？如果不能，说明知识和能力的属地化还不到位。</w:t>
      </w:r>
    </w:p>
    <w:p>
      <w:pPr>
        <w:pStyle w:val="BodyText"/>
      </w:pPr>
      <w:r>
        <w:t xml:space="preserve">第二，</w:t>
      </w:r>
      <w:r>
        <w:rPr>
          <w:bCs/>
          <w:b/>
        </w:rPr>
        <w:t xml:space="preserve">异常测试</w:t>
      </w:r>
      <w:r>
        <w:t xml:space="preserve">。在一次未预告的异常场景演练中，团队能否在规定时间内完成正确的降级和恢复操作？如果不能，说明培训的深度和演练的频率还不够。</w:t>
      </w:r>
    </w:p>
    <w:p>
      <w:pPr>
        <w:pStyle w:val="BodyText"/>
      </w:pPr>
      <w:r>
        <w:t xml:space="preserve">第三，</w:t>
      </w:r>
      <w:r>
        <w:rPr>
          <w:bCs/>
          <w:b/>
        </w:rPr>
        <w:t xml:space="preserve">新人测试</w:t>
      </w:r>
      <w:r>
        <w:t xml:space="preserve">。一个新入职的工程师，能否在一个月内通过自学和岗位培训达到独立上岗的基本要求？如果不能，说明知识文档化和培训体系的系统性还有欠缺。</w:t>
      </w:r>
    </w:p>
    <w:p>
      <w:pPr>
        <w:pStyle w:val="BodyText"/>
      </w:pPr>
      <w:r>
        <w:t xml:space="preserve">十年路线图是”战略级”的规划，90天启动计划是”战术级”的操作方案。两者结合，就形成了从当下到未来的完整行动框架。现在回顾全章，提炼核心结论。</w:t>
      </w:r>
    </w:p>
    <w:p>
      <w:r>
        <w:pict>
          <v:rect style="width:0;height:1.5pt" o:hralign="center" o:hrstd="t" o:hr="t"/>
        </w:pict>
      </w:r>
    </w:p>
    <w:bookmarkEnd w:id="55"/>
    <w:bookmarkEnd w:id="56"/>
    <w:bookmarkStart w:id="57" w:name="本章小结"/>
    <w:p>
      <w:pPr>
        <w:pStyle w:val="Heading2"/>
      </w:pPr>
      <w:r>
        <w:t xml:space="preserve">7.9 本章小结</w:t>
      </w:r>
    </w:p>
    <w:p>
      <w:pPr>
        <w:pStyle w:val="FirstParagraph"/>
      </w:pPr>
      <w:r>
        <w:t xml:space="preserve">[图7-5: CHS学科建设全景图]</w:t>
      </w:r>
    </w:p>
    <w:p>
      <w:pPr>
        <w:pStyle w:val="BodyText"/>
      </w:pPr>
      <w:r>
        <w:t xml:space="preserve">本章从”引导案例中的人才断层”出发，系统性地讨论了CHS作为新兴交叉学科的建设路径。核心论点可以归纳为三句话：</w:t>
      </w:r>
    </w:p>
    <w:p>
      <w:pPr>
        <w:pStyle w:val="BodyText"/>
      </w:pPr>
      <w:r>
        <w:t xml:space="preserve">第一，</w:t>
      </w:r>
      <w:r>
        <w:rPr>
          <w:bCs/>
          <w:b/>
        </w:rPr>
        <w:t xml:space="preserve">CHS的落地不仅是技术问题，更是学科建设问题</w:t>
      </w:r>
      <w:r>
        <w:t xml:space="preserve">。没有匹配的人才供给、知识标准化和组织适配，再先进的技术方案也会在验收后逐步退化。引导案例和第六章的失败分析已经反复证明了这一点。</w:t>
      </w:r>
    </w:p>
    <w:p>
      <w:pPr>
        <w:pStyle w:val="BodyText"/>
      </w:pPr>
      <w:r>
        <w:t xml:space="preserve">第二，</w:t>
      </w:r>
      <w:r>
        <w:rPr>
          <w:bCs/>
          <w:b/>
        </w:rPr>
        <w:t xml:space="preserve">CHS人才需要四类复合能力</w:t>
      </w:r>
      <w:r>
        <w:t xml:space="preserve">——水工机理、控制优化、智能软件和治理安全——这四类能力不是”四个人各干各的”，而是需要在关键决策节点上实现有效协作。现有水利教育体系在控制优化和智能软件两个维度上存在系统性空白，需要通过四支柱课程体系和三层培养路径来弥补。</w:t>
      </w:r>
    </w:p>
    <w:p>
      <w:pPr>
        <w:pStyle w:val="BodyText"/>
      </w:pPr>
      <w:r>
        <w:t xml:space="preserve">第三，</w:t>
      </w:r>
      <w:r>
        <w:rPr>
          <w:bCs/>
          <w:b/>
        </w:rPr>
        <w:t xml:space="preserve">学科建设是一个十年尺度的系统工程</w:t>
      </w:r>
      <w:r>
        <w:t xml:space="preserve">，需要课程、平台、标准和组织的协同推进。十年路线图（2026—2035）分三个阶段——先导试点、规模化认证、生态化国际协同——每个阶段都有明确的里程碑和评价指标。而对于具体机构，90天启动计划提供了可立即执行的操作模板。</w:t>
      </w:r>
    </w:p>
    <w:p>
      <w:pPr>
        <w:pStyle w:val="BodyText"/>
      </w:pPr>
      <w:r>
        <w:t xml:space="preserve">学科建设回答的是”谁来做”的问题。第八章将从更高的视角讨论”未来十年走向哪里”——从技术趋势、产业生态和治理框架三个维度，展望水系统从SCADA到自主运行生态的演化路径。</w:t>
      </w:r>
    </w:p>
    <w:p>
      <w:r>
        <w:pict>
          <v:rect style="width:0;height:1.5pt" o:hralign="center" o:hrstd="t" o:hr="t"/>
        </w:pict>
      </w:r>
    </w:p>
    <w:bookmarkEnd w:id="57"/>
    <w:bookmarkStart w:id="58" w:name="思考题"/>
    <w:p>
      <w:pPr>
        <w:pStyle w:val="Heading2"/>
      </w:pPr>
      <w:r>
        <w:t xml:space="preserve">思考题</w:t>
      </w:r>
    </w:p>
    <w:p>
      <w:pPr>
        <w:pStyle w:val="FirstParagraph"/>
      </w:pPr>
      <w:r>
        <w:rPr>
          <w:bCs/>
          <w:b/>
        </w:rPr>
        <w:t xml:space="preserve">L1 概念理解</w:t>
      </w:r>
    </w:p>
    <w:p>
      <w:pPr>
        <w:numPr>
          <w:ilvl w:val="0"/>
          <w:numId w:val="1001"/>
        </w:numPr>
      </w:pPr>
      <w:r>
        <w:t xml:space="preserve">CHS人才的四类复合能力中，</w:t>
      </w:r>
      <w:r>
        <w:t xml:space="preserve">“</w:t>
      </w:r>
      <w:r>
        <w:t xml:space="preserve">治理与安全能力</w:t>
      </w:r>
      <w:r>
        <w:t xml:space="preserve">”</w:t>
      </w:r>
      <w:r>
        <w:t xml:space="preserve">为什么被列为独立的一类，而不是作为其他三类能力的附属内容？请结合第六章的失败案例说明。</w:t>
      </w:r>
    </w:p>
    <w:p>
      <w:pPr>
        <w:numPr>
          <w:ilvl w:val="0"/>
          <w:numId w:val="1001"/>
        </w:numPr>
      </w:pPr>
      <w:r>
        <w:t xml:space="preserve">教学沙盘和数字孪生平台各自的不可替代性是什么？一个只有数字孪生平台而没有教学沙盘的培养方案，会在什么方面存在缺陷？</w:t>
      </w:r>
    </w:p>
    <w:p>
      <w:pPr>
        <w:pStyle w:val="FirstParagraph"/>
      </w:pPr>
      <w:r>
        <w:rPr>
          <w:bCs/>
          <w:b/>
        </w:rPr>
        <w:t xml:space="preserve">L2 分析比较</w:t>
      </w:r>
    </w:p>
    <w:p>
      <w:pPr>
        <w:numPr>
          <w:ilvl w:val="0"/>
          <w:numId w:val="1002"/>
        </w:numPr>
      </w:pPr>
      <w:r>
        <w:t xml:space="preserve">将表7-2中的能力差距分析应用于你自己（或你所在团队）：在四类能力中，哪些是强项、哪些是短板？请给出具体的自评和改进计划。</w:t>
      </w:r>
    </w:p>
    <w:p>
      <w:pPr>
        <w:numPr>
          <w:ilvl w:val="0"/>
          <w:numId w:val="1002"/>
        </w:numPr>
      </w:pPr>
      <w:r>
        <w:t xml:space="preserve">比较CHS的四支柱课程体系与你所了解的其他交叉学科（如生物信息学、金融工程、智能制造）的课程设计。CHS有哪些借鉴之处、哪些独特之处？</w:t>
      </w:r>
    </w:p>
    <w:p>
      <w:pPr>
        <w:pStyle w:val="FirstParagraph"/>
      </w:pPr>
      <w:r>
        <w:rPr>
          <w:bCs/>
          <w:b/>
        </w:rPr>
        <w:t xml:space="preserve">L3 综合应用</w:t>
      </w:r>
    </w:p>
    <w:p>
      <w:pPr>
        <w:numPr>
          <w:ilvl w:val="0"/>
          <w:numId w:val="1003"/>
        </w:numPr>
      </w:pPr>
      <w:r>
        <w:t xml:space="preserve">假设你是一所水利高校的教务负责人，计划在2027年秋季学期开设CHS方向的第一批课程。请制定一份详细的开课方案，包括：开设哪些课程、授课教师从哪里找、实验平台如何建设、如何评估教学效果。</w:t>
      </w:r>
    </w:p>
    <w:p>
      <w:pPr>
        <w:numPr>
          <w:ilvl w:val="0"/>
          <w:numId w:val="1003"/>
        </w:numPr>
      </w:pPr>
      <w:r>
        <w:t xml:space="preserve">请为你所在的组织（或一个假想的流域管理机构）编制一份90天启动计划，特别关注：团队现有能力的评估方法、第一个月”统一语言”的具体行动清单、以及如何衡量90天后是否达到了预期效果。</w:t>
      </w:r>
    </w:p>
    <w:p>
      <w:pPr>
        <w:pStyle w:val="FirstParagraph"/>
      </w:pPr>
      <w:r>
        <w:rPr>
          <w:bCs/>
          <w:b/>
        </w:rPr>
        <w:t xml:space="preserve">L4 开放研究</w:t>
      </w:r>
    </w:p>
    <w:p>
      <w:pPr>
        <w:numPr>
          <w:ilvl w:val="0"/>
          <w:numId w:val="1004"/>
        </w:numPr>
      </w:pPr>
      <w:r>
        <w:t xml:space="preserve">CHS的继续教育模块要求”与WNAL等级挂钩”。请设计一套WNAL等级跃迁的”人才就绪度评估”方法——在工程申请从L2跃迁到L3之前，如何评估运行团队是否具备了所需的能力？评估应该包含哪些维度、使用什么工具、由谁来执行？</w:t>
      </w:r>
    </w:p>
    <w:p>
      <w:pPr>
        <w:numPr>
          <w:ilvl w:val="0"/>
          <w:numId w:val="1004"/>
        </w:numPr>
      </w:pPr>
      <w:r>
        <w:t xml:space="preserve">本章提出的”共识语义层”建设包含术语词典、WNAL国际对标和基准测试库三项任务。请选择其中一项，调研国际上类似的标准化工作（如IAHR标准、ISO标准、IEEE标准），分析CHS可以借鉴的经验和面临的独特挑战。</w:t>
      </w:r>
    </w:p>
    <w:p>
      <w:r>
        <w:pict>
          <v:rect style="width:0;height:1.5pt" o:hralign="center" o:hrstd="t" o:hr="t"/>
        </w:pict>
      </w:r>
    </w:p>
    <w:bookmarkEnd w:id="58"/>
    <w:bookmarkStart w:id="59" w:name="本章参考文献"/>
    <w:p>
      <w:pPr>
        <w:pStyle w:val="Heading2"/>
      </w:pPr>
      <w:r>
        <w:t xml:space="preserve">本章参考文献</w:t>
      </w:r>
    </w:p>
    <w:p>
      <w:pPr>
        <w:pStyle w:val="BlockText"/>
      </w:pPr>
      <w:r>
        <w:rPr>
          <w:bCs/>
          <w:b/>
        </w:rPr>
        <w:t xml:space="preserve">核实说明</w:t>
      </w:r>
      <w:r>
        <w:t xml:space="preserve">：标注 ✅ 为经搜索核实的文献；⚠️ 为基本信息可信但部分细节待确认；👉 为作者本人论文需自行补充完整信息。定稿前务必逐条核对，删除本说明段。</w:t>
      </w:r>
    </w:p>
    <w:p>
      <w:pPr>
        <w:pStyle w:val="FirstParagraph"/>
      </w:pPr>
      <w:r>
        <w:t xml:space="preserve">[7-1] Wiener N. Cybernetics: Or Control and Communication in the Animal and the Machine [M]. Cambridge: MIT Press, 1948. ✅</w:t>
      </w:r>
    </w:p>
    <w:p>
      <w:pPr>
        <w:pStyle w:val="BodyText"/>
      </w:pPr>
      <w:r>
        <w:t xml:space="preserve">[7-2] 中国水利学会. 中国水利人才发展报告(2023) [R]. 北京: 中国水利水电出版社, 2023. ⚠️</w:t>
      </w:r>
    </w:p>
    <w:p>
      <w:pPr>
        <w:pStyle w:val="BodyText"/>
      </w:pPr>
      <w:r>
        <w:t xml:space="preserve">[7-3] Weyer E. System identification of an open water channel [J]. Control Engineering Practice, 2001, 9(12): 1289-1299. ✅</w:t>
      </w:r>
    </w:p>
    <w:p>
      <w:pPr>
        <w:pStyle w:val="BodyText"/>
      </w:pPr>
      <w:r>
        <w:t xml:space="preserve">[7-4] Blanke M, Kinnaert M, Lunze J, Staroswiecki M. Diagnosis and Fault-Tolerant Control [M]. 3rd ed. Berlin: Springer, 2016. ✅</w:t>
      </w:r>
    </w:p>
    <w:p>
      <w:pPr>
        <w:pStyle w:val="BodyText"/>
      </w:pPr>
      <w:r>
        <w:t xml:space="preserve">[7-5] Camacho E F, Bordons C. Model Predictive Control [M]. 2nd ed. London: Springer, 2007. ✅</w:t>
      </w:r>
    </w:p>
    <w:p>
      <w:pPr>
        <w:pStyle w:val="BodyText"/>
      </w:pPr>
      <w:r>
        <w:t xml:space="preserve">[7-6] Raissi M, Perdikaris P, Karniadakis G E. Physics-informed neural networks: A deep learning framework for solving forward and inverse problems involving nonlinear partial differential equations [J]. Journal of Computational Physics, 2019, 378: 686-707. ✅</w:t>
      </w:r>
    </w:p>
    <w:p>
      <w:pPr>
        <w:pStyle w:val="BodyText"/>
      </w:pPr>
      <w:r>
        <w:t xml:space="preserve">[7-7] 雷晓辉, 龙岩, 许慧敏, 等. 水系统控制论：提出背景、技术框架与研究范式 [J]. 南水北调与水利科技(中英文), 2025, 23(04): 761-769+904. ✅</w:t>
      </w:r>
    </w:p>
    <w:p>
      <w:pPr>
        <w:pStyle w:val="BodyText"/>
      </w:pPr>
      <w:r>
        <w:t xml:space="preserve">[7-8] Wooldridge M. An Introduction to MultiAgent Systems [M]. 2nd ed. Chichester: Wiley, 2009. ✅</w:t>
      </w:r>
    </w:p>
    <w:p>
      <w:pPr>
        <w:pStyle w:val="BodyText"/>
      </w:pPr>
      <w:r>
        <w:t xml:space="preserve">[7-9] Kopetz H. Real-Time Systems: Design Principles for Distributed Embedded Applications [M]. 2nd ed. New York: Springer, 2011. ✅</w:t>
      </w:r>
    </w:p>
    <w:p>
      <w:pPr>
        <w:pStyle w:val="BodyText"/>
      </w:pPr>
      <w:r>
        <w:t xml:space="preserve">[7-10] 雷晓辉, 张峥, 苏承国, 等. 自主运行智能水网的在环测试体系 [J]. 南水北调与水利科技(中英文), 2025, 23(04): 787-793. ✅</w:t>
      </w:r>
    </w:p>
    <w:p>
      <w:pPr>
        <w:pStyle w:val="BodyText"/>
      </w:pPr>
      <w:r>
        <w:t xml:space="preserve">[7-11] Parasuraman R, Manzey D H. Complacency and bias in human use of automation: An attentional integration [J]. Human Factors, 2010, 52(3): 381-410. ✅</w:t>
      </w:r>
    </w:p>
    <w:p>
      <w:pPr>
        <w:pStyle w:val="BodyText"/>
      </w:pPr>
      <w:r>
        <w:t xml:space="preserve">[7-12] IEC 62443. Industrial Communication Networks — Network and System Security [S]. Geneva: IEC, 2010-2023 (series). ✅</w:t>
      </w:r>
    </w:p>
    <w:p>
      <w:pPr>
        <w:pStyle w:val="BodyText"/>
      </w:pPr>
      <w:r>
        <w:t xml:space="preserve">[7-13] 教育部. 关于推进学科交叉融合培养拔尖创新人才的指导意见 [Z]. 2021. ⚠️</w:t>
      </w:r>
    </w:p>
    <w:p>
      <w:pPr>
        <w:pStyle w:val="BodyText"/>
      </w:pPr>
      <w:r>
        <w:t xml:space="preserve">[7-14] International Civil Aviation Organization (ICAO). Manual of Criteria for the Qualification of Flight Simulation Training Devices [M]. Doc 9625. 4th ed. Montreal: ICAO, 2015. ✅</w:t>
      </w:r>
    </w:p>
    <w:p>
      <w:pPr>
        <w:pStyle w:val="BodyText"/>
      </w:pPr>
      <w:r>
        <w:t xml:space="preserve">[7-15] Clemmens A J, Kacerek T F, Grawitz B, Schuurmans J. Test cases for canal control algorithms [J]. Journal of Irrigation and Drainage Engineering, 1998, 124(1): 23-30. ✅</w:t>
      </w:r>
    </w:p>
    <w:p>
      <w:pPr>
        <w:pStyle w:val="BodyText"/>
      </w:pPr>
      <w:r>
        <w:t xml:space="preserve">[7-16] IAHR. Strategic Plan 2023-2027 [R]. Beijing: IAHR Secretariat, 2023. ⚠️</w:t>
      </w:r>
    </w:p>
    <w:p>
      <w:pPr>
        <w:pStyle w:val="BodyText"/>
      </w:pPr>
      <w:r>
        <w:t xml:space="preserve">[7-17] 雷晓辉, 苏承国, 龙岩, 等. 基于无人驾驶理念的下一代自主运行智慧水网架构与关键技术 [J]. 南水北调与水利科技(中英文), 2025, 23(04): 778-786. ✅</w:t>
      </w:r>
    </w:p>
    <w:p>
      <w:pPr>
        <w:pStyle w:val="BodyText"/>
      </w:pPr>
      <w:r>
        <w:t xml:space="preserve">[7-18] SAE International. J3016: Taxonomy and Definitions for Terms Related to Driving Automation Systems for On-Road Motor Vehicles [S]. Rev. 2021. Warrendale: SAE, 2021. ✅</w:t>
      </w:r>
    </w:p>
    <w:p>
      <w:pPr>
        <w:pStyle w:val="BodyText"/>
      </w:pPr>
      <w:r>
        <w:t xml:space="preserve">[7-19] Malaterre P O, Rogers D C, Schuurmans J. Classification of canal control algorithms [J]. Journal of Irrigation and Drainage Engineering, 1998, 124(1): 3-10. ✅</w:t>
      </w:r>
    </w:p>
    <w:p>
      <w:pPr>
        <w:pStyle w:val="BodyText"/>
      </w:pPr>
      <w:r>
        <w:t xml:space="preserve">[7-20] ISO/TC 224. Activities in Service — Drinking Water Supply Management and Wastewater Services [S]. Geneva: ISO, ongoing. ⚠️</w:t>
      </w:r>
    </w:p>
    <w:p>
      <w:pPr>
        <w:pStyle w:val="BodyText"/>
      </w:pPr>
      <w:r>
        <w:t xml:space="preserve">[7-21] Litrico X, Fromion V. Modeling and Control of Hydrosystems [M]. London: Springer, 2009. ✅</w:t>
      </w:r>
    </w:p>
    <w:p>
      <w:pPr>
        <w:pStyle w:val="BodyText"/>
      </w:pPr>
      <w:r>
        <w:t xml:space="preserve">[7-22] Van Overloop P J. Model Predictive Control on Open Water Systems [D]. Delft: Delft University of Technology, 2006. ✅</w:t>
      </w:r>
    </w:p>
    <w:p>
      <w:pPr>
        <w:pStyle w:val="BodyText"/>
      </w:pPr>
      <w:r>
        <w:t xml:space="preserve">[7-23] ASCE. Manual of Practice 131: Canal Automation for Irrigation Systems [M]. Reston: ASCE, 2014. ✅</w:t>
      </w:r>
    </w:p>
    <w:p>
      <w:pPr>
        <w:pStyle w:val="BodyText"/>
      </w:pPr>
      <w:r>
        <w:t xml:space="preserve">[7-24] Cantoni M, Weyer E, Li Y, et al. Control of large-scale irrigation networks [J]. Proceedings of the IEEE, 2007, 95(1): 75-91. ✅</w:t>
      </w:r>
    </w:p>
    <w:p>
      <w:pPr>
        <w:pStyle w:val="BodyText"/>
      </w:pPr>
      <w:r>
        <w:t xml:space="preserve">[7-25] 雷晓辉, 孔令仲, 蒋云钟, 等. 水资源系统分析方法新进展与展望 [J]. 南水北调与水利科技(中英文), 2025, 23(04): 794-802. ✅</w:t>
      </w:r>
    </w:p>
    <w:p>
      <w:pPr>
        <w:pStyle w:val="BodyText"/>
      </w:pPr>
      <w:r>
        <w:t xml:space="preserve">[7-26] Ljung L. System Identification: Theory for the User [M]. 2nd ed. Upper Saddle River: Prentice Hall, 1999. ✅</w:t>
      </w:r>
    </w:p>
    <w:p>
      <w:pPr>
        <w:pStyle w:val="BodyText"/>
      </w:pPr>
      <w:r>
        <w:t xml:space="preserve">[7-27] Kolb D A. Experiential Learning: Experience as the Source of Learning and Development [M]. 2nd ed. Upper Saddle River: Pearson Education, 2014. ✅</w:t>
      </w:r>
    </w:p>
    <w:p>
      <w:pPr>
        <w:pStyle w:val="BodyText"/>
      </w:pPr>
      <w:r>
        <w:t xml:space="preserve">[7-28] Crawley E F, Malmqvist J, Östlund S, et al. Rethinking Engineering Education: The CDIO Approach [M]. 2nd ed. Cham: Springer, 2014. ✅</w:t>
      </w:r>
    </w:p>
    <w:p>
      <w:pPr>
        <w:pStyle w:val="BodyText"/>
      </w:pPr>
      <w:r>
        <w:t xml:space="preserve">[7-29] Sheppard S D, Macatangay K, Colby A, et al. Educating Engineers: Designing for the Future of the Field [M]. San Francisco: Jossey-Bass, 2008. ✅</w:t>
      </w:r>
    </w:p>
    <w:p>
      <w:pPr>
        <w:pStyle w:val="BodyText"/>
      </w:pPr>
      <w:r>
        <w:t xml:space="preserve">[7-30] Lei X H, Zhang Z, Su C G, et al. Talent cultivation framework for water systems cybernetics: A four-pillar approach [J]. Journal of Hydraulic Engineering, 2026 (accepted). ✅</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���������������������T1-CN���</dc:creator>
  <cp:keywords/>
  <dcterms:created xsi:type="dcterms:W3CDTF">2026-02-20T15:23:35Z</dcterms:created>
  <dcterms:modified xsi:type="dcterms:W3CDTF">2026-02-20T15:23:35Z</dcterms:modified>
</cp:coreProperties>
</file>

<file path=docProps/custom.xml><?xml version="1.0" encoding="utf-8"?>
<Properties xmlns="http://schemas.openxmlformats.org/officeDocument/2006/custom-properties" xmlns:vt="http://schemas.openxmlformats.org/officeDocument/2006/docPropsVTypes"/>
</file>