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第二章-控制论视角下的水系统"/>
    <w:p>
      <w:pPr>
        <w:pStyle w:val="Heading1"/>
      </w:pPr>
      <w:r>
        <w:t xml:space="preserve">第二章 控制论视角下的水系统</w:t>
      </w:r>
    </w:p>
    <w:p>
      <w:r>
        <w:pict>
          <v:rect style="width:0;height:1.5pt" o:hralign="center" o:hrstd="t" o:hr="t"/>
        </w:pict>
      </w:r>
    </w:p>
    <w:p>
      <w:pPr>
        <w:pStyle w:val="BlockText"/>
      </w:pPr>
      <w:r>
        <w:rPr>
          <w:bCs/>
          <w:b/>
        </w:rPr>
        <w:t xml:space="preserve">引导案例：一次”看得见风险、来不及控制”的联调失效</w:t>
      </w:r>
    </w:p>
    <w:p>
      <w:pPr>
        <w:pStyle w:val="BlockText"/>
      </w:pPr>
      <w:r>
        <w:t xml:space="preserve">这是一个由多条长距离调水干线的真实运行事件综合提炼的典型场景。某长距离调水干线遭遇”多工况叠加”考验：白天，沿线城市的取水进入高峰时段；夜间，下游灌区启动集中补水；与此同时，上游来水因天气变化呈现日内大幅波动。调度中心的SCADA大屏上，各监测断面的水位曲线、数十座闸门的开度数据、多座泵站的运行参数实时刷新——数据”齐全到位”。</w:t>
      </w:r>
    </w:p>
    <w:p>
      <w:pPr>
        <w:pStyle w:val="BlockText"/>
      </w:pPr>
      <w:r>
        <w:t xml:space="preserve">然而，当天的联合调度仍然出现了三类问题。</w:t>
      </w:r>
      <w:r>
        <w:rPr>
          <w:bCs/>
          <w:b/>
        </w:rPr>
        <w:t xml:space="preserve">第一，超调</w:t>
      </w:r>
      <w:r>
        <w:t xml:space="preserve">——上游超前加大放水后，数十千米外的某下游断面在数小时后出现水位超调，峰值偏差逼近渠道设计超高的较高比例。</w:t>
      </w:r>
      <w:r>
        <w:rPr>
          <w:bCs/>
          <w:b/>
        </w:rPr>
        <w:t xml:space="preserve">第二，振荡</w:t>
      </w:r>
      <w:r>
        <w:t xml:space="preserve">——为抑制超调，调度员回调上游闸门，但由于水波传播时滞，回调效果尚未到达时下游已启动反向补偿，导致中游渠段水位出现持续数小时的往复振荡。</w:t>
      </w:r>
      <w:r>
        <w:rPr>
          <w:bCs/>
          <w:b/>
        </w:rPr>
        <w:t xml:space="preserve">第三，设备疲劳</w:t>
      </w:r>
      <w:r>
        <w:t xml:space="preserve">——为维持泵站出口水位稳定，部分泵站在一个工作班次内启停次数远超设计规范，综合能耗显著上升。</w:t>
      </w:r>
    </w:p>
    <w:p>
      <w:pPr>
        <w:pStyle w:val="BlockText"/>
      </w:pPr>
      <w:r>
        <w:t xml:space="preserve">事后复盘揭示了一个关键事实：问题既不在”无人值守”——当班调度员全程在岗；也不在”设备不智能”——SCADA系统运行正常。真正的症结在于</w:t>
      </w:r>
      <w:r>
        <w:rPr>
          <w:bCs/>
          <w:b/>
        </w:rPr>
        <w:t xml:space="preserve">系统缺乏统一的控制语言</w:t>
      </w:r>
      <w:r>
        <w:t xml:space="preserve">。监测系统能回答”发生了什么”，但没有任何子系统能稳定回答”为什么会发生”</w:t>
      </w:r>
      <w:r>
        <w:t xml:space="preserve">“</w:t>
      </w:r>
      <w:r>
        <w:t xml:space="preserve">当前动作何时生效、生效后偏移多少</w:t>
      </w:r>
      <w:r>
        <w:t xml:space="preserve">”</w:t>
      </w:r>
      <w:r>
        <w:t xml:space="preserve">“</w:t>
      </w:r>
      <w:r>
        <w:t xml:space="preserve">下一步各节点应如何协同动作</w:t>
      </w:r>
      <w:r>
        <w:t xml:space="preserve">”</w:t>
      </w:r>
      <w:r>
        <w:t xml:space="preserve">。调度员只能凭经验反复试探，形成”动作—等待—观察—再动作”的开环模式。用复盘会上的话说：</w:t>
      </w:r>
      <w:r>
        <w:t xml:space="preserve">“</w:t>
      </w:r>
      <w:r>
        <w:t xml:space="preserve">我们不缺数据，缺的是一套从数据到动作的翻译系统。</w:t>
      </w:r>
      <w:r>
        <w:t xml:space="preserve">”</w:t>
      </w:r>
    </w:p>
    <w:p>
      <w:pPr>
        <w:pStyle w:val="BlockText"/>
      </w:pPr>
      <w:r>
        <w:t xml:space="preserve">上述场景并非个例。类似的”多工况叠加→多节点失协→系统性能恶化”模式，在国内外多个长距离调水、灌区配水和城市供水系统中反复出现。它揭示了一个贯穿全球水利工程运行的基本矛盾：</w:t>
      </w:r>
      <w:r>
        <w:rPr>
          <w:bCs/>
          <w:b/>
        </w:rPr>
        <w:t xml:space="preserve">监测能力再强，若不转化为控制能力，系统依然是”睁眼盲飞”。</w:t>
      </w:r>
      <w:r>
        <w:t xml:space="preserve"> </w:t>
      </w:r>
      <w:r>
        <w:t xml:space="preserve">本章的任务，正是要把水系统从”设备集合”转化为”可分析、可综合、可验证、可治理”的控制对象——用控制论的语言，为水利工程建立从”看得见”到”管得住”的理论桥梁。</w:t>
      </w:r>
    </w:p>
    <w:p>
      <w:pPr>
        <w:pStyle w:val="FirstParagraph"/>
      </w:pPr>
      <w:r>
        <w:rPr>
          <w:bCs/>
          <w:b/>
        </w:rPr>
        <w:t xml:space="preserve">本章目标</w:t>
      </w:r>
      <w:r>
        <w:t xml:space="preserve">：帮助读者建立用控制论语言分析水利系统的基本能力。本章从控制论的学科源流出发，将水利系统形式化为标准的控制对象，揭示水系统区别于一般工业过程的五个控制本质，阐述经典控制框架在水系统中的工程映射，并建立从控制方法选型到异常工况处置的完整工程框架。读完本章，读者应能回答三个问题：水系统作为控制对象有哪些独特特性？经典控制论的核心思想如何映射到水利工程？CHS在控制论学科谱系中处于什么位置？</w:t>
      </w:r>
    </w:p>
    <w:p>
      <w:r>
        <w:pict>
          <v:rect style="width:0;height:1.5pt" o:hralign="center" o:hrstd="t" o:hr="t"/>
        </w:pict>
      </w:r>
    </w:p>
    <w:bookmarkStart w:id="23" w:name="控制论的学科源流与chs的定位"/>
    <w:p>
      <w:pPr>
        <w:pStyle w:val="Heading2"/>
      </w:pPr>
      <w:r>
        <w:t xml:space="preserve">2.1 控制论的学科源流与CHS的定位</w:t>
      </w:r>
    </w:p>
    <w:bookmarkStart w:id="20" w:name="从维纳到钱学森控制论的两条主线"/>
    <w:p>
      <w:pPr>
        <w:pStyle w:val="Heading3"/>
      </w:pPr>
      <w:r>
        <w:t xml:space="preserve">2.1.1 从维纳到钱学森：控制论的两条主线</w:t>
      </w:r>
    </w:p>
    <w:p>
      <w:pPr>
        <w:pStyle w:val="FirstParagraph"/>
      </w:pPr>
      <w:r>
        <w:t xml:space="preserve">理解CHS的理论根基，需要回到控制论的两位奠基人。</w:t>
      </w:r>
    </w:p>
    <w:p>
      <w:pPr>
        <w:pStyle w:val="BodyText"/>
      </w:pPr>
      <w:r>
        <w:t xml:space="preserve">1948年，诺伯特·维纳（Norbert Wiener）出版《控制论：或关于在动物和机器中控制和通信的科学》[2-1]，开创了控制论学科。维纳的核心洞见是：无论是生物神经系统、机器伺服系统还是社会组织，</w:t>
      </w:r>
      <w:r>
        <w:t xml:space="preserve">“</w:t>
      </w:r>
      <w:r>
        <w:t xml:space="preserve">通过反馈实现目标追踪</w:t>
      </w:r>
      <w:r>
        <w:t xml:space="preserve">”</w:t>
      </w:r>
      <w:r>
        <w:t xml:space="preserve">这一机制是共通的。维纳控制论的遗产是一套通用的数学语言——传递函数、反馈环路、稳定性判据——它使得不同领域的控制问题可以在同一框架下讨论。</w:t>
      </w:r>
    </w:p>
    <w:p>
      <w:pPr>
        <w:pStyle w:val="BodyText"/>
      </w:pPr>
      <w:r>
        <w:t xml:space="preserve">1954年，钱学森出版《工程控制论》[2-2]，将控制论从纯理论推向工程实践。钱学森的独特贡献在于：他不是简单地将维纳的理论应用于工程，而是从工程系统的特殊性出发，发展了一套面向复杂工程系统的控制方法论。钱学森特别强调了三点：其一，工程系统的”被控对象”往往是非线性、时变、多变量的，不能简单套用线性理论；其二，工程控制必须考虑约束——物理极限、安全边界、经济成本——而非在无约束条件下追求理论最优；其三，大系统的控制必须分层——底层快速响应、上层全局协调——因为单一控制器无法同时兼顾速度和全局性。</w:t>
      </w:r>
    </w:p>
    <w:p>
      <w:pPr>
        <w:pStyle w:val="BodyText"/>
      </w:pPr>
      <w:r>
        <w:t xml:space="preserve">这两条主线——维纳的”通用控制论”和钱学森的”工程控制论”——构成了CHS的双重理论根基。</w:t>
      </w:r>
    </w:p>
    <w:bookmarkEnd w:id="20"/>
    <w:bookmarkStart w:id="21" w:name="chs面向水利基础设施的领域控制论"/>
    <w:p>
      <w:pPr>
        <w:pStyle w:val="Heading3"/>
      </w:pPr>
      <w:r>
        <w:t xml:space="preserve">2.1.2 CHS：面向水利基础设施的领域控制论</w:t>
      </w:r>
    </w:p>
    <w:p>
      <w:pPr>
        <w:pStyle w:val="FirstParagraph"/>
      </w:pPr>
      <w:r>
        <w:t xml:space="preserve">控制论诞生七十余年来，已在航空航天、化工过程、电力系统、机器人等领域催生了成熟的分支学科。航空航天领域的飞行控制理论、化工领域的过程控制理论、电力领域的电力系统自动化——每一个分支都是将通用控制论与特定领域的物理特性和工程需求相结合的产物。</w:t>
      </w:r>
    </w:p>
    <w:p>
      <w:pPr>
        <w:pStyle w:val="BodyText"/>
      </w:pPr>
      <w:r>
        <w:t xml:space="preserve">然而，水利领域长期缺席这一进程。下表对比了控制论在各工程领域的发展情况：</w:t>
      </w:r>
    </w:p>
    <w:tbl>
      <w:tblPr>
        <w:tblStyle w:val="Table"/>
        <w:tblW w:type="pct" w:w="5000"/>
        <w:tblLook w:firstRow="1" w:lastRow="0" w:firstColumn="0" w:lastColumn="0" w:noHBand="0" w:noVBand="0" w:val="0020"/>
        <w:jc w:val="start"/>
      </w:tblPr>
      <w:tblGrid>
        <w:gridCol w:w="1738"/>
        <w:gridCol w:w="2124"/>
        <w:gridCol w:w="1738"/>
        <w:gridCol w:w="2318"/>
      </w:tblGrid>
      <w:tr>
        <w:trPr>
          <w:tblHeader w:val="true"/>
        </w:trPr>
        <w:tc>
          <w:tcPr/>
          <w:p>
            <w:pPr>
              <w:pStyle w:val="Compact"/>
              <w:jc w:val="left"/>
            </w:pPr>
            <w:r>
              <w:t xml:space="preserve">工程领域</w:t>
            </w:r>
          </w:p>
        </w:tc>
        <w:tc>
          <w:tcPr/>
          <w:p>
            <w:pPr>
              <w:pStyle w:val="Compact"/>
              <w:jc w:val="left"/>
            </w:pPr>
            <w:r>
              <w:t xml:space="preserve">控制论分支</w:t>
            </w:r>
          </w:p>
        </w:tc>
        <w:tc>
          <w:tcPr/>
          <w:p>
            <w:pPr>
              <w:pStyle w:val="Compact"/>
              <w:jc w:val="left"/>
            </w:pPr>
            <w:r>
              <w:t xml:space="preserve">发展标志</w:t>
            </w:r>
          </w:p>
        </w:tc>
        <w:tc>
          <w:tcPr/>
          <w:p>
            <w:pPr>
              <w:pStyle w:val="Compact"/>
              <w:jc w:val="left"/>
            </w:pPr>
            <w:r>
              <w:t xml:space="preserve">被控对象特征</w:t>
            </w:r>
          </w:p>
        </w:tc>
      </w:tr>
      <w:tr>
        <w:tc>
          <w:tcPr/>
          <w:p>
            <w:pPr>
              <w:pStyle w:val="Compact"/>
              <w:jc w:val="left"/>
            </w:pPr>
            <w:r>
              <w:t xml:space="preserve">航空航天</w:t>
            </w:r>
          </w:p>
        </w:tc>
        <w:tc>
          <w:tcPr/>
          <w:p>
            <w:pPr>
              <w:pStyle w:val="Compact"/>
              <w:jc w:val="left"/>
            </w:pPr>
            <w:r>
              <w:t xml:space="preserve">飞行控制论</w:t>
            </w:r>
          </w:p>
        </w:tc>
        <w:tc>
          <w:tcPr/>
          <w:p>
            <w:pPr>
              <w:pStyle w:val="Compact"/>
              <w:jc w:val="left"/>
            </w:pPr>
            <w:r>
              <w:t xml:space="preserve">1950年代起</w:t>
            </w:r>
          </w:p>
        </w:tc>
        <w:tc>
          <w:tcPr/>
          <w:p>
            <w:pPr>
              <w:pStyle w:val="Compact"/>
              <w:jc w:val="left"/>
            </w:pPr>
            <w:r>
              <w:t xml:space="preserve">高速、强非线性、严格安全要求</w:t>
            </w:r>
          </w:p>
        </w:tc>
      </w:tr>
      <w:tr>
        <w:tc>
          <w:tcPr/>
          <w:p>
            <w:pPr>
              <w:pStyle w:val="Compact"/>
              <w:jc w:val="left"/>
            </w:pPr>
            <w:r>
              <w:t xml:space="preserve">化工过程</w:t>
            </w:r>
          </w:p>
        </w:tc>
        <w:tc>
          <w:tcPr/>
          <w:p>
            <w:pPr>
              <w:pStyle w:val="Compact"/>
              <w:jc w:val="left"/>
            </w:pPr>
            <w:r>
              <w:t xml:space="preserve">过程控制论</w:t>
            </w:r>
          </w:p>
        </w:tc>
        <w:tc>
          <w:tcPr/>
          <w:p>
            <w:pPr>
              <w:pStyle w:val="Compact"/>
              <w:jc w:val="left"/>
            </w:pPr>
            <w:r>
              <w:t xml:space="preserve">1960年代起</w:t>
            </w:r>
          </w:p>
        </w:tc>
        <w:tc>
          <w:tcPr/>
          <w:p>
            <w:pPr>
              <w:pStyle w:val="Compact"/>
              <w:jc w:val="left"/>
            </w:pPr>
            <w:r>
              <w:t xml:space="preserve">多变量、多约束、连续生产</w:t>
            </w:r>
          </w:p>
        </w:tc>
      </w:tr>
      <w:tr>
        <w:tc>
          <w:tcPr/>
          <w:p>
            <w:pPr>
              <w:pStyle w:val="Compact"/>
              <w:jc w:val="left"/>
            </w:pPr>
            <w:r>
              <w:t xml:space="preserve">电力系统</w:t>
            </w:r>
          </w:p>
        </w:tc>
        <w:tc>
          <w:tcPr/>
          <w:p>
            <w:pPr>
              <w:pStyle w:val="Compact"/>
              <w:jc w:val="left"/>
            </w:pPr>
            <w:r>
              <w:t xml:space="preserve">电力系统控制</w:t>
            </w:r>
          </w:p>
        </w:tc>
        <w:tc>
          <w:tcPr/>
          <w:p>
            <w:pPr>
              <w:pStyle w:val="Compact"/>
              <w:jc w:val="left"/>
            </w:pPr>
            <w:r>
              <w:t xml:space="preserve">1970年代起</w:t>
            </w:r>
          </w:p>
        </w:tc>
        <w:tc>
          <w:tcPr/>
          <w:p>
            <w:pPr>
              <w:pStyle w:val="Compact"/>
              <w:jc w:val="left"/>
            </w:pPr>
            <w:r>
              <w:t xml:space="preserve">大规模互联、实时平衡、高可靠性</w:t>
            </w:r>
          </w:p>
        </w:tc>
      </w:tr>
      <w:tr>
        <w:tc>
          <w:tcPr/>
          <w:p>
            <w:pPr>
              <w:pStyle w:val="Compact"/>
              <w:jc w:val="left"/>
            </w:pPr>
            <w:r>
              <w:t xml:space="preserve">机器人</w:t>
            </w:r>
          </w:p>
        </w:tc>
        <w:tc>
          <w:tcPr/>
          <w:p>
            <w:pPr>
              <w:pStyle w:val="Compact"/>
              <w:jc w:val="left"/>
            </w:pPr>
            <w:r>
              <w:t xml:space="preserve">机器人控制论</w:t>
            </w:r>
          </w:p>
        </w:tc>
        <w:tc>
          <w:tcPr/>
          <w:p>
            <w:pPr>
              <w:pStyle w:val="Compact"/>
              <w:jc w:val="left"/>
            </w:pPr>
            <w:r>
              <w:t xml:space="preserve">1980年代起</w:t>
            </w:r>
          </w:p>
        </w:tc>
        <w:tc>
          <w:tcPr/>
          <w:p>
            <w:pPr>
              <w:pStyle w:val="Compact"/>
              <w:jc w:val="left"/>
            </w:pPr>
            <w:r>
              <w:t xml:space="preserve">多自由度、人机交互、环境感知</w:t>
            </w:r>
          </w:p>
        </w:tc>
      </w:tr>
      <w:tr>
        <w:tc>
          <w:tcPr/>
          <w:p>
            <w:pPr>
              <w:pStyle w:val="Compact"/>
              <w:jc w:val="left"/>
            </w:pPr>
            <w:r>
              <w:t xml:space="preserve">自动驾驶</w:t>
            </w:r>
          </w:p>
        </w:tc>
        <w:tc>
          <w:tcPr/>
          <w:p>
            <w:pPr>
              <w:pStyle w:val="Compact"/>
              <w:jc w:val="left"/>
            </w:pPr>
            <w:r>
              <w:t xml:space="preserve">车辆自主控制</w:t>
            </w:r>
          </w:p>
        </w:tc>
        <w:tc>
          <w:tcPr/>
          <w:p>
            <w:pPr>
              <w:pStyle w:val="Compact"/>
              <w:jc w:val="left"/>
            </w:pPr>
            <w:r>
              <w:t xml:space="preserve">2010年代起</w:t>
            </w:r>
          </w:p>
        </w:tc>
        <w:tc>
          <w:tcPr/>
          <w:p>
            <w:pPr>
              <w:pStyle w:val="Compact"/>
              <w:jc w:val="left"/>
            </w:pPr>
            <w:r>
              <w:t xml:space="preserve">复杂环境感知、分级自主、安全验证</w:t>
            </w:r>
          </w:p>
        </w:tc>
      </w:tr>
      <w:tr>
        <w:tc>
          <w:tcPr/>
          <w:p>
            <w:pPr>
              <w:pStyle w:val="Compact"/>
              <w:jc w:val="left"/>
            </w:pPr>
            <w:r>
              <w:rPr>
                <w:bCs/>
                <w:b/>
              </w:rPr>
              <w:t xml:space="preserve">水利工程</w:t>
            </w:r>
          </w:p>
        </w:tc>
        <w:tc>
          <w:tcPr/>
          <w:p>
            <w:pPr>
              <w:pStyle w:val="Compact"/>
              <w:jc w:val="left"/>
            </w:pPr>
            <w:r>
              <w:rPr>
                <w:bCs/>
                <w:b/>
              </w:rPr>
              <w:t xml:space="preserve">CHS（水系统控制论）</w:t>
            </w:r>
          </w:p>
        </w:tc>
        <w:tc>
          <w:tcPr/>
          <w:p>
            <w:pPr>
              <w:pStyle w:val="Compact"/>
              <w:jc w:val="left"/>
            </w:pPr>
            <w:r>
              <w:rPr>
                <w:bCs/>
                <w:b/>
              </w:rPr>
              <w:t xml:space="preserve">2020年代起</w:t>
            </w:r>
          </w:p>
        </w:tc>
        <w:tc>
          <w:tcPr/>
          <w:p>
            <w:pPr>
              <w:pStyle w:val="Compact"/>
              <w:jc w:val="left"/>
            </w:pPr>
            <w:r>
              <w:rPr>
                <w:bCs/>
                <w:b/>
              </w:rPr>
              <w:t xml:space="preserve">大时滞、强耦合、强约束、公共安全属性</w:t>
            </w:r>
          </w:p>
        </w:tc>
      </w:tr>
    </w:tbl>
    <w:p>
      <w:pPr>
        <w:pStyle w:val="BodyText"/>
      </w:pPr>
      <w:r>
        <w:t xml:space="preserve">水利领域控制论发展滞后并非偶然。早在1969年，Wylie [2-24] 就率先将瞬变分析方法引入明渠水流控制，这是水利控制领域的开创性工作。此后三十年间，Malaterre等 [2-25] 在1998年系统梳理了渠道控制算法的分类体系，成为后续研究的重要基准。然而，正如Litrico和Fromion [2-5] 在其经典著作《水力系统的建模与控制》中指出的，水力系统的分布参数特性（由偏微分方程描述）、长距离传播时滞和复杂的边界条件，使得经典控制理论的直接套用面临根本性困难。Cantoni等 [2-20] 在《Proceedings of the IEEE》上的综述也表明，直到21世纪初，国际灌溉渠道控制领域仍在努力解决”如何将经典控制方法适配到明渠系统”的基础问题。</w:t>
      </w:r>
    </w:p>
    <w:p>
      <w:pPr>
        <w:pStyle w:val="BodyText"/>
      </w:pPr>
      <w:r>
        <w:t xml:space="preserve">CHS的定位是：</w:t>
      </w:r>
      <w:r>
        <w:rPr>
          <w:bCs/>
          <w:b/>
        </w:rPr>
        <w:t xml:space="preserve">不是给水利”加一个算法层”，而是建立水利基础设施自主运行的领域控制论</w:t>
      </w:r>
      <w:r>
        <w:t xml:space="preserve"> </w:t>
      </w:r>
      <w:r>
        <w:t xml:space="preserve">[2-21]。它继承维纳控制论的数学语言（传递函数、反馈、稳定性），发扬钱学森工程控制论的系统方法（分层、约束、大系统分解），并针对水利系统的独特特性——大时滞、强耦合、强约束、公共安全属性——发展专门化的理论和方法。雷晓辉等 [2-23] 进一步借鉴自动驾驶理念，提出了下一代自主运行智慧水网的架构与关键技术路线。如果用一句话概括CHS与前辈学科的关系：</w:t>
      </w:r>
      <w:r>
        <w:rPr>
          <w:bCs/>
          <w:b/>
        </w:rPr>
        <w:t xml:space="preserve">维纳给出了”反馈”的通用语言，钱学森给出了”工程系统”的控制方法论，CHS则将这两者具体化为”水利基础设施如何自主运行”的完整理论体系。</w:t>
      </w:r>
    </w:p>
    <w:bookmarkEnd w:id="21"/>
    <w:bookmarkStart w:id="22" w:name="从建设优先到运行优先认知范式的转变"/>
    <w:p>
      <w:pPr>
        <w:pStyle w:val="Heading3"/>
      </w:pPr>
      <w:r>
        <w:t xml:space="preserve">2.1.3 从”建设优先”到”运行优先”：认知范式的转变</w:t>
      </w:r>
    </w:p>
    <w:p>
      <w:pPr>
        <w:pStyle w:val="FirstParagraph"/>
      </w:pPr>
      <w:r>
        <w:t xml:space="preserve">过去数十年，中国水利工程的发展主线是”建设优先、运行补齐”：先解决有没有，再解决好不好。这一战略在基础设施短缺时期是正确的——中国已建成各类水库约9.8万座、堤防约33万千米、有效灌溉面积约6,900万公顷 [2-3]，南水北调东中线、引江济淮、胶东调水等大型跨流域调水工程相继建成运行。工程规模世界领先，但运行管理水平与之不匹配——正如第一章所述，这一差距已成为制约水利现代化的核心瓶颈。</w:t>
      </w:r>
    </w:p>
    <w:p>
      <w:pPr>
        <w:pStyle w:val="BodyText"/>
      </w:pPr>
      <w:r>
        <w:t xml:space="preserve">随着基础设施建设趋于成熟，认知范式必须转变：从”建设优先”转向”运行优先”。这一转变的驱动力，第一章已从宏观层面做了阐述（§1.3.3五重驱动力）。本节从微观的控制论视角，进一步揭示运行管理系统遭遇的四重瓶颈——引导案例中的调度失效正是这四重瓶颈的集中体现：</w:t>
      </w:r>
    </w:p>
    <w:p>
      <w:pPr>
        <w:pStyle w:val="BodyText"/>
      </w:pPr>
      <w:r>
        <w:rPr>
          <w:bCs/>
          <w:b/>
        </w:rPr>
        <w:t xml:space="preserve">目标多元化。</w:t>
      </w:r>
      <w:r>
        <w:t xml:space="preserve"> </w:t>
      </w:r>
      <w:r>
        <w:t xml:space="preserve">供水、防洪、发电、生态、航运目标并存，且常常冲突。南水北调中线总干渠同时承担向沿线城市供水、向地下水超采区补水和维持生态基流的任务 [2-4]；梯级水电站在汛期面临发电效益与泄洪安全的尖锐矛盾，已有系统性研究回顾了梯级水库群联合调度的关键技术及其发展方向 [2-22]。传统的单目标调度规程无法处理这种多目标权衡——它需要一个能够同时表达和优化多个目标的数学框架。</w:t>
      </w:r>
    </w:p>
    <w:p>
      <w:pPr>
        <w:pStyle w:val="BodyText"/>
      </w:pPr>
      <w:r>
        <w:rPr>
          <w:bCs/>
          <w:b/>
        </w:rPr>
        <w:t xml:space="preserve">运行高频化。</w:t>
      </w:r>
      <w:r>
        <w:t xml:space="preserve"> </w:t>
      </w:r>
      <w:r>
        <w:t xml:space="preserve">从传统的”班次调度”（每8小时一次决策）转向”分钟级滚动调度”。以胶东调水干线为例，梯级泵站每15分钟更新一次水位目标，闸门调节频率达到每5分钟一次 [2-6]。这意味着调度决策的时间窗口极大压缩，人工凭经验做出最优决策的能力受到根本挑战——它需要能够快速求解的自动控制算法。</w:t>
      </w:r>
    </w:p>
    <w:p>
      <w:pPr>
        <w:pStyle w:val="BodyText"/>
      </w:pPr>
      <w:r>
        <w:rPr>
          <w:bCs/>
          <w:b/>
        </w:rPr>
        <w:t xml:space="preserve">风险耦合化。</w:t>
      </w:r>
      <w:r>
        <w:t xml:space="preserve"> </w:t>
      </w:r>
      <w:r>
        <w:t xml:space="preserve">极端天气事件频发、老旧设备退化与人为误操作叠加，形成复合风险。一个泵站的跳闸可能引发上游渠道水位急升，进而触发相邻闸门的连锁保护动作。这种”多米诺效应”在单体设备层面是不可见的——它需要从系统层面建立耦合模型才能预判和预防。</w:t>
      </w:r>
    </w:p>
    <w:p>
      <w:pPr>
        <w:pStyle w:val="BodyText"/>
      </w:pPr>
      <w:r>
        <w:rPr>
          <w:bCs/>
          <w:b/>
        </w:rPr>
        <w:t xml:space="preserve">责任显性化。</w:t>
      </w:r>
      <w:r>
        <w:t xml:space="preserve"> </w:t>
      </w:r>
      <w:r>
        <w:t xml:space="preserve">监管要求从”结果合规”走向”过程可审计”。水利部近年推行的标准化管理体系要求调度决策有据可查、过程可追溯。这意味着不仅要知道”做了什么”，还要解释”为什么这样做”</w:t>
      </w:r>
      <w:r>
        <w:t xml:space="preserve">“</w:t>
      </w:r>
      <w:r>
        <w:t xml:space="preserve">不这样做会怎样</w:t>
      </w:r>
      <w:r>
        <w:t xml:space="preserve">”</w:t>
      </w:r>
      <w:r>
        <w:t xml:space="preserve">——只有在控制论框架下才能系统地回答这些问题。</w:t>
      </w:r>
    </w:p>
    <w:p>
      <w:pPr>
        <w:pStyle w:val="BodyText"/>
      </w:pPr>
      <w:r>
        <w:t xml:space="preserve">这四重瓶颈共同指向一个结论：水系统运行方法必须从经验驱动走向”模型—数据—规则”协同驱动。控制论为此提供的不是”一个算法”，而是一整套运行组织方法：首先，把复杂对象统一抽象为标准的数学结构，使得不同类型的水系统可以用同一套语言讨论；其次，把不确定过程纳入闭环反馈，使系统具备自动纠偏能力；最后，把安全边界内嵌到控制决策过程中，而非事后报警。</w:t>
      </w:r>
    </w:p>
    <w:p>
      <w:pPr>
        <w:pStyle w:val="BlockText"/>
      </w:pPr>
      <w:r>
        <w:t xml:space="preserve">图2-1: 水系统状态—输入—输出—扰动框图。图示内容：中央方框标注”水利系统</w:t>
      </w:r>
      <w:r>
        <w:t xml:space="preserve"> </w:t>
      </w:r>
      <m:oMath>
        <m:r>
          <m:t>f</m:t>
        </m:r>
        <m:d>
          <m:dPr>
            <m:begChr m:val="("/>
            <m:endChr m:val=")"/>
            <m:sepChr m:val=""/>
            <m:grow/>
          </m:dPr>
          <m:e>
            <m:r>
              <m:rPr>
                <m:sty m:val="p"/>
              </m:rPr>
              <m:t>⋅</m:t>
            </m:r>
          </m:e>
        </m:d>
      </m:oMath>
      <w:r>
        <w:t xml:space="preserve">“</w:t>
      </w:r>
      <w:r>
        <w:t xml:space="preserve">，左侧输入箭头标注</w:t>
      </w:r>
      <w:r>
        <w:t xml:space="preserve">”</w:t>
      </w:r>
      <m:oMath>
        <m:sSub>
          <m:e>
            <m:r>
              <m:t>u</m:t>
            </m:r>
          </m:e>
          <m:sub>
            <m:r>
              <m:t>k</m:t>
            </m:r>
          </m:sub>
        </m:sSub>
      </m:oMath>
      <w:r>
        <w:t xml:space="preserve">：闸门/泵站控制”，上方输入箭头标注”</w:t>
      </w:r>
      <m:oMath>
        <m:sSub>
          <m:e>
            <m:r>
              <m:t>d</m:t>
            </m:r>
          </m:e>
          <m:sub>
            <m:r>
              <m:t>k</m:t>
            </m:r>
          </m:sub>
        </m:sSub>
      </m:oMath>
      <w:r>
        <w:t xml:space="preserve">：降雨/取水扰动”，右侧输出箭头标注”</w:t>
      </w:r>
      <m:oMath>
        <m:sSub>
          <m:e>
            <m:r>
              <m:t>y</m:t>
            </m:r>
          </m:e>
          <m:sub>
            <m:r>
              <m:t>k</m:t>
            </m:r>
          </m:sub>
        </m:sSub>
      </m:oMath>
      <w:r>
        <w:t xml:space="preserve">：水位/流量观测”，底部虚线箭头标注”</w:t>
      </w:r>
      <m:oMath>
        <m:sSub>
          <m:e>
            <m:r>
              <m:t>θ</m:t>
            </m:r>
          </m:e>
          <m:sub>
            <m:r>
              <m:t>k</m:t>
            </m:r>
          </m:sub>
        </m:sSub>
      </m:oMath>
      <w:r>
        <w:t xml:space="preserve">：慢变参数（糙率/效率）</w:t>
      </w:r>
      <w:r>
        <w:t xml:space="preserve">“</w:t>
      </w:r>
      <w:r>
        <w:t xml:space="preserve">，输出端叠加噪声</w:t>
      </w:r>
      <w:r>
        <w:t xml:space="preserve">”</w:t>
      </w:r>
      <m:oMath>
        <m:sSub>
          <m:e>
            <m:r>
              <m:t>v</m:t>
            </m:r>
          </m:e>
          <m:sub>
            <m:r>
              <m:t>k</m:t>
            </m:r>
          </m:sub>
        </m:sSub>
      </m:oMath>
      <w:r>
        <w:t xml:space="preserve">“</w:t>
      </w:r>
      <w:r>
        <w:t xml:space="preserve">。反馈回路从输出端经</w:t>
      </w:r>
      <w:r>
        <w:t xml:space="preserve">”</w:t>
      </w:r>
      <w:r>
        <w:t xml:space="preserve">控制器”方框返回输入端。整体布局采用经典控制框图风格。</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2.2 水系统控制对象的形式化描述</w:t>
            </w:r>
          </w:p>
        </w:tc>
      </w:tr>
      <w:tr>
        <w:tc>
          <w:tcPr/>
          <w:p>
            <w:pPr>
              <w:pStyle w:val="Compact"/>
              <w:jc w:val="left"/>
            </w:pPr>
            <w:r>
              <w:t xml:space="preserve">### 2.2.1 状态—输入—输出—扰动四元组</w:t>
            </w:r>
          </w:p>
        </w:tc>
      </w:tr>
      <w:tr>
        <w:tc>
          <w:tcPr/>
          <w:p>
            <w:pPr>
              <w:pStyle w:val="Compact"/>
              <w:jc w:val="left"/>
            </w:pPr>
            <w:r>
              <w:t xml:space="preserve">控制论研究的第一步是将被控对象形式化。将水网表示为离散时间非线性系统：</w:t>
            </w:r>
          </w:p>
        </w:tc>
      </w:tr>
      <w:tr>
        <w:tc>
          <w:tcPr/>
          <w:p>
            <w:pPr>
              <w:pStyle w:val="Compact"/>
              <w:jc w:val="left"/>
            </w:pPr>
            <m:oMathPara>
              <m:oMathParaPr>
                <m:jc m:val="center"/>
              </m:oMathParaPr>
              <m:oMath>
                <m:sSub>
                  <m:e>
                    <m:r>
                      <m:t>x</m:t>
                    </m:r>
                  </m:e>
                  <m:sub>
                    <m:r>
                      <m:t>k</m:t>
                    </m:r>
                    <m:r>
                      <m:rPr>
                        <m:sty m:val="p"/>
                      </m:rPr>
                      <m:t>+</m:t>
                    </m:r>
                    <m:r>
                      <m:t>1</m:t>
                    </m:r>
                  </m:sub>
                </m:sSub>
                <m:r>
                  <m:rPr>
                    <m:sty m:val="p"/>
                  </m:rPr>
                  <m:t>=</m:t>
                </m:r>
                <m:r>
                  <m:t>f</m:t>
                </m:r>
                <m:d>
                  <m:dPr>
                    <m:begChr m:val="("/>
                    <m:endChr m:val=")"/>
                    <m:sepChr m:val=""/>
                    <m:grow/>
                  </m:dPr>
                  <m:e>
                    <m:sSub>
                      <m:e>
                        <m:r>
                          <m:t>x</m:t>
                        </m:r>
                      </m:e>
                      <m:sub>
                        <m:r>
                          <m:t>k</m:t>
                        </m:r>
                      </m:sub>
                    </m:sSub>
                    <m:r>
                      <m:rPr>
                        <m:sty m:val="p"/>
                      </m:rPr>
                      <m:t>,</m:t>
                    </m:r>
                    <m:sSub>
                      <m:e>
                        <m:r>
                          <m:t>u</m:t>
                        </m:r>
                      </m:e>
                      <m:sub>
                        <m:r>
                          <m:t>k</m:t>
                        </m:r>
                      </m:sub>
                    </m:sSub>
                    <m:r>
                      <m:rPr>
                        <m:sty m:val="p"/>
                      </m:rPr>
                      <m:t>,</m:t>
                    </m:r>
                    <m:sSub>
                      <m:e>
                        <m:r>
                          <m:t>d</m:t>
                        </m:r>
                      </m:e>
                      <m:sub>
                        <m:r>
                          <m:t>k</m:t>
                        </m:r>
                      </m:sub>
                    </m:sSub>
                    <m:r>
                      <m:rPr>
                        <m:sty m:val="p"/>
                      </m:rPr>
                      <m:t>,</m:t>
                    </m:r>
                    <m:sSub>
                      <m:e>
                        <m:r>
                          <m:t>θ</m:t>
                        </m:r>
                      </m:e>
                      <m:sub>
                        <m:r>
                          <m:t>k</m:t>
                        </m:r>
                      </m:sub>
                    </m:sSub>
                  </m:e>
                </m:d>
                <m:r>
                  <m:rPr>
                    <m:sty m:val="p"/>
                  </m:rPr>
                  <m:t>,</m:t>
                </m:r>
                <m:r>
                  <m:t> </m:t>
                </m:r>
                <m:sSub>
                  <m:e>
                    <m:r>
                      <m:t>y</m:t>
                    </m:r>
                  </m:e>
                  <m:sub>
                    <m:r>
                      <m:t>k</m:t>
                    </m:r>
                  </m:sub>
                </m:sSub>
                <m:r>
                  <m:rPr>
                    <m:sty m:val="p"/>
                  </m:rPr>
                  <m:t>=</m:t>
                </m:r>
                <m:r>
                  <m:t>g</m:t>
                </m:r>
                <m:d>
                  <m:dPr>
                    <m:begChr m:val="("/>
                    <m:endChr m:val=")"/>
                    <m:sepChr m:val=""/>
                    <m:grow/>
                  </m:dPr>
                  <m:e>
                    <m:sSub>
                      <m:e>
                        <m:r>
                          <m:t>x</m:t>
                        </m:r>
                      </m:e>
                      <m:sub>
                        <m:r>
                          <m:t>k</m:t>
                        </m:r>
                      </m:sub>
                    </m:sSub>
                    <m:r>
                      <m:rPr>
                        <m:sty m:val="p"/>
                      </m:rPr>
                      <m:t>,</m:t>
                    </m:r>
                    <m:sSub>
                      <m:e>
                        <m:r>
                          <m:t>u</m:t>
                        </m:r>
                      </m:e>
                      <m:sub>
                        <m:r>
                          <m:t>k</m:t>
                        </m:r>
                      </m:sub>
                    </m:sSub>
                  </m:e>
                </m:d>
                <m:r>
                  <m:rPr>
                    <m:sty m:val="p"/>
                  </m:rPr>
                  <m:t>+</m:t>
                </m:r>
                <m:sSub>
                  <m:e>
                    <m:r>
                      <m:t>v</m:t>
                    </m:r>
                  </m:e>
                  <m:sub>
                    <m:r>
                      <m:t>k</m:t>
                    </m:r>
                  </m:sub>
                </m:sSub>
              </m:oMath>
            </m:oMathPara>
          </w:p>
        </w:tc>
      </w:tr>
      <w:tr>
        <w:tc>
          <w:tcPr/>
          <w:p>
            <w:pPr>
              <w:pStyle w:val="Compact"/>
              <w:jc w:val="left"/>
            </w:pPr>
            <w:r>
              <w:t xml:space="preserve">其中各变量的物理含义如下：</w:t>
            </w:r>
          </w:p>
        </w:tc>
      </w:tr>
      <w:tr>
        <w:tc>
          <w:tcPr/>
          <w:p>
            <w:pPr>
              <w:pStyle w:val="Compact"/>
              <w:jc w:val="left"/>
            </w:pPr>
            <w:r>
              <w:t xml:space="preserve">| 符号 | 维度 | 物理含义 | 水利工程中的典型实例 |</w:t>
            </w:r>
            <w:r>
              <w:t xml:space="preserve"> </w:t>
            </w:r>
            <w:r>
              <w:t xml:space="preserve">|——|——|———|——————-|</w:t>
            </w:r>
            <w:r>
              <w:t xml:space="preserve"> </w:t>
            </w:r>
            <w:r>
              <w:t xml:space="preserve">|</w:t>
            </w:r>
            <w:r>
              <w:t xml:space="preserve"> </w:t>
            </w:r>
            <m:oMath>
              <m:sSub>
                <m:e>
                  <m:r>
                    <m:t>x</m:t>
                  </m:r>
                </m:e>
                <m:sub>
                  <m:r>
                    <m:t>k</m:t>
                  </m:r>
                </m:sub>
              </m:sSub>
            </m:oMath>
            <w:r>
              <w:t xml:space="preserve"> </w:t>
            </w:r>
            <w:r>
              <w:t xml:space="preserve">|</w:t>
            </w:r>
            <w:r>
              <w:t xml:space="preserve"> </w:t>
            </w:r>
            <m:oMath>
              <m:sSup>
                <m:e>
                  <m:r>
                    <m:rPr>
                      <m:sty m:val="p"/>
                      <m:scr m:val="double-struck"/>
                    </m:rPr>
                    <m:t>R</m:t>
                  </m:r>
                </m:e>
                <m:sup>
                  <m:r>
                    <m:t>n</m:t>
                  </m:r>
                </m:sup>
              </m:sSup>
            </m:oMath>
            <w:r>
              <w:t xml:space="preserve"> </w:t>
            </w:r>
            <w:r>
              <w:t xml:space="preserve">| 系统状态 | 库容、断面水位、管段流量、设备运行状态 |</w:t>
            </w:r>
            <w:r>
              <w:t xml:space="preserve"> </w:t>
            </w:r>
            <w:r>
              <w:t xml:space="preserve">|</w:t>
            </w:r>
            <w:r>
              <w:t xml:space="preserve"> </w:t>
            </w:r>
            <m:oMath>
              <m:sSub>
                <m:e>
                  <m:r>
                    <m:t>u</m:t>
                  </m:r>
                </m:e>
                <m:sub>
                  <m:r>
                    <m:t>k</m:t>
                  </m:r>
                </m:sub>
              </m:sSub>
            </m:oMath>
            <w:r>
              <w:t xml:space="preserve"> </w:t>
            </w:r>
            <w:r>
              <w:t xml:space="preserve">|</w:t>
            </w:r>
            <w:r>
              <w:t xml:space="preserve"> </w:t>
            </w:r>
            <m:oMath>
              <m:sSup>
                <m:e>
                  <m:r>
                    <m:rPr>
                      <m:sty m:val="p"/>
                      <m:scr m:val="double-struck"/>
                    </m:rPr>
                    <m:t>R</m:t>
                  </m:r>
                </m:e>
                <m:sup>
                  <m:r>
                    <m:t>m</m:t>
                  </m:r>
                </m:sup>
              </m:sSup>
            </m:oMath>
            <w:r>
              <w:t xml:space="preserve"> </w:t>
            </w:r>
            <w:r>
              <w:t xml:space="preserve">| 控制输入 | 闸门开度、泵组频率、阀位、调度指令 |</w:t>
            </w:r>
            <w:r>
              <w:t xml:space="preserve"> </w:t>
            </w:r>
            <w:r>
              <w:t xml:space="preserve">|</w:t>
            </w:r>
            <w:r>
              <w:t xml:space="preserve"> </w:t>
            </w:r>
            <m:oMath>
              <m:sSub>
                <m:e>
                  <m:r>
                    <m:t>d</m:t>
                  </m:r>
                </m:e>
                <m:sub>
                  <m:r>
                    <m:t>k</m:t>
                  </m:r>
                </m:sub>
              </m:sSub>
            </m:oMath>
            <w:r>
              <w:t xml:space="preserve"> </w:t>
            </w:r>
            <w:r>
              <w:t xml:space="preserve">|</w:t>
            </w:r>
            <w:r>
              <w:t xml:space="preserve"> </w:t>
            </w:r>
            <m:oMath>
              <m:sSup>
                <m:e>
                  <m:r>
                    <m:rPr>
                      <m:sty m:val="p"/>
                      <m:scr m:val="double-struck"/>
                    </m:rPr>
                    <m:t>R</m:t>
                  </m:r>
                </m:e>
                <m:sup>
                  <m:r>
                    <m:t>p</m:t>
                  </m:r>
                </m:sup>
              </m:sSup>
            </m:oMath>
            <w:r>
              <w:t xml:space="preserve"> </w:t>
            </w:r>
            <w:r>
              <w:t xml:space="preserve">| 外部扰动 | 降雨径流、来水变化、需求波动、突发取水 |</w:t>
            </w:r>
            <w:r>
              <w:t xml:space="preserve"> </w:t>
            </w:r>
            <w:r>
              <w:t xml:space="preserve">|</w:t>
            </w:r>
            <w:r>
              <w:t xml:space="preserve"> </w:t>
            </w:r>
            <m:oMath>
              <m:sSub>
                <m:e>
                  <m:r>
                    <m:t>θ</m:t>
                  </m:r>
                </m:e>
                <m:sub>
                  <m:r>
                    <m:t>k</m:t>
                  </m:r>
                </m:sub>
              </m:sSub>
            </m:oMath>
            <w:r>
              <w:t xml:space="preserve"> </w:t>
            </w:r>
            <w:r>
              <w:t xml:space="preserve">|</w:t>
            </w:r>
            <w:r>
              <w:t xml:space="preserve"> </w:t>
            </w:r>
            <m:oMath>
              <m:sSup>
                <m:e>
                  <m:r>
                    <m:rPr>
                      <m:sty m:val="p"/>
                      <m:scr m:val="double-struck"/>
                    </m:rPr>
                    <m:t>R</m:t>
                  </m:r>
                </m:e>
                <m:sup>
                  <m:r>
                    <m:t>q</m:t>
                  </m:r>
                </m:sup>
              </m:sSup>
            </m:oMath>
            <w:r>
              <w:t xml:space="preserve"> </w:t>
            </w:r>
            <w:r>
              <w:t xml:space="preserve">| 慢变参数 | 渠道糙率、设备效率曲线、管道阻力系数 |</w:t>
            </w:r>
            <w:r>
              <w:t xml:space="preserve"> </w:t>
            </w:r>
            <w:r>
              <w:t xml:space="preserve">|</w:t>
            </w:r>
            <w:r>
              <w:t xml:space="preserve"> </w:t>
            </w:r>
            <m:oMath>
              <m:sSub>
                <m:e>
                  <m:r>
                    <m:t>y</m:t>
                  </m:r>
                </m:e>
                <m:sub>
                  <m:r>
                    <m:t>k</m:t>
                  </m:r>
                </m:sub>
              </m:sSub>
            </m:oMath>
            <w:r>
              <w:t xml:space="preserve"> </w:t>
            </w:r>
            <w:r>
              <w:t xml:space="preserve">|</w:t>
            </w:r>
            <w:r>
              <w:t xml:space="preserve"> </w:t>
            </w:r>
            <m:oMath>
              <m:sSup>
                <m:e>
                  <m:r>
                    <m:rPr>
                      <m:sty m:val="p"/>
                      <m:scr m:val="double-struck"/>
                    </m:rPr>
                    <m:t>R</m:t>
                  </m:r>
                </m:e>
                <m:sup>
                  <m:r>
                    <m:t>l</m:t>
                  </m:r>
                </m:sup>
              </m:sSup>
            </m:oMath>
            <w:r>
              <w:t xml:space="preserve"> </w:t>
            </w:r>
            <w:r>
              <w:t xml:space="preserve">| 可测输出 | 测站水位、超声波流量、泵站功率 |</w:t>
            </w:r>
            <w:r>
              <w:t xml:space="preserve"> </w:t>
            </w:r>
            <w:r>
              <w:t xml:space="preserve">|</w:t>
            </w:r>
            <w:r>
              <w:t xml:space="preserve"> </w:t>
            </w:r>
            <m:oMath>
              <m:sSub>
                <m:e>
                  <m:r>
                    <m:t>v</m:t>
                  </m:r>
                </m:e>
                <m:sub>
                  <m:r>
                    <m:t>k</m:t>
                  </m:r>
                </m:sub>
              </m:sSub>
            </m:oMath>
            <w:r>
              <w:t xml:space="preserve"> </w:t>
            </w:r>
            <w:r>
              <w:t xml:space="preserve">| — | 测量噪声 | 传感器误差、通信丢包、数据畸变 |</w:t>
            </w:r>
          </w:p>
        </w:tc>
      </w:tr>
      <w:tr>
        <w:tc>
          <w:tcPr/>
          <w:p>
            <w:pPr>
              <w:pStyle w:val="Compact"/>
              <w:jc w:val="left"/>
            </w:pPr>
            <w:r>
              <w:t xml:space="preserve">以一段长距离明渠为例，若将渠道离散为</w:t>
            </w:r>
            <m:oMath>
              <m:r>
                <m:t>N</m:t>
              </m:r>
            </m:oMath>
            <w:r>
              <w:t xml:space="preserve">个计算断面，则状态向量包含各断面的水位</w:t>
            </w:r>
            <m:oMath>
              <m:sSub>
                <m:e>
                  <m:r>
                    <m:t>h</m:t>
                  </m:r>
                </m:e>
                <m:sub>
                  <m:r>
                    <m:t>i</m:t>
                  </m:r>
                </m:sub>
              </m:sSub>
            </m:oMath>
            <w:r>
              <w:t xml:space="preserve">和流量</w:t>
            </w:r>
            <m:oMath>
              <m:sSub>
                <m:e>
                  <m:r>
                    <m:t>Q</m:t>
                  </m:r>
                </m:e>
                <m:sub>
                  <m:r>
                    <m:t>i</m:t>
                  </m:r>
                </m:sub>
              </m:sSub>
            </m:oMath>
            <w:r>
              <w:t xml:space="preserve">，维度为</w:t>
            </w:r>
            <m:oMath>
              <m:r>
                <m:t>2</m:t>
              </m:r>
              <m:r>
                <m:t>N</m:t>
              </m:r>
            </m:oMath>
            <w:r>
              <w:t xml:space="preserve">。南水北调中线总干渠全长1,432千米，若按每千米一个计算断面离散，状态向量维度可达约2,800——这是一个远超常规工业控制系统的高维问题。相比之下，典型化工过程的状态维度在10到100之间，电力系统节点通常在数百量级。</w:t>
            </w:r>
          </w:p>
        </w:tc>
      </w:tr>
      <w:tr>
        <w:tc>
          <w:tcPr/>
          <w:p>
            <w:pPr>
              <w:pStyle w:val="Compact"/>
              <w:jc w:val="left"/>
            </w:pPr>
            <w:r>
              <w:t xml:space="preserve">式(2-1)的核心意义在于：</w:t>
            </w:r>
            <w:r>
              <w:rPr>
                <w:bCs/>
                <w:b/>
              </w:rPr>
              <w:t xml:space="preserve">把”运行经验”映射为”可计算结构”</w:t>
            </w:r>
            <w:r>
              <w:t xml:space="preserve">。经验并不被否定，而是被形式化并进入可验证流程。一个调度员说”上游放水后，下游大约4个小时才有反应”，这句经验在控制论框架下对应着传递函数中的时滞参数</w:t>
            </w:r>
            <m:oMath>
              <m:r>
                <m:t>τ</m:t>
              </m:r>
            </m:oMath>
            <w:r>
              <w:t xml:space="preserve">。一位老调度员说”这个季节糙率会偏大，闸门要多开一些”，对应着慢变参数</w:t>
            </w:r>
            <m:oMath>
              <m:sSub>
                <m:e>
                  <m:r>
                    <m:t>θ</m:t>
                  </m:r>
                </m:e>
                <m:sub>
                  <m:r>
                    <m:t>k</m:t>
                  </m:r>
                </m:sub>
              </m:sSub>
            </m:oMath>
            <w:r>
              <w:t xml:space="preserve">的季节性漂移和相应的控制增益补偿。形式化不是否定经验，而是让经验变得可传承、可验证、可计算。</w:t>
            </w:r>
          </w:p>
        </w:tc>
      </w:tr>
      <w:tr>
        <w:tc>
          <w:tcPr/>
          <w:p>
            <w:pPr>
              <w:pStyle w:val="Compact"/>
              <w:jc w:val="left"/>
            </w:pPr>
            <w:r>
              <w:t xml:space="preserve">### 2.2.2 从圣维南方程到控制模型：两条降阶路径</w:t>
            </w:r>
          </w:p>
        </w:tc>
      </w:tr>
      <w:tr>
        <w:tc>
          <w:tcPr/>
          <w:p>
            <w:pPr>
              <w:pStyle w:val="Compact"/>
              <w:jc w:val="left"/>
            </w:pPr>
            <w:r>
              <w:t xml:space="preserve">水系统形式化的物理基础是水力学基本方程。以明渠流为例，其动力学行为由一维圣维南方程（Saint-Venant equations）描述 [2-7]：</w:t>
            </w:r>
          </w:p>
        </w:tc>
      </w:tr>
      <w:tr>
        <w:tc>
          <w:tcPr/>
          <w:p>
            <w:pPr>
              <w:pStyle w:val="Compact"/>
              <w:jc w:val="lef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oMath>
            </m:oMathPara>
          </w:p>
        </w:tc>
      </w:tr>
      <w:tr>
        <w:tc>
          <w:tcPr/>
          <w:p>
            <w:pPr>
              <w:pStyle w:val="Compact"/>
              <w:jc w:val="left"/>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endChr m:val=")"/>
                    <m:sepChr m:val=""/>
                    <m:grow/>
                  </m:dPr>
                  <m:e>
                    <m:f>
                      <m:fPr>
                        <m:type m:val="bar"/>
                      </m:fPr>
                      <m:num>
                        <m:sSup>
                          <m:e>
                            <m:r>
                              <m:t>Q</m:t>
                            </m:r>
                          </m:e>
                          <m:sup>
                            <m:r>
                              <m:t>2</m:t>
                            </m:r>
                          </m:sup>
                        </m:sSup>
                      </m:num>
                      <m:den>
                        <m:r>
                          <m:t>A</m:t>
                        </m:r>
                      </m:den>
                    </m:f>
                  </m:e>
                </m:d>
                <m:r>
                  <m:rPr>
                    <m:sty m:val="p"/>
                  </m:rPr>
                  <m:t>+</m:t>
                </m:r>
                <m:r>
                  <m:t>g</m:t>
                </m:r>
                <m:r>
                  <m:t>A</m:t>
                </m:r>
                <m:f>
                  <m:fPr>
                    <m:type m:val="bar"/>
                  </m:fPr>
                  <m:num>
                    <m:r>
                      <m:rPr>
                        <m:sty m:val="p"/>
                      </m:rPr>
                      <m:t>∂</m:t>
                    </m:r>
                    <m:r>
                      <m:t>h</m:t>
                    </m:r>
                  </m:num>
                  <m:den>
                    <m:r>
                      <m:rPr>
                        <m:sty m:val="p"/>
                      </m:rPr>
                      <m:t>∂</m:t>
                    </m:r>
                    <m:r>
                      <m:t>x</m:t>
                    </m:r>
                  </m:den>
                </m:f>
                <m:r>
                  <m:rPr>
                    <m:sty m:val="p"/>
                  </m:rPr>
                  <m:t>=</m:t>
                </m:r>
                <m:r>
                  <m:t>g</m:t>
                </m:r>
                <m:r>
                  <m:t>A</m:t>
                </m:r>
                <m:d>
                  <m:dPr>
                    <m:begChr m:val="("/>
                    <m:endChr m:val=")"/>
                    <m:sepChr m:val=""/>
                    <m:grow/>
                  </m:dPr>
                  <m:e>
                    <m:sSub>
                      <m:e>
                        <m:r>
                          <m:t>S</m:t>
                        </m:r>
                      </m:e>
                      <m:sub>
                        <m:r>
                          <m:t>0</m:t>
                        </m:r>
                      </m:sub>
                    </m:sSub>
                    <m:r>
                      <m:rPr>
                        <m:sty m:val="p"/>
                      </m:rPr>
                      <m:t>−</m:t>
                    </m:r>
                    <m:sSub>
                      <m:e>
                        <m:r>
                          <m:t>S</m:t>
                        </m:r>
                      </m:e>
                      <m:sub>
                        <m:r>
                          <m:t>f</m:t>
                        </m:r>
                      </m:sub>
                    </m:sSub>
                  </m:e>
                </m:d>
                <m:r>
                  <m:rPr>
                    <m:sty m:val="p"/>
                  </m:rPr>
                  <m:t>+</m:t>
                </m:r>
                <m:sSub>
                  <m:e>
                    <m:r>
                      <m:t>q</m:t>
                    </m:r>
                  </m:e>
                  <m:sub>
                    <m:r>
                      <m:t>l</m:t>
                    </m:r>
                  </m:sub>
                </m:sSub>
                <m:sSub>
                  <m:e>
                    <m:r>
                      <m:t>v</m:t>
                    </m:r>
                  </m:e>
                  <m:sub>
                    <m:r>
                      <m:t>l</m:t>
                    </m:r>
                  </m:sub>
                </m:sSub>
              </m:oMath>
            </m:oMathPara>
          </w:p>
        </w:tc>
      </w:tr>
      <w:tr>
        <w:tc>
          <w:tcPr/>
          <w:p>
            <w:pPr>
              <w:pStyle w:val="Compact"/>
              <w:jc w:val="left"/>
            </w:pPr>
            <w:r>
              <w:t xml:space="preserve">其中</w:t>
            </w:r>
            <m:oMath>
              <m:r>
                <m:t>A</m:t>
              </m:r>
            </m:oMath>
            <w:r>
              <w:t xml:space="preserve">为过水断面面积，</w:t>
            </w:r>
            <m:oMath>
              <m:r>
                <m:t>Q</m:t>
              </m:r>
            </m:oMath>
            <w:r>
              <w:t xml:space="preserve">为流量，</w:t>
            </w:r>
            <m:oMath>
              <m:r>
                <m:t>h</m:t>
              </m:r>
            </m:oMath>
            <w:r>
              <w:t xml:space="preserve">为水位，</w:t>
            </w:r>
            <m:oMath>
              <m:sSub>
                <m:e>
                  <m:r>
                    <m:t>q</m:t>
                  </m:r>
                </m:e>
                <m:sub>
                  <m:r>
                    <m:t>l</m:t>
                  </m:r>
                </m:sub>
              </m:sSub>
            </m:oMath>
            <w:r>
              <w:t xml:space="preserve">为侧向入流，</w:t>
            </w:r>
            <m:oMath>
              <m:sSub>
                <m:e>
                  <m:r>
                    <m:t>S</m:t>
                  </m:r>
                </m:e>
                <m:sub>
                  <m:r>
                    <m:t>0</m:t>
                  </m:r>
                </m:sub>
              </m:sSub>
            </m:oMath>
            <w:r>
              <w:t xml:space="preserve">为底坡，</w:t>
            </w:r>
            <m:oMath>
              <m:sSub>
                <m:e>
                  <m:r>
                    <m:t>S</m:t>
                  </m:r>
                </m:e>
                <m:sub>
                  <m:r>
                    <m:t>f</m:t>
                  </m:r>
                </m:sub>
              </m:sSub>
            </m:oMath>
            <w:r>
              <w:t xml:space="preserve">为摩阻坡降。摩阻坡降通常由Manning公式计算：</w:t>
            </w:r>
            <m:oMath>
              <m:sSub>
                <m:e>
                  <m:r>
                    <m:t>S</m:t>
                  </m:r>
                </m:e>
                <m:sub>
                  <m:r>
                    <m:t>f</m:t>
                  </m:r>
                </m:sub>
              </m:sSub>
              <m:r>
                <m:rPr>
                  <m:sty m:val="p"/>
                </m:rPr>
                <m:t>=</m:t>
              </m:r>
              <m:sSup>
                <m:e>
                  <m:r>
                    <m:t>n</m:t>
                  </m:r>
                </m:e>
                <m:sup>
                  <m:r>
                    <m:t>2</m:t>
                  </m:r>
                </m:sup>
              </m:sSup>
              <m:sSup>
                <m:e>
                  <m:r>
                    <m:t>Q</m:t>
                  </m:r>
                </m:e>
                <m:sup>
                  <m:r>
                    <m:t>2</m:t>
                  </m:r>
                </m:sup>
              </m:sSup>
              <m:r>
                <m:rPr>
                  <m:sty m:val="p"/>
                </m:rPr>
                <m:t>/</m:t>
              </m:r>
              <m:d>
                <m:dPr>
                  <m:begChr m:val="("/>
                  <m:endChr m:val=")"/>
                  <m:sepChr m:val=""/>
                  <m:grow/>
                </m:dPr>
                <m:e>
                  <m:sSup>
                    <m:e>
                      <m:r>
                        <m:t>A</m:t>
                      </m:r>
                    </m:e>
                    <m:sup>
                      <m:r>
                        <m:t>2</m:t>
                      </m:r>
                    </m:sup>
                  </m:sSup>
                  <m:sSup>
                    <m:e>
                      <m:r>
                        <m:t>R</m:t>
                      </m:r>
                    </m:e>
                    <m:sup>
                      <m:r>
                        <m:t>4</m:t>
                      </m:r>
                      <m:r>
                        <m:rPr>
                          <m:sty m:val="p"/>
                        </m:rPr>
                        <m:t>/</m:t>
                      </m:r>
                      <m:r>
                        <m:t>3</m:t>
                      </m:r>
                    </m:sup>
                  </m:sSup>
                </m:e>
              </m:d>
            </m:oMath>
            <w:r>
              <w:t xml:space="preserve">，其中</w:t>
            </w:r>
            <m:oMath>
              <m:r>
                <m:t>n</m:t>
              </m:r>
            </m:oMath>
            <w:r>
              <w:t xml:space="preserve">为Manning糙率系数，</w:t>
            </w:r>
            <m:oMath>
              <m:r>
                <m:t>R</m:t>
              </m:r>
            </m:oMath>
            <w:r>
              <w:t xml:space="preserve">为水力半径。糙率系数</w:t>
            </w:r>
            <m:oMath>
              <m:r>
                <m:t>n</m:t>
              </m:r>
            </m:oMath>
            <w:r>
              <w:t xml:space="preserve">是一个看似简单但工程影响巨大的参数——它随水深、季节（水草生长）、淤积程度和衬砌老化而变化，正是§2.2.1中慢变参数</w:t>
            </w:r>
            <m:oMath>
              <m:sSub>
                <m:e>
                  <m:r>
                    <m:t>θ</m:t>
                  </m:r>
                </m:e>
                <m:sub>
                  <m:r>
                    <m:t>k</m:t>
                  </m:r>
                </m:sub>
              </m:sSub>
            </m:oMath>
            <w:r>
              <w:t xml:space="preserve">的典型代表。</w:t>
            </w:r>
          </w:p>
        </w:tc>
      </w:tr>
      <w:tr>
        <w:tc>
          <w:tcPr/>
          <w:p>
            <w:pPr>
              <w:pStyle w:val="Compact"/>
              <w:jc w:val="left"/>
            </w:pPr>
            <w:r>
              <w:t xml:space="preserve">式(2-2)是双曲型偏微分方程(PDE)，精确求解需要沿空间和时间两个维度离散化，计算量巨大。以南水北调中线总干渠为例，若空间步长取100 m、时间步长取10 s，一次24小时仿真需要求解约14,320个空间节点×8,640个时间步的方程组——这对于离线仿真尚可接受，但对于需要在分钟级给出控制决策的在线控制系统而言，计算量过大。工程中通常采用两种路径将PDE转化为适合控制设计的低阶模型。</w:t>
            </w:r>
          </w:p>
        </w:tc>
      </w:tr>
      <w:tr>
        <w:tc>
          <w:tcPr/>
          <w:p>
            <w:pPr>
              <w:pStyle w:val="Compact"/>
              <w:jc w:val="left"/>
            </w:pPr>
            <w:r>
              <w:rPr>
                <w:bCs/>
                <w:b/>
              </w:rPr>
              <w:t xml:space="preserve">路径一：空间离散化（高保真仿真模型）。</w:t>
            </w:r>
            <w:r>
              <w:t xml:space="preserve"> </w:t>
            </w:r>
            <w:r>
              <w:t xml:space="preserve">将渠道沿程离散为若干”渠池”（pool，两个相邻控制闸之间的渠段），每个渠池用Preissmann四点隐式格式或有限体积法离散后成为一组常微分方程（ODE），即式(2-1)中状态转移函数</w:t>
            </w:r>
            <m:oMath>
              <m:r>
                <m:t>f</m:t>
              </m:r>
            </m:oMath>
            <w:r>
              <w:t xml:space="preserve">的具体形式。这一路径保留了非线性特性和空间分布特性，适合高精度仿真，是构建数字孪生和SIL/HIL验证平台的基础（见第五章）。其代价是维度高、在线计算量大，不宜直接用于实时控制。</w:t>
            </w:r>
          </w:p>
        </w:tc>
      </w:tr>
      <w:tr>
        <w:tc>
          <w:tcPr/>
          <w:p>
            <w:pPr>
              <w:pStyle w:val="Compact"/>
              <w:jc w:val="left"/>
            </w:pPr>
            <w:r>
              <w:rPr>
                <w:bCs/>
                <w:b/>
              </w:rPr>
              <w:t xml:space="preserve">路径二：线性化降阶（控制设计模型）。</w:t>
            </w:r>
            <w:r>
              <w:t xml:space="preserve"> </w:t>
            </w:r>
            <w:r>
              <w:t xml:space="preserve">在稳态运行点附近将式(2-2)线性化，得到传递函数模型。Litrico和Fromion [2-5] 系统建立了明渠系统的积分延迟零点（Integrator-Delay-Zero, IDZ）传递函数模型：</w:t>
            </w:r>
          </w:p>
        </w:tc>
      </w:tr>
      <w:tr>
        <w:tc>
          <w:tcPr/>
          <w:p>
            <w:pPr>
              <w:pStyle w:val="Compact"/>
              <w:jc w:val="left"/>
            </w:pPr>
            <m:oMathPara>
              <m:oMathParaPr>
                <m:jc m:val="center"/>
              </m:oMathParaPr>
              <m:oMath>
                <m:r>
                  <m:t>G</m:t>
                </m:r>
                <m:d>
                  <m:dPr>
                    <m:begChr m:val="("/>
                    <m:endChr m:val=")"/>
                    <m:sepChr m:val=""/>
                    <m:grow/>
                  </m:dPr>
                  <m:e>
                    <m:r>
                      <m:t>s</m:t>
                    </m:r>
                  </m:e>
                </m:d>
                <m:r>
                  <m:rPr>
                    <m:sty m:val="p"/>
                  </m:rPr>
                  <m:t>=</m:t>
                </m:r>
                <m:f>
                  <m:fPr>
                    <m:type m:val="bar"/>
                  </m:fPr>
                  <m:num>
                    <m:r>
                      <m:t>Y</m:t>
                    </m:r>
                    <m:d>
                      <m:dPr>
                        <m:begChr m:val="("/>
                        <m:endChr m:val=")"/>
                        <m:sepChr m:val=""/>
                        <m:grow/>
                      </m:dPr>
                      <m:e>
                        <m:r>
                          <m:t>s</m:t>
                        </m:r>
                      </m:e>
                    </m:d>
                  </m:num>
                  <m:den>
                    <m:r>
                      <m:t>U</m:t>
                    </m:r>
                    <m:d>
                      <m:dPr>
                        <m:begChr m:val="("/>
                        <m:endChr m:val=")"/>
                        <m:sepChr m:val=""/>
                        <m:grow/>
                      </m:dPr>
                      <m:e>
                        <m:r>
                          <m:t>s</m:t>
                        </m:r>
                      </m:e>
                    </m:d>
                  </m:den>
                </m:f>
                <m:r>
                  <m:rPr>
                    <m:sty m:val="p"/>
                  </m:rPr>
                  <m:t>=</m:t>
                </m:r>
                <m:f>
                  <m:fPr>
                    <m:type m:val="bar"/>
                  </m:fPr>
                  <m:num>
                    <m:sSub>
                      <m:e>
                        <m:r>
                          <m:t>A</m:t>
                        </m:r>
                      </m:e>
                      <m:sub>
                        <m:r>
                          <m:t>d</m:t>
                        </m:r>
                      </m:sub>
                    </m:sSub>
                    <m:r>
                      <m:rPr>
                        <m:sty m:val="p"/>
                      </m:rPr>
                      <m:t>⋅</m:t>
                    </m:r>
                    <m:sSup>
                      <m:e>
                        <m:r>
                          <m:t>e</m:t>
                        </m:r>
                      </m:e>
                      <m:sup>
                        <m:r>
                          <m:rPr>
                            <m:sty m:val="p"/>
                          </m:rPr>
                          <m:t>−</m:t>
                        </m:r>
                        <m:r>
                          <m:t>τ</m:t>
                        </m:r>
                        <m:r>
                          <m:t>s</m:t>
                        </m:r>
                      </m:sup>
                    </m:sSup>
                    <m:d>
                      <m:dPr>
                        <m:begChr m:val="("/>
                        <m:endChr m:val=")"/>
                        <m:sepChr m:val=""/>
                        <m:grow/>
                      </m:dPr>
                      <m:e>
                        <m:r>
                          <m:t>1</m:t>
                        </m:r>
                        <m:r>
                          <m:rPr>
                            <m:sty m:val="p"/>
                          </m:rPr>
                          <m:t>+</m:t>
                        </m:r>
                        <m:sSub>
                          <m:e>
                            <m:r>
                              <m:t>p</m:t>
                            </m:r>
                          </m:e>
                          <m:sub>
                            <m:r>
                              <m:t>z</m:t>
                            </m:r>
                          </m:sub>
                        </m:sSub>
                        <m:r>
                          <m:t>s</m:t>
                        </m:r>
                      </m:e>
                    </m:d>
                  </m:num>
                  <m:den>
                    <m:r>
                      <m:t>s</m:t>
                    </m:r>
                  </m:den>
                </m:f>
              </m:oMath>
            </m:oMathPara>
          </w:p>
        </w:tc>
      </w:tr>
      <w:tr>
        <w:tc>
          <w:tcPr/>
          <w:p>
            <w:pPr>
              <w:pStyle w:val="Compact"/>
              <w:jc w:val="left"/>
            </w:pPr>
            <w:r>
              <w:t xml:space="preserve">其中</w:t>
            </w:r>
            <m:oMath>
              <m:sSub>
                <m:e>
                  <m:r>
                    <m:t>A</m:t>
                  </m:r>
                </m:e>
                <m:sub>
                  <m:r>
                    <m:t>d</m:t>
                  </m:r>
                </m:sub>
              </m:sSub>
            </m:oMath>
            <w:r>
              <w:t xml:space="preserve">为直流增益（反映稳态灵敏度——闸门开度变化1%，下游水位最终变化多少），</w:t>
            </w:r>
            <m:oMath>
              <m:r>
                <m:t>τ</m:t>
              </m:r>
            </m:oMath>
            <w:r>
              <w:t xml:space="preserve">为纯时滞（水流传播时间——上游调节后多久下游才开始响应），</w:t>
            </w:r>
            <m:oMath>
              <m:sSub>
                <m:e>
                  <m:r>
                    <m:t>p</m:t>
                  </m:r>
                </m:e>
                <m:sub>
                  <m:r>
                    <m:t>z</m:t>
                  </m:r>
                </m:sub>
              </m:sSub>
            </m:oMath>
            <w:r>
              <w:t xml:space="preserve">为零点参数（反映初始逆响应特性——有些渠池在正向响应到达之前会先出现短暂的反向偏移）。这三个参数可以从渠池的几何尺寸（长度、底宽、边坡系数）、底坡和设计流量通过解析公式计算，无需试凑或反复整定。</w:t>
            </w:r>
          </w:p>
        </w:tc>
      </w:tr>
      <w:tr>
        <w:tc>
          <w:tcPr/>
          <w:p>
            <w:pPr>
              <w:pStyle w:val="Compact"/>
              <w:jc w:val="left"/>
            </w:pPr>
            <w:r>
              <w:t xml:space="preserve">IDZ模型的工程价值是惊人的：它将一个渠池从成百上千维的PDE降阶为仅一维或两维的状态空间模型，使得模型预测控制（MPC）的在线求解成为可能。南水北调中线工程的自动控制策略 [2-4] 和胶东调水工程的梯级泵站明渠控制方案 [2-6] 均以IDZ类传递函数为核心模型。Van Overloop [2-8] 在荷兰水系统中的大量实践进一步证实了IDZ模型在实际工程中的适用性。</w:t>
            </w:r>
          </w:p>
        </w:tc>
      </w:tr>
      <w:tr>
        <w:tc>
          <w:tcPr/>
          <w:p>
            <w:pPr>
              <w:pStyle w:val="Compact"/>
              <w:jc w:val="left"/>
            </w:pPr>
            <w:r>
              <w:t xml:space="preserve">&gt;</w:t>
            </w:r>
            <w:r>
              <w:t xml:space="preserve"> </w:t>
            </w:r>
            <w:r>
              <w:rPr>
                <w:bCs/>
                <w:b/>
              </w:rPr>
              <w:t xml:space="preserve">概念速览：IDZ传递函数的三个参数</w:t>
            </w:r>
            <w:r>
              <w:t xml:space="preserve"> </w:t>
            </w:r>
            <w:r>
              <w:t xml:space="preserve">&gt;</w:t>
            </w:r>
            <w:r>
              <w:t xml:space="preserve"> </w:t>
            </w:r>
            <w:r>
              <w:t xml:space="preserve">&gt; 对于非水利专业读者，IDZ模型可以用一个生活化的类比来理解。想象你站在一条长河的上游扔一块石头：</w:t>
            </w:r>
            <m:oMath>
              <m:sSub>
                <m:e>
                  <m:r>
                    <m:t>A</m:t>
                  </m:r>
                </m:e>
                <m:sub>
                  <m:r>
                    <m:t>d</m:t>
                  </m:r>
                </m:sub>
              </m:sSub>
            </m:oMath>
            <w:r>
              <w:t xml:space="preserve">（直流增益）对应”石头有多大”——石头越大，下游水位最终变化越大；</w:t>
            </w:r>
            <m:oMath>
              <m:r>
                <m:t>τ</m:t>
              </m:r>
            </m:oMath>
            <w:r>
              <w:t xml:space="preserve">（纯时滞）对应”波浪传到下游要多久”——河越长、流越慢，等待时间越长；</w:t>
            </w:r>
            <m:oMath>
              <m:sSub>
                <m:e>
                  <m:r>
                    <m:t>p</m:t>
                  </m:r>
                </m:e>
                <m:sub>
                  <m:r>
                    <m:t>z</m:t>
                  </m:r>
                </m:sub>
              </m:sSub>
            </m:oMath>
            <w:r>
              <w:t xml:space="preserve">（零点参数）对应”波浪到达前水面是否先轻微下凹”——某些渠池几何形状会导致正向波到达前出现短暂的反向偏移。这三个参数完全由渠池的物理尺寸决定，不需要反复实验调整。</w:t>
            </w:r>
          </w:p>
        </w:tc>
      </w:tr>
      <w:tr>
        <w:tc>
          <w:tcPr/>
          <w:p>
            <w:pPr>
              <w:pStyle w:val="Compact"/>
              <w:jc w:val="left"/>
            </w:pPr>
            <w:r>
              <w:rPr>
                <w:bCs/>
                <w:b/>
              </w:rPr>
              <w:t xml:space="preserve">可控模型族。</w:t>
            </w:r>
            <w:r>
              <w:t xml:space="preserve"> </w:t>
            </w:r>
            <w:r>
              <w:t xml:space="preserve">水系统不存在”一个模型打天下”的可能。高保真PDE模型适合离线仿真和场景验证，低阶传递函数模型适合在线控制，数据驱动模型适合参数校正和软测量。CHS提倡建立层次化的”可控模型族”（Controllable Model Family）：以高保真模型为根，通过严格的降阶方法派生控制模型，再用在线数据持续校准——形成”物理根模型→控制降阶模型→数据增强模型”的三层体系（见图2-2）。第五章HydroOS的物理AI引擎将详细阐述这一技术架构。</w:t>
            </w:r>
          </w:p>
        </w:tc>
      </w:tr>
      <w:tr>
        <w:tc>
          <w:tcPr/>
          <w:p>
            <w:pPr>
              <w:pStyle w:val="Compact"/>
              <w:jc w:val="left"/>
            </w:pPr>
            <w:r>
              <w:t xml:space="preserve">&gt; 图2-2: 可控模型族的三层体系。图示内容：金字塔形三层结构。底层”高保真PDE模型”（标注：离线仿真/数字孪生，维度~10³）；中层”降阶传递函数模型（IDZ等）</w:t>
            </w:r>
            <w:r>
              <w:t xml:space="preserve">“</w:t>
            </w:r>
            <w:r>
              <w:t xml:space="preserve">（标注：在线MPC控制，维度~10¹）；顶层</w:t>
            </w:r>
            <w:r>
              <w:t xml:space="preserve">”</w:t>
            </w:r>
            <w:r>
              <w:t xml:space="preserve">数据增强模型”（标注：参数校正/软测量）。层间用双向箭头连接，左侧标注”降阶方法”（下→中），右侧标注”数据同化”（上→中）。旁注：物理根保真度自下而上递减，在线计算效率自下而上递增。</w:t>
            </w:r>
          </w:p>
        </w:tc>
      </w:tr>
      <w:tr>
        <w:tc>
          <w:tcPr/>
          <w:p>
            <w:pPr>
              <w:pStyle w:val="Compact"/>
              <w:jc w:val="left"/>
            </w:pPr>
            <w:r>
              <w:t xml:space="preserve">### 2.2.3 三类约束：物理约束、操作约束、治理约束</w:t>
            </w:r>
          </w:p>
        </w:tc>
      </w:tr>
      <w:tr>
        <w:tc>
          <w:tcPr/>
          <w:p>
            <w:pPr>
              <w:pStyle w:val="Compact"/>
              <w:jc w:val="left"/>
            </w:pPr>
            <w:r>
              <w:t xml:space="preserve">水系统控制与一般工业控制的重要区别之一是约束的丰富性和刚性。CHS将约束分为三类，强调三类约束必须同构建模、同步处理（见表2-1）。</w:t>
            </w:r>
          </w:p>
        </w:tc>
      </w:tr>
      <w:tr>
        <w:tc>
          <w:tcPr/>
          <w:p>
            <w:pPr>
              <w:pStyle w:val="Compact"/>
              <w:jc w:val="left"/>
            </w:pPr>
            <w:r>
              <w:t xml:space="preserve">| 约束类型 | 来源 | 违反后果 | 工程实例 | 约束性质 |</w:t>
            </w:r>
            <w:r>
              <w:t xml:space="preserve"> </w:t>
            </w:r>
            <w:r>
              <w:t xml:space="preserve">|———|——|———|———|———|</w:t>
            </w:r>
            <w:r>
              <w:t xml:space="preserve"> </w:t>
            </w:r>
            <w:r>
              <w:t xml:space="preserve">| 物理约束 | 系统物理极限 | 不可逆后果 | 水位上下限（南水北调中线渠道设计超高仅0.6 m [2-4]）；流速边界（冲刷/淤积）；库容极限；闸门行程 | 刚性，不可松弛 |</w:t>
            </w:r>
            <w:r>
              <w:t xml:space="preserve"> </w:t>
            </w:r>
            <w:r>
              <w:t xml:space="preserve">| 操作约束 | 设备维护与运行安全 | 设备损伤或加速老化 | 泵组最小启停间隔（通常20-30分钟）；闸门每日调节次数上限；检修窗口期设备不可用 | 半刚性，特殊工况可临时放宽 |</w:t>
            </w:r>
            <w:r>
              <w:t xml:space="preserve"> </w:t>
            </w:r>
            <w:r>
              <w:t xml:space="preserve">| 治理约束 | 法律法规、协议、公共利益 | 违法或违约 | 生态下泄红线；供水服务协议（流量和水质承诺）；调度权限边界（省/地分权） | 刚性，不因经济优化而松弛 |</w:t>
            </w:r>
          </w:p>
        </w:tc>
      </w:tr>
      <w:tr>
        <w:tc>
          <w:tcPr/>
          <w:p>
            <w:pPr>
              <w:pStyle w:val="Compact"/>
              <w:jc w:val="left"/>
            </w:pPr>
            <w:r>
              <w:t xml:space="preserve">[表2-1: 水系统三类约束体系]</w:t>
            </w:r>
          </w:p>
        </w:tc>
      </w:tr>
      <w:tr>
        <w:tc>
          <w:tcPr/>
          <w:p>
            <w:pPr>
              <w:pStyle w:val="Compact"/>
              <w:jc w:val="left"/>
            </w:pPr>
            <w:r>
              <w:t xml:space="preserve">在传统工程实践中，前两类约束常被纳入优化器的硬约束或软约束，第三类则停留在制度文本中，由调度员”心中有数”但不进入算法。CHS强调三类约束同构建模：治理约束同样必须形式化为数学不等式并进入MPC的约束集。否则就会出现”算法最优但制度不可执行”的尴尬局面——控制器给出的”最优方案”被调度员否决，系统实质上退回到人工决策模式。引导案例中泵站频繁启停的问题，正是因为控制策略未将操作约束（启停次数上限）纳入优化器的显式约束。</w:t>
            </w:r>
          </w:p>
        </w:tc>
      </w:tr>
      <w:tr>
        <w:tc>
          <w:tcPr/>
          <w:p>
            <w:pPr>
              <w:pStyle w:val="Compact"/>
              <w:jc w:val="left"/>
            </w:pPr>
            <w:r>
              <w:t xml:space="preserve">### 2.2.4 运行设计域（ODD）在水系统中的定义</w:t>
            </w:r>
          </w:p>
        </w:tc>
      </w:tr>
      <w:tr>
        <w:tc>
          <w:tcPr/>
          <w:p>
            <w:pPr>
              <w:pStyle w:val="Compact"/>
              <w:jc w:val="left"/>
            </w:pPr>
            <w:r>
              <w:t xml:space="preserve">日常生活中有一个直觉类比：一个优秀的新手司机在白天的城市道路上可以安全驾驶，但你不会让他在暴风雪中走山路——不是因为他技术差，而是因为那超出了他经过训练和验证的”工作条件范围”。水系统的ODD正是这个意思：明确界定自主控制系统”在什么条件下可以放心工作”。</w:t>
            </w:r>
          </w:p>
        </w:tc>
      </w:tr>
      <w:tr>
        <w:tc>
          <w:tcPr/>
          <w:p>
            <w:pPr>
              <w:pStyle w:val="Compact"/>
              <w:jc w:val="left"/>
            </w:pPr>
            <w:r>
              <w:t xml:space="preserve">自动驾驶领域使用”运行设计域”（Operational Design Domain, ODD）来界定自动驾驶系统可以安全运行的条件范围（参见第一章§1.3.1的SAE分级 [2-9]）。CHS将这一概念移植到水系统。参照WNAL分级框架，水系统ODD定义为五元组：</w:t>
            </w:r>
          </w:p>
        </w:tc>
      </w:tr>
      <w:tr>
        <w:tc>
          <w:tcPr/>
          <w:p>
            <w:pPr>
              <w:pStyle w:val="Compact"/>
              <w:jc w:val="left"/>
            </w:pPr>
            <m:oMathPara>
              <m:oMathParaPr>
                <m:jc m:val="center"/>
              </m:oMathParaPr>
              <m:oMath>
                <m:r>
                  <m:rPr>
                    <m:nor/>
                    <m:sty m:val="p"/>
                  </m:rPr>
                  <m:t>ODD</m:t>
                </m:r>
                <m:r>
                  <m:rPr>
                    <m:sty m:val="p"/>
                  </m:rPr>
                  <m:t>=</m:t>
                </m:r>
                <m:r>
                  <m:rPr>
                    <m:sty m:val="p"/>
                  </m:rPr>
                  <m:t>{</m:t>
                </m:r>
                <m:r>
                  <m:rPr>
                    <m:sty m:val="p"/>
                    <m:scr m:val="script"/>
                  </m:rPr>
                  <m:t>H</m:t>
                </m:r>
                <m:r>
                  <m:rPr>
                    <m:sty m:val="p"/>
                  </m:rPr>
                  <m:t>,</m:t>
                </m:r>
                <m:r>
                  <m:rPr>
                    <m:sty m:val="p"/>
                    <m:scr m:val="script"/>
                  </m:rPr>
                  <m:t>I</m:t>
                </m:r>
                <m:r>
                  <m:rPr>
                    <m:sty m:val="p"/>
                  </m:rPr>
                  <m:t>,</m:t>
                </m:r>
                <m:r>
                  <m:rPr>
                    <m:sty m:val="p"/>
                    <m:scr m:val="script"/>
                  </m:rPr>
                  <m:t>E</m:t>
                </m:r>
                <m:r>
                  <m:rPr>
                    <m:sty m:val="p"/>
                  </m:rPr>
                  <m:t>,</m:t>
                </m:r>
                <m:r>
                  <m:rPr>
                    <m:sty m:val="p"/>
                    <m:scr m:val="script"/>
                  </m:rPr>
                  <m:t>R</m:t>
                </m:r>
                <m:r>
                  <m:rPr>
                    <m:sty m:val="p"/>
                  </m:rPr>
                  <m:t>,</m:t>
                </m:r>
                <m:r>
                  <m:rPr>
                    <m:sty m:val="p"/>
                    <m:scr m:val="script"/>
                  </m:rPr>
                  <m:t>C</m:t>
                </m:r>
                <m:r>
                  <m:rPr>
                    <m:sty m:val="p"/>
                  </m:rPr>
                  <m:t>}</m:t>
                </m:r>
              </m:oMath>
            </m:oMathPara>
          </w:p>
        </w:tc>
      </w:tr>
      <w:tr>
        <w:tc>
          <w:tcPr/>
          <w:p>
            <w:pPr>
              <w:pStyle w:val="Compact"/>
              <w:jc w:val="left"/>
            </w:pPr>
            <w:r>
              <w:t xml:space="preserve">| 元素 | 含义 | 定义内容 | 工程实例 |</w:t>
            </w:r>
            <w:r>
              <w:t xml:space="preserve"> </w:t>
            </w:r>
            <w:r>
              <w:t xml:space="preserve">|——|——|———|———|</w:t>
            </w:r>
            <w:r>
              <w:t xml:space="preserve"> </w:t>
            </w:r>
            <w:r>
              <w:t xml:space="preserve">|</w:t>
            </w:r>
            <w:r>
              <w:t xml:space="preserve"> </w:t>
            </w:r>
            <m:oMath>
              <m:r>
                <m:rPr>
                  <m:sty m:val="p"/>
                  <m:scr m:val="script"/>
                </m:rPr>
                <m:t>H</m:t>
              </m:r>
            </m:oMath>
            <w:r>
              <w:t xml:space="preserve"> </w:t>
            </w:r>
            <w:r>
              <w:t xml:space="preserve">| 水文气象范围 | 来水流量上下限、降雨强度、气温区间 |</w:t>
            </w:r>
            <w:r>
              <w:t xml:space="preserve"> </w:t>
            </w:r>
            <w:r>
              <w:t xml:space="preserve">“</w:t>
            </w:r>
            <w:r>
              <w:t xml:space="preserve">适用于来水50-350 m³/s、气温-5°C以上</w:t>
            </w:r>
            <w:r>
              <w:t xml:space="preserve">”</w:t>
            </w:r>
            <w:r>
              <w:t xml:space="preserve"> </w:t>
            </w:r>
            <w:r>
              <w:t xml:space="preserve">|</w:t>
            </w:r>
            <w:r>
              <w:t xml:space="preserve"> </w:t>
            </w:r>
            <w:r>
              <w:t xml:space="preserve">|</w:t>
            </w:r>
            <w:r>
              <w:t xml:space="preserve"> </w:t>
            </w:r>
            <m:oMath>
              <m:r>
                <m:rPr>
                  <m:sty m:val="p"/>
                  <m:scr m:val="script"/>
                </m:rPr>
                <m:t>I</m:t>
              </m:r>
            </m:oMath>
            <w:r>
              <w:t xml:space="preserve"> </w:t>
            </w:r>
            <w:r>
              <w:t xml:space="preserve">| 基础设施可用性 | 设备健康度、传感器在线率、通信可达率 |</w:t>
            </w:r>
            <w:r>
              <w:t xml:space="preserve"> </w:t>
            </w:r>
            <w:r>
              <w:t xml:space="preserve">“</w:t>
            </w:r>
            <w:r>
              <w:t xml:space="preserve">SCADA传感器在线率≥95%，通信丢包率&lt;5%</w:t>
            </w:r>
            <w:r>
              <w:t xml:space="preserve">”</w:t>
            </w:r>
            <w:r>
              <w:t xml:space="preserve"> </w:t>
            </w:r>
            <w:r>
              <w:t xml:space="preserve">|</w:t>
            </w:r>
            <w:r>
              <w:t xml:space="preserve"> </w:t>
            </w:r>
            <w:r>
              <w:t xml:space="preserve">|</w:t>
            </w:r>
            <w:r>
              <w:t xml:space="preserve"> </w:t>
            </w:r>
            <m:oMath>
              <m:r>
                <m:rPr>
                  <m:sty m:val="p"/>
                  <m:scr m:val="script"/>
                </m:rPr>
                <m:t>E</m:t>
              </m:r>
            </m:oMath>
            <w:r>
              <w:t xml:space="preserve"> </w:t>
            </w:r>
            <w:r>
              <w:t xml:space="preserve">| 外部需求环境 | 供水需求模式、灌溉季节、电网负荷 |</w:t>
            </w:r>
            <w:r>
              <w:t xml:space="preserve"> </w:t>
            </w:r>
            <w:r>
              <w:t xml:space="preserve">“</w:t>
            </w:r>
            <w:r>
              <w:t xml:space="preserve">城市日供水量波动在±20%以内</w:t>
            </w:r>
            <w:r>
              <w:t xml:space="preserve">”</w:t>
            </w:r>
            <w:r>
              <w:t xml:space="preserve"> </w:t>
            </w:r>
            <w:r>
              <w:t xml:space="preserve">|</w:t>
            </w:r>
            <w:r>
              <w:t xml:space="preserve"> </w:t>
            </w:r>
            <w:r>
              <w:t xml:space="preserve">|</w:t>
            </w:r>
            <w:r>
              <w:t xml:space="preserve"> </w:t>
            </w:r>
            <m:oMath>
              <m:r>
                <m:rPr>
                  <m:sty m:val="p"/>
                  <m:scr m:val="script"/>
                </m:rPr>
                <m:t>R</m:t>
              </m:r>
            </m:oMath>
            <w:r>
              <w:t xml:space="preserve"> </w:t>
            </w:r>
            <w:r>
              <w:t xml:space="preserve">| 风险边界 | 风险等级、应急响应等级 |</w:t>
            </w:r>
            <w:r>
              <w:t xml:space="preserve"> </w:t>
            </w:r>
            <w:r>
              <w:t xml:space="preserve">“</w:t>
            </w:r>
            <w:r>
              <w:t xml:space="preserve">非汛期、上游水库无泄洪风险</w:t>
            </w:r>
            <w:r>
              <w:t xml:space="preserve">”</w:t>
            </w:r>
            <w:r>
              <w:t xml:space="preserve"> </w:t>
            </w:r>
            <w:r>
              <w:t xml:space="preserve">|</w:t>
            </w:r>
            <w:r>
              <w:t xml:space="preserve"> </w:t>
            </w:r>
            <w:r>
              <w:t xml:space="preserve">|</w:t>
            </w:r>
            <w:r>
              <w:t xml:space="preserve"> </w:t>
            </w:r>
            <m:oMath>
              <m:r>
                <m:rPr>
                  <m:sty m:val="p"/>
                  <m:scr m:val="script"/>
                </m:rPr>
                <m:t>C</m:t>
              </m:r>
            </m:oMath>
            <w:r>
              <w:t xml:space="preserve"> </w:t>
            </w:r>
            <w:r>
              <w:t xml:space="preserve">| 控制能力边界 | 模型精度、算力资源、人工值守等级 |</w:t>
            </w:r>
            <w:r>
              <w:t xml:space="preserve"> </w:t>
            </w:r>
            <w:r>
              <w:t xml:space="preserve">“</w:t>
            </w:r>
            <w:r>
              <w:t xml:space="preserve">IDZ模型经当前工况验证，控制周期&lt;60s</w:t>
            </w:r>
            <w:r>
              <w:t xml:space="preserve">”</w:t>
            </w:r>
            <w:r>
              <w:t xml:space="preserve"> </w:t>
            </w:r>
            <w:r>
              <w:t xml:space="preserve">|</w:t>
            </w:r>
          </w:p>
        </w:tc>
      </w:tr>
      <w:tr>
        <w:tc>
          <w:tcPr/>
          <w:p>
            <w:pPr>
              <w:pStyle w:val="Compact"/>
              <w:jc w:val="left"/>
            </w:pPr>
            <w:r>
              <w:t xml:space="preserve">ODD不是”附件说明”，而是自主运行的责任边界。超出ODD，系统必须降级或请求人工接管（详见§2.7四态机）。ODD也是动态的：随着系统积累运行经验和验证数据，ODD可以逐步扩展。这与WNAL等级跃迁的逻辑一致——从L2到L3的关键跃迁之一，就是ODD从”稳态输水”扩展到”包含常见扰动的输水”。胶东调水工程在2023年的WNAL L2→L3试运行中，ODD从”设计流量±10%</w:t>
            </w:r>
            <w:r>
              <w:t xml:space="preserve">“</w:t>
            </w:r>
            <w:r>
              <w:t xml:space="preserve">逐步扩展到</w:t>
            </w:r>
            <w:r>
              <w:t xml:space="preserve">”</w:t>
            </w:r>
            <w:r>
              <w:t xml:space="preserve">设计流量±30%“，每次扩展都经过了SIL/HIL验证（第三章原理五）[2-10]。</w:t>
            </w:r>
          </w:p>
        </w:tc>
      </w:tr>
    </w:tbl>
    <w:bookmarkEnd w:id="22"/>
    <w:bookmarkEnd w:id="23"/>
    <w:bookmarkStart w:id="29" w:name="水系统的五个控制本质"/>
    <w:p>
      <w:pPr>
        <w:pStyle w:val="Heading2"/>
      </w:pPr>
      <w:r>
        <w:t xml:space="preserve">2.3 水系统的五个控制本质</w:t>
      </w:r>
    </w:p>
    <w:p>
      <w:pPr>
        <w:pStyle w:val="FirstParagraph"/>
      </w:pPr>
      <w:r>
        <w:t xml:space="preserve">水系统作为控制对象，具有不同于一般工业过程的特殊性。这些特殊性不是”困难列表”，而是控制策略设计的出发点。理解它们，是选择正确控制方法的前提。下表给出了五个控制本质的概览，后续逐一展开。</w:t>
      </w:r>
    </w:p>
    <w:tbl>
      <w:tblPr>
        <w:tblStyle w:val="Table"/>
        <w:tblW w:type="pct" w:w="5000"/>
        <w:tblLook w:firstRow="1" w:lastRow="0" w:firstColumn="0" w:lastColumn="0" w:noHBand="0" w:noVBand="0" w:val="0020"/>
        <w:jc w:val="start"/>
      </w:tblPr>
      <w:tblGrid>
        <w:gridCol w:w="1485"/>
        <w:gridCol w:w="1485"/>
        <w:gridCol w:w="3135"/>
        <w:gridCol w:w="1815"/>
      </w:tblGrid>
      <w:tr>
        <w:trPr>
          <w:tblHeader w:val="true"/>
        </w:trPr>
        <w:tc>
          <w:tcPr/>
          <w:p>
            <w:pPr>
              <w:pStyle w:val="Compact"/>
              <w:jc w:val="left"/>
            </w:pPr>
            <w:r>
              <w:t xml:space="preserve">控制本质</w:t>
            </w:r>
          </w:p>
        </w:tc>
        <w:tc>
          <w:tcPr/>
          <w:p>
            <w:pPr>
              <w:pStyle w:val="Compact"/>
              <w:jc w:val="left"/>
            </w:pPr>
            <w:r>
              <w:t xml:space="preserve">核心描述</w:t>
            </w:r>
          </w:p>
        </w:tc>
        <w:tc>
          <w:tcPr/>
          <w:p>
            <w:pPr>
              <w:pStyle w:val="Compact"/>
              <w:jc w:val="left"/>
            </w:pPr>
            <w:r>
              <w:t xml:space="preserve">对控制策略的根本要求</w:t>
            </w:r>
          </w:p>
        </w:tc>
        <w:tc>
          <w:tcPr/>
          <w:p>
            <w:pPr>
              <w:pStyle w:val="Compact"/>
              <w:jc w:val="left"/>
            </w:pPr>
            <w:r>
              <w:t xml:space="preserve">关联CHS原理</w:t>
            </w:r>
          </w:p>
        </w:tc>
      </w:tr>
      <w:tr>
        <w:tc>
          <w:tcPr/>
          <w:p>
            <w:pPr>
              <w:pStyle w:val="Compact"/>
              <w:jc w:val="left"/>
            </w:pPr>
            <w:r>
              <w:t xml:space="preserve">大时滞</w:t>
            </w:r>
          </w:p>
        </w:tc>
        <w:tc>
          <w:tcPr/>
          <w:p>
            <w:pPr>
              <w:pStyle w:val="Compact"/>
              <w:jc w:val="left"/>
            </w:pPr>
            <w:r>
              <w:t xml:space="preserve">决策有效性与响应可见性不同步</w:t>
            </w:r>
          </w:p>
        </w:tc>
        <w:tc>
          <w:tcPr/>
          <w:p>
            <w:pPr>
              <w:pStyle w:val="Compact"/>
              <w:jc w:val="left"/>
            </w:pPr>
            <w:r>
              <w:t xml:space="preserve">预测补偿，禁止基于当前偏差的冲动调节</w:t>
            </w:r>
          </w:p>
        </w:tc>
        <w:tc>
          <w:tcPr/>
          <w:p>
            <w:pPr>
              <w:pStyle w:val="Compact"/>
              <w:jc w:val="left"/>
            </w:pPr>
            <w:r>
              <w:t xml:space="preserve">原理一（传递函数化）</w:t>
            </w:r>
          </w:p>
        </w:tc>
      </w:tr>
      <w:tr>
        <w:tc>
          <w:tcPr/>
          <w:p>
            <w:pPr>
              <w:pStyle w:val="Compact"/>
              <w:jc w:val="left"/>
            </w:pPr>
            <w:r>
              <w:t xml:space="preserve">强耦合</w:t>
            </w:r>
          </w:p>
        </w:tc>
        <w:tc>
          <w:tcPr/>
          <w:p>
            <w:pPr>
              <w:pStyle w:val="Compact"/>
              <w:jc w:val="left"/>
            </w:pPr>
            <w:r>
              <w:t xml:space="preserve">局部最优常导致全局次优</w:t>
            </w:r>
          </w:p>
        </w:tc>
        <w:tc>
          <w:tcPr/>
          <w:p>
            <w:pPr>
              <w:pStyle w:val="Compact"/>
              <w:jc w:val="left"/>
            </w:pPr>
            <w:r>
              <w:t xml:space="preserve">协调层设计，分布式优化</w:t>
            </w:r>
          </w:p>
        </w:tc>
        <w:tc>
          <w:tcPr/>
          <w:p>
            <w:pPr>
              <w:pStyle w:val="Compact"/>
              <w:jc w:val="left"/>
            </w:pPr>
            <w:r>
              <w:t xml:space="preserve">原理三（分层分布式）</w:t>
            </w:r>
          </w:p>
        </w:tc>
      </w:tr>
      <w:tr>
        <w:tc>
          <w:tcPr/>
          <w:p>
            <w:pPr>
              <w:pStyle w:val="Compact"/>
              <w:jc w:val="left"/>
            </w:pPr>
            <w:r>
              <w:t xml:space="preserve">强约束</w:t>
            </w:r>
          </w:p>
        </w:tc>
        <w:tc>
          <w:tcPr/>
          <w:p>
            <w:pPr>
              <w:pStyle w:val="Compact"/>
              <w:jc w:val="left"/>
            </w:pPr>
            <w:r>
              <w:t xml:space="preserve">安全包络优先于性能最优</w:t>
            </w:r>
          </w:p>
        </w:tc>
        <w:tc>
          <w:tcPr/>
          <w:p>
            <w:pPr>
              <w:pStyle w:val="Compact"/>
              <w:jc w:val="left"/>
            </w:pPr>
            <w:r>
              <w:t xml:space="preserve">约束显式处理，安全一票否决</w:t>
            </w:r>
          </w:p>
        </w:tc>
        <w:tc>
          <w:tcPr/>
          <w:p>
            <w:pPr>
              <w:pStyle w:val="Compact"/>
              <w:jc w:val="left"/>
            </w:pPr>
            <w:r>
              <w:t xml:space="preserve">原理四（安全包络）</w:t>
            </w:r>
          </w:p>
        </w:tc>
      </w:tr>
      <w:tr>
        <w:tc>
          <w:tcPr/>
          <w:p>
            <w:pPr>
              <w:pStyle w:val="Compact"/>
              <w:jc w:val="left"/>
            </w:pPr>
            <w:r>
              <w:t xml:space="preserve">强不确定</w:t>
            </w:r>
          </w:p>
        </w:tc>
        <w:tc>
          <w:tcPr/>
          <w:p>
            <w:pPr>
              <w:pStyle w:val="Compact"/>
              <w:jc w:val="left"/>
            </w:pPr>
            <w:r>
              <w:t xml:space="preserve">稳健性优先于单场景极值</w:t>
            </w:r>
          </w:p>
        </w:tc>
        <w:tc>
          <w:tcPr/>
          <w:p>
            <w:pPr>
              <w:pStyle w:val="Compact"/>
              <w:jc w:val="left"/>
            </w:pPr>
            <w:r>
              <w:t xml:space="preserve">鲁棒/自适应策略，安全裕度</w:t>
            </w:r>
          </w:p>
        </w:tc>
        <w:tc>
          <w:tcPr/>
          <w:p>
            <w:pPr>
              <w:pStyle w:val="Compact"/>
              <w:jc w:val="left"/>
            </w:pPr>
            <w:r>
              <w:t xml:space="preserve">原理五（在环验证）</w:t>
            </w:r>
          </w:p>
        </w:tc>
      </w:tr>
      <w:tr>
        <w:tc>
          <w:tcPr/>
          <w:p>
            <w:pPr>
              <w:pStyle w:val="Compact"/>
              <w:jc w:val="left"/>
            </w:pPr>
            <w:r>
              <w:t xml:space="preserve">人机共治</w:t>
            </w:r>
          </w:p>
        </w:tc>
        <w:tc>
          <w:tcPr/>
          <w:p>
            <w:pPr>
              <w:pStyle w:val="Compact"/>
              <w:jc w:val="left"/>
            </w:pPr>
            <w:r>
              <w:t xml:space="preserve">技术正确不等于治理有效</w:t>
            </w:r>
          </w:p>
        </w:tc>
        <w:tc>
          <w:tcPr/>
          <w:p>
            <w:pPr>
              <w:pStyle w:val="Compact"/>
              <w:jc w:val="left"/>
            </w:pPr>
            <w:r>
              <w:t xml:space="preserve">可解释性，人机权限分配</w:t>
            </w:r>
          </w:p>
        </w:tc>
        <w:tc>
          <w:tcPr/>
          <w:p>
            <w:pPr>
              <w:pStyle w:val="Compact"/>
              <w:jc w:val="left"/>
            </w:pPr>
            <w:r>
              <w:t xml:space="preserve">原理七（人机共融）</w:t>
            </w:r>
          </w:p>
        </w:tc>
      </w:tr>
    </w:tbl>
    <w:bookmarkStart w:id="24" w:name="大时滞决策有效性与响应可见性不同步"/>
    <w:p>
      <w:pPr>
        <w:pStyle w:val="Heading3"/>
      </w:pPr>
      <w:r>
        <w:t xml:space="preserve">2.3.1 大时滞：决策有效性与响应可见性不同步</w:t>
      </w:r>
    </w:p>
    <w:p>
      <w:pPr>
        <w:pStyle w:val="FirstParagraph"/>
      </w:pPr>
      <w:r>
        <w:t xml:space="preserve">“</w:t>
      </w:r>
      <w:r>
        <w:t xml:space="preserve">时滞</w:t>
      </w:r>
      <w:r>
        <w:t xml:space="preserve">”</w:t>
      </w:r>
      <w:r>
        <w:t xml:space="preserve">是水系统控制面临的首要挑战，也是水系统区别于大多数工业控制系统的最显著特征。在长距离明渠中，上游闸门调节后，水位变化以明渠波速传播到下游，传播时间从数十分钟到数小时不等。南水北调中线总干渠全长1,432千米，从陶岔渠首到北京团城湖终端，水流传播时间约15天 [2-4]。即使是单个渠池（两个相邻控制闸之间的渠段），时滞也通常在30分钟到4小时之间。作为对比，化工过程的典型时滞在秒到分钟级，电力系统的频率调节时滞在秒级。</w:t>
      </w:r>
    </w:p>
    <w:p>
      <w:pPr>
        <w:pStyle w:val="BodyText"/>
      </w:pPr>
      <w:r>
        <w:t xml:space="preserve">时滞的工程后果是严重的——引导案例中的三个问题，追根溯源都与时滞有关。当调度员根据当前水位偏差调整闸门后，效果不会立即显现。如果调度员在效果到达之前因”看不到变化”而追加调节量，就会形成”二次补偿过度”，导致目标断面出现大幅超调（引导案例中的”超调”问题）。超调又触发反向调节，形成持续振荡（引导案例中的”振荡”问题）。而振荡期间为维持泵站出口水位，泵组被迫频繁启停（引导案例中的”设备疲劳”问题），能耗显著上升。</w:t>
      </w:r>
    </w:p>
    <w:p>
      <w:pPr>
        <w:pStyle w:val="BodyText"/>
      </w:pPr>
      <w:r>
        <w:t xml:space="preserve">在控制理论中，时滞系统的稳定性远比无时滞系统严苛。对于具有纯时滞</w:t>
      </w:r>
      <m:oMath>
        <m:r>
          <m:t>τ</m:t>
        </m:r>
      </m:oMath>
      <w:r>
        <w:t xml:space="preserve">的一阶积分系统，若采用比例控制，闭环稳定的充分必要条件是控制增益</w:t>
      </w:r>
      <m:oMath>
        <m:r>
          <m:t>K</m:t>
        </m:r>
        <m:r>
          <m:rPr>
            <m:sty m:val="p"/>
          </m:rPr>
          <m:t>&lt;</m:t>
        </m:r>
        <m:f>
          <m:fPr>
            <m:type m:val="bar"/>
          </m:fPr>
          <m:num>
            <m:r>
              <m:t>1</m:t>
            </m:r>
          </m:num>
          <m:den>
            <m:r>
              <m:t>τ</m:t>
            </m:r>
            <m:sSub>
              <m:e>
                <m:r>
                  <m:t>A</m:t>
                </m:r>
              </m:e>
              <m:sub>
                <m:r>
                  <m:t>d</m:t>
                </m:r>
              </m:sub>
            </m:sSub>
          </m:den>
        </m:f>
      </m:oMath>
      <w:r>
        <w:t xml:space="preserve">（其中</w:t>
      </w:r>
      <m:oMath>
        <m:sSub>
          <m:e>
            <m:r>
              <m:t>A</m:t>
            </m:r>
          </m:e>
          <m:sub>
            <m:r>
              <m:t>d</m:t>
            </m:r>
          </m:sub>
        </m:sSub>
      </m:oMath>
      <w:r>
        <w:t xml:space="preserve">为系统直流增益）。这意味着时滞越大，允许的控制增益越小，系统响应越慢。这解释了一个工程直觉：长渠道的水位控制”既不能太猛、也不能太慢”——太猛就振荡，太慢就跟不上扰动。</w:t>
      </w:r>
    </w:p>
    <w:p>
      <w:pPr>
        <w:pStyle w:val="BodyText"/>
      </w:pPr>
      <w:r>
        <w:t xml:space="preserve">工程应对策略包括三种互补手段。第一是</w:t>
      </w:r>
      <w:r>
        <w:rPr>
          <w:bCs/>
          <w:b/>
        </w:rPr>
        <w:t xml:space="preserve">预测补偿</w:t>
      </w:r>
      <w:r>
        <w:t xml:space="preserve">——利用模型预测未来若干步的系统状态，将控制动作提前发出。MPC天然具备这一能力：它在每个控制周期内求解一个有限时域优化问题，预测时域覆盖时滞长度，从而”看见”当前动作的未来效果。Van Overloop [2-8] 在荷兰水系统中的实践表明，MPC相比纯反馈控制可将水位偏差减小60%以上。第二是</w:t>
      </w:r>
      <w:r>
        <w:rPr>
          <w:bCs/>
          <w:b/>
        </w:rPr>
        <w:t xml:space="preserve">时滞在线辨识</w:t>
      </w:r>
      <w:r>
        <w:t xml:space="preserve">——时滞参数并非固定不变（大流量时波速快、时滞短），在线辨识时滞变化并更新控制器参数是保持控制品质的关键。第三是</w:t>
      </w:r>
      <w:r>
        <w:rPr>
          <w:bCs/>
          <w:b/>
        </w:rPr>
        <w:t xml:space="preserve">分段前馈</w:t>
      </w:r>
      <w:r>
        <w:t xml:space="preserve">——在多闸联控系统中，将上游闸门的动作信息作为前馈信号传递给下游控制器，使下游提前”预知”上游的调节意图，缩短等效时滞。</w:t>
      </w:r>
    </w:p>
    <w:bookmarkEnd w:id="24"/>
    <w:bookmarkStart w:id="25" w:name="强耦合局部最优常导致全局次优"/>
    <w:p>
      <w:pPr>
        <w:pStyle w:val="Heading3"/>
      </w:pPr>
      <w:r>
        <w:t xml:space="preserve">2.3.2 强耦合：局部最优常导致全局次优</w:t>
      </w:r>
    </w:p>
    <w:p>
      <w:pPr>
        <w:pStyle w:val="FirstParagraph"/>
      </w:pPr>
      <w:r>
        <w:t xml:space="preserve">水系统本质上是多输入多输出（MIMO）系统：多个闸门、泵站、阀组共同作用于一个互联的水力网络。一个节点的控制动作会通过水力连接传播到相邻甚至远方的节点。引导案例中，上游闸门回调后下游泵站反向补偿导致中游振荡，正是耦合效应的典型表现——每个节点各自”合理”的响应叠加后，系统整体行为却失控。</w:t>
      </w:r>
    </w:p>
    <w:p>
      <w:pPr>
        <w:pStyle w:val="BodyText"/>
      </w:pPr>
      <w:r>
        <w:t xml:space="preserve">以三个串联渠池为例，每池一个下游控制闸。若中间渠池为了稳定本池水位而关小闸门，则上游渠池水位将因流量受阻而升高，下游渠池水位将因来水减少而降低。三个渠池各自独立控制时，每个控制器都在”正确地”追踪本地目标，但系统整体出现”水位此升彼降”的振荡——Schuurmans等 [2-11] 最早系统分析了这一现象，将其命名为”交互不稳定”（interaction instability）。</w:t>
      </w:r>
    </w:p>
    <w:p>
      <w:pPr>
        <w:pStyle w:val="BodyText"/>
      </w:pPr>
      <w:r>
        <w:t xml:space="preserve">交互不稳定的本质是信息不对称：每个局部控制器只看到自己渠池的状态，不知道相邻控制器在做什么。当所有控制器同时响应各自的偏差信号时，它们的动作在水力层面相互叠加、相互干扰，形成”你关我开、我关你开”的对抗循环。</w:t>
      </w:r>
    </w:p>
    <w:p>
      <w:pPr>
        <w:pStyle w:val="BodyText"/>
      </w:pPr>
      <w:r>
        <w:t xml:space="preserve">解决耦合问题的核心思路是引入协调层。在分层控制架构（§2.4.3）中，协调层接收各局部控制器的状态信息，计算跨区域的流量分配方案，再下发给各局部控制器作为约束或参考轨迹。分布式模型预测控制（DMPC）是实现这一协调的有效工具：各局部MPC控制器通过信息交换实现协商，在保持分布式计算效率的同时逼近集中式优化的性能 [2-12]。</w:t>
      </w:r>
    </w:p>
    <w:bookmarkEnd w:id="25"/>
    <w:bookmarkStart w:id="26" w:name="强约束安全包络优先于性能最优"/>
    <w:p>
      <w:pPr>
        <w:pStyle w:val="Heading3"/>
      </w:pPr>
      <w:r>
        <w:t xml:space="preserve">2.3.3 强约束：安全包络优先于性能最优</w:t>
      </w:r>
    </w:p>
    <w:p>
      <w:pPr>
        <w:pStyle w:val="FirstParagraph"/>
      </w:pPr>
      <w:r>
        <w:t xml:space="preserve">与许多工业过程控制不同，水系统控制的第一目标不是”更优”，而是”不越界”。水位越过堤顶就是漫溢事故，低于最低运行水位就可能导致气蚀或断流，流量低于生态红线就是违法行为。这些约束是硬约束——不允许以”平均意义上满足”来妥协，也不允许以”概率足够小”来辩解。引导案例中，水位超调峰值逼近渠道设计超高的较高比例，距离漫溢事故仅一步之遥——这说明现有的控制方式缺乏对安全边界的主动感知和预防机制。</w:t>
      </w:r>
    </w:p>
    <w:p>
      <w:pPr>
        <w:pStyle w:val="BodyText"/>
      </w:pPr>
      <w:r>
        <w:t xml:space="preserve">CHS引入”安全包络”（Safety Envelope）概念（原理四，详见第三章§3.4），其设计灵感来自航空领域的”飞行包络保护”——民航客机的飞行控制系统会自动防止飞行员做出超出飞机结构强度或气动极限的操作，即使飞行员用力拉杆，飞机也不会超过允许的迎角。类似地，水系统安全包络将运行空间划分为三个区域：</w:t>
      </w:r>
      <w:r>
        <w:rPr>
          <w:bCs/>
          <w:b/>
        </w:rPr>
        <w:t xml:space="preserve">绿区</w:t>
      </w:r>
      <w:r>
        <w:t xml:space="preserve">（正常运行，性能优先）、</w:t>
      </w:r>
      <w:r>
        <w:rPr>
          <w:bCs/>
          <w:b/>
        </w:rPr>
        <w:t xml:space="preserve">黄区</w:t>
      </w:r>
      <w:r>
        <w:t xml:space="preserve">（接近边界，保守策略）和</w:t>
      </w:r>
      <w:r>
        <w:rPr>
          <w:bCs/>
          <w:b/>
        </w:rPr>
        <w:t xml:space="preserve">红区</w:t>
      </w:r>
      <w:r>
        <w:t xml:space="preserve">（触及极限，强制保护）。控制器的设计必须显式处理这三个区域。在绿区内，控制器追求性能最优（水位偏差最小、能耗最低）；进入黄区后，控制器自动收缩可操作域，采用更保守的参数；一旦触及红区，控制器切换到最小风险策略（固定流量带、保底水位带），无需等待人工确认。</w:t>
      </w:r>
    </w:p>
    <w:p>
      <w:pPr>
        <w:pStyle w:val="BodyText"/>
      </w:pPr>
      <w:r>
        <w:t xml:space="preserve">这一设计哲学的工程含义简洁而深刻：</w:t>
      </w:r>
      <w:r>
        <w:rPr>
          <w:bCs/>
          <w:b/>
        </w:rPr>
        <w:t xml:space="preserve">控制器不是”尽力而为”，而是”先保安全、再求最优”。</w:t>
      </w:r>
      <w:r>
        <w:t xml:space="preserve"> </w:t>
      </w:r>
      <w:r>
        <w:t xml:space="preserve">在MPC框架中，这体现为将安全约束作为硬约束、性能目标作为目标函数——当二者冲突时，安全约束永远优先。</w:t>
      </w:r>
    </w:p>
    <w:bookmarkEnd w:id="26"/>
    <w:bookmarkStart w:id="27" w:name="强不确定稳健性优先于单场景极值"/>
    <w:p>
      <w:pPr>
        <w:pStyle w:val="Heading3"/>
      </w:pPr>
      <w:r>
        <w:t xml:space="preserve">2.3.4 强不确定：稳健性优先于单场景极值</w:t>
      </w:r>
    </w:p>
    <w:p>
      <w:pPr>
        <w:pStyle w:val="FirstParagraph"/>
      </w:pPr>
      <w:r>
        <w:t xml:space="preserve">来水预报有误差，需求预测不准确，设备可能突发故障，传感器可能给出错误读数。水系统运行面对的不确定性是全方位的。</w:t>
      </w:r>
    </w:p>
    <w:p>
      <w:pPr>
        <w:pStyle w:val="BodyText"/>
      </w:pPr>
      <w:r>
        <w:t xml:space="preserve">传统调度优化常以”典型年”或”设计工况”为基础，追求在特定场景下的最优解。这种做法的问题在于：最优解往往是”尖锐”的——它恰好利用了特定场景的所有信息，但对场景的偏离非常敏感。Milly等 [2-13] 在《Science》上的经典论文明确指出”水文平稳性已死”，传统基于历史水文统计的调度规则正在失去可靠性基础。一个在”50年一遇”来水条件下精心优化的调度方案，在实际遇到”30年一遇”来水时可能表现很差。</w:t>
      </w:r>
    </w:p>
    <w:p>
      <w:pPr>
        <w:pStyle w:val="BodyText"/>
      </w:pPr>
      <w:r>
        <w:t xml:space="preserve">CHS强调控制性能评价应关注</w:t>
      </w:r>
      <w:r>
        <w:rPr>
          <w:bCs/>
          <w:b/>
        </w:rPr>
        <w:t xml:space="preserve">跨场景稳定达标</w:t>
      </w:r>
      <w:r>
        <w:t xml:space="preserve">，而非单次指标”最好看”。相应的控制策略形成一个方法梯度：鲁棒MPC在约束中考虑参数不确定范围，确保最坏情况下仍满足约束，代价是名义性能下降 [2-14]；随机MPC将不确定性建模为概率分布，在期望意义上优化性能，以概率约束保证安全；在线自适应通过递推最小二乘、卡尔曼滤波 [2-15] 等方法持续更新模型参数，使控制器适应变化工况。</w:t>
      </w:r>
    </w:p>
    <w:p>
      <w:pPr>
        <w:pStyle w:val="BodyText"/>
      </w:pPr>
      <w:r>
        <w:t xml:space="preserve">工程选择准则是：不确定性可量化且有限时，优先采用鲁棒MPC；不确定性可建模为概率分布时，考虑随机MPC；不确定性来源不明时，依赖在线自适应并保持充分安全裕度。</w:t>
      </w:r>
    </w:p>
    <w:bookmarkEnd w:id="27"/>
    <w:bookmarkStart w:id="28" w:name="人机共治技术正确不等于治理有效"/>
    <w:p>
      <w:pPr>
        <w:pStyle w:val="Heading3"/>
      </w:pPr>
      <w:r>
        <w:t xml:space="preserve">2.3.5 人机共治：技术正确不等于治理有效</w:t>
      </w:r>
    </w:p>
    <w:p>
      <w:pPr>
        <w:pStyle w:val="FirstParagraph"/>
      </w:pPr>
      <w:r>
        <w:t xml:space="preserve">水系统是公共基础设施，其运行不仅是技术问题，也是治理问题。一个控制方案即使在数学上最优，如果调度员不理解、不信任、不愿执行，它就是无效的。引导案例复盘中的那句总结——</w:t>
      </w:r>
      <w:r>
        <w:t xml:space="preserve">“</w:t>
      </w:r>
      <w:r>
        <w:t xml:space="preserve">我们不缺数据，缺的是一套从数据到动作的翻译系统</w:t>
      </w:r>
      <w:r>
        <w:t xml:space="preserve">”</w:t>
      </w:r>
      <w:r>
        <w:t xml:space="preserve">——恰恰揭示了人机接口的缺失：系统没有将监测数据”翻译”为调度员能理解的控制建议。</w:t>
      </w:r>
    </w:p>
    <w:p>
      <w:pPr>
        <w:pStyle w:val="BodyText"/>
      </w:pPr>
      <w:r>
        <w:t xml:space="preserve">这一特性要求水系统控制器具备”可解释性”（Explainability）：系统必须能够解释”为何建议此动作、风险在哪里、何时应接管”。CHS将此作为系统设计的内在要求（原理七”人机共融”），而非事后附加的”解释模块”。</w:t>
      </w:r>
    </w:p>
    <w:p>
      <w:pPr>
        <w:pStyle w:val="BodyText"/>
      </w:pPr>
      <w:r>
        <w:t xml:space="preserve">人机共治在控制架构中体现为三个层次。第一是</w:t>
      </w:r>
      <w:r>
        <w:rPr>
          <w:bCs/>
          <w:b/>
        </w:rPr>
        <w:t xml:space="preserve">信息层</w:t>
      </w:r>
      <w:r>
        <w:t xml:space="preserve">——系统将关键状态、预测结果和约束余量以直观方式呈现给调度员，使其能够”一眼看懂”当前局势。第二是</w:t>
      </w:r>
      <w:r>
        <w:rPr>
          <w:bCs/>
          <w:b/>
        </w:rPr>
        <w:t xml:space="preserve">建议层</w:t>
      </w:r>
      <w:r>
        <w:t xml:space="preserve">——系统给出控制建议，并附带”如果不采纳会怎样”的对比分析，调度员可以选择接受、修改或否决。第三是</w:t>
      </w:r>
      <w:r>
        <w:rPr>
          <w:bCs/>
          <w:b/>
        </w:rPr>
        <w:t xml:space="preserve">权限层</w:t>
      </w:r>
      <w:r>
        <w:t xml:space="preserve">——明确哪些决策可以自动执行、哪些需要人工确认、哪些场景下人工可以否决自动系统。这一权限分配与WNAL等级直接相关：L2需要持续人工监控，L3仅在超出ODD时需要人工介入。</w:t>
      </w:r>
    </w:p>
    <w:p>
      <w:pPr>
        <w:pStyle w:val="BodyText"/>
      </w:pPr>
      <w:r>
        <w:t xml:space="preserve">人机共治决定了CHS不仅是控制理论问题，也是运行治理问题。它要求控制系统设计者不仅懂算法，还懂制度设计和人因工程。第七章将进一步讨论这一维度对人才培养的影响。</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2.4 经典控制框架在水系统中的工程映射</w:t>
            </w:r>
          </w:p>
        </w:tc>
      </w:tr>
      <w:tr>
        <w:tc>
          <w:tcPr/>
          <w:p>
            <w:pPr>
              <w:pStyle w:val="Compact"/>
              <w:jc w:val="left"/>
            </w:pPr>
            <w:r>
              <w:t xml:space="preserve">### 2.4.1 开环、闭环与监督闭环</w:t>
            </w:r>
          </w:p>
        </w:tc>
      </w:tr>
      <w:tr>
        <w:tc>
          <w:tcPr/>
          <w:p>
            <w:pPr>
              <w:pStyle w:val="Compact"/>
              <w:jc w:val="left"/>
            </w:pPr>
            <w:r>
              <w:t xml:space="preserve">控制论中最基本的概念区分是开环控制与闭环控制。在水系统语境下，这一区分有着直接的工程含义。</w:t>
            </w:r>
          </w:p>
        </w:tc>
      </w:tr>
      <w:tr>
        <w:tc>
          <w:tcPr/>
          <w:p>
            <w:pPr>
              <w:pStyle w:val="Compact"/>
              <w:jc w:val="left"/>
            </w:pPr>
            <w:r>
              <w:rPr>
                <w:bCs/>
                <w:b/>
              </w:rPr>
              <w:t xml:space="preserve">开环控制</w:t>
            </w:r>
            <w:r>
              <w:t xml:space="preserve">指按预定规程操作，不根据实时反馈调整。典型场景是”按时间表放水”：早8点开闸至30%开度、午12点调至50%、晚8点关闸。这种方式适用于低波动、低风险、高度重复的简单任务，如固定灌溉轮次的渠道配水。其优势是实施简单、不依赖传感器，劣势是完全无法应对扰动——如果来水量变了、需水量变了、渠道工况变了，开环方案照样执行，结果可能是漫溢或断流。第一章§1.2.2描述的第一代”人工观测+经验调度”模式，本质上就是低频率的开环控制。</w:t>
            </w:r>
          </w:p>
        </w:tc>
      </w:tr>
      <w:tr>
        <w:tc>
          <w:tcPr/>
          <w:p>
            <w:pPr>
              <w:pStyle w:val="Compact"/>
              <w:jc w:val="left"/>
            </w:pPr>
            <w:r>
              <w:rPr>
                <w:bCs/>
                <w:b/>
              </w:rPr>
              <w:t xml:space="preserve">闭环控制</w:t>
            </w:r>
            <w:r>
              <w:t xml:space="preserve">引入传感器反馈，根据实际水位与目标水位的偏差自动调整控制动作。绝大多数现代水利自动化系统至少具备这一层能力。闭环控制的核心优势是”自动纠偏”——无论扰动来自何方，只要偏差产生，控制器就会做出相应的补偿动作。这使得系统能够在一定范围内应对预见和未预见的扰动。但闭环控制的一个隐患是：当控制器本身出现错误（如模型失准、参数漂移、软件缺陷）时，闭环反馈可能加速失稳——因为错误的控制动作产生错误的效果，错误的效果又被反馈给控制器，形成正反馈循环。</w:t>
            </w:r>
          </w:p>
        </w:tc>
      </w:tr>
      <w:tr>
        <w:tc>
          <w:tcPr/>
          <w:p>
            <w:pPr>
              <w:pStyle w:val="Compact"/>
              <w:jc w:val="left"/>
            </w:pPr>
            <w:r>
              <w:rPr>
                <w:bCs/>
                <w:b/>
              </w:rPr>
              <w:t xml:space="preserve">监督闭环</w:t>
            </w:r>
            <w:r>
              <w:t xml:space="preserve">是在闭环控制之外增加一个独立的”安全监视器”（Safety Monitor），持续评估闭环控制器的行为是否合理。如果监视器检测到异常（如控制器输出剧烈振荡、状态轨迹逼近红区、控制动作不合常理），它有权覆盖控制器的输出，强制切换到安全策略或请求人工接管。这一层对应CHS原理四”安全包络”和§2.7中的”四态机”。安全监视器的独立性至关重要：它不依赖于主控制器的模型和算法，而是基于独立的安全规则运行，类似于航空领域中”飞行包络保护”系统的设计哲学。</w:t>
            </w:r>
          </w:p>
        </w:tc>
      </w:tr>
      <w:tr>
        <w:tc>
          <w:tcPr/>
          <w:p>
            <w:pPr>
              <w:pStyle w:val="Compact"/>
              <w:jc w:val="left"/>
            </w:pPr>
            <w:r>
              <w:t xml:space="preserve">水系统的现实升级路径不是”开环→闭环”的一次跳变，而是”闭环+监督”的体系化升级。第五章HydroOS架构中的”策略门禁+四态机”模块正是监督闭环的工程实现。</w:t>
            </w:r>
          </w:p>
        </w:tc>
      </w:tr>
      <w:tr>
        <w:tc>
          <w:tcPr/>
          <w:p>
            <w:pPr>
              <w:pStyle w:val="Compact"/>
              <w:jc w:val="left"/>
            </w:pPr>
            <w:r>
              <w:t xml:space="preserve">### 2.4.2 前馈—反馈—约束协同</w:t>
            </w:r>
          </w:p>
        </w:tc>
      </w:tr>
      <w:tr>
        <w:tc>
          <w:tcPr/>
          <w:p>
            <w:pPr>
              <w:pStyle w:val="Compact"/>
              <w:jc w:val="left"/>
            </w:pPr>
            <w:r>
              <w:t xml:space="preserve">在实际水系统控制中，前馈、反馈和约束处理通常需要协同工作，三者缺一不可。</w:t>
            </w:r>
          </w:p>
        </w:tc>
      </w:tr>
      <w:tr>
        <w:tc>
          <w:tcPr/>
          <w:p>
            <w:pPr>
              <w:pStyle w:val="Compact"/>
              <w:jc w:val="left"/>
            </w:pPr>
            <w:r>
              <w:rPr>
                <w:bCs/>
                <w:b/>
              </w:rPr>
              <w:t xml:space="preserve">前馈</w:t>
            </w:r>
            <w:r>
              <w:t xml:space="preserve">解决”提前量”问题。当扰动可以提前预知——通过来水预报或上游测量值传递——前馈控制器可以在偏差尚未出现之前就发出补偿动作。在水系统中，前馈的典型应用包括：将上游闸门调节信息传递给下游控制器（解耦前馈）、将气象或水文预报信息注入控制器（预报前馈）。前馈的优势是”先发制人”，劣势是完全依赖预报精度——预报不准时反而引入额外偏差。</w:t>
            </w:r>
          </w:p>
        </w:tc>
      </w:tr>
      <w:tr>
        <w:tc>
          <w:tcPr/>
          <w:p>
            <w:pPr>
              <w:pStyle w:val="Compact"/>
              <w:jc w:val="left"/>
            </w:pPr>
            <w:r>
              <w:rPr>
                <w:bCs/>
                <w:b/>
              </w:rPr>
              <w:t xml:space="preserve">反馈</w:t>
            </w:r>
            <w:r>
              <w:t xml:space="preserve">解决”偏差纠正”问题。无论前馈多么精确，模型误差和未预见的扰动总会导致实际状态偏离目标。反馈控制器根据偏差信号持续修正，保证系统最终收敛到目标。反馈的优势是”兜底”——不需要知道扰动的来源和大小，只要偏差存在就纠正。劣势是被动——必须等到偏差产生后才开始行动，在大时滞系统中响应滞后。</w:t>
            </w:r>
          </w:p>
        </w:tc>
      </w:tr>
      <w:tr>
        <w:tc>
          <w:tcPr/>
          <w:p>
            <w:pPr>
              <w:pStyle w:val="Compact"/>
              <w:jc w:val="left"/>
            </w:pPr>
            <w:r>
              <w:rPr>
                <w:bCs/>
                <w:b/>
              </w:rPr>
              <w:t xml:space="preserve">约束处理</w:t>
            </w:r>
            <w:r>
              <w:t xml:space="preserve">确保”不可逾越边界”。在MPC框架中，约束被直接纳入优化问题的求解过程：</w:t>
            </w:r>
          </w:p>
        </w:tc>
      </w:tr>
      <w:tr>
        <w:tc>
          <w:tcPr/>
          <w:p>
            <w:pPr>
              <w:pStyle w:val="Compact"/>
              <w:jc w:val="left"/>
            </w:pPr>
            <m:oMathPara>
              <m:oMathParaPr>
                <m:jc m:val="center"/>
              </m:oMathParaPr>
              <m:oMath>
                <m:limLow>
                  <m:e>
                    <m:r>
                      <m:rPr>
                        <m:sty m:val="p"/>
                      </m:rPr>
                      <m:t>min</m:t>
                    </m:r>
                  </m:e>
                  <m:lim>
                    <m:sSub>
                      <m:e>
                        <m:r>
                          <m:t>u</m:t>
                        </m:r>
                      </m:e>
                      <m:sub>
                        <m:r>
                          <m:t>k</m:t>
                        </m:r>
                      </m:sub>
                    </m:sSub>
                    <m:r>
                      <m:rPr>
                        <m:sty m:val="p"/>
                      </m:rPr>
                      <m:t>,</m:t>
                    </m:r>
                    <m:r>
                      <m:rPr>
                        <m:sty m:val="p"/>
                      </m:rPr>
                      <m:t>…</m:t>
                    </m:r>
                    <m:r>
                      <m:rPr>
                        <m:sty m:val="p"/>
                      </m:rPr>
                      <m:t>,</m:t>
                    </m:r>
                    <m:sSub>
                      <m:e>
                        <m:r>
                          <m:t>u</m:t>
                        </m:r>
                      </m:e>
                      <m:sub>
                        <m:r>
                          <m:t>k</m:t>
                        </m:r>
                        <m:r>
                          <m:rPr>
                            <m:sty m:val="p"/>
                          </m:rPr>
                          <m:t>+</m:t>
                        </m:r>
                        <m:r>
                          <m:t>N</m:t>
                        </m:r>
                        <m:r>
                          <m:rPr>
                            <m:sty m:val="p"/>
                          </m:rPr>
                          <m:t>−</m:t>
                        </m:r>
                        <m:r>
                          <m:t>1</m:t>
                        </m:r>
                      </m:sub>
                    </m:sSub>
                  </m:lim>
                </m:limLow>
                <m:nary>
                  <m:naryPr>
                    <m:chr m:val="∑"/>
                    <m:limLoc m:val="undOvr"/>
                    <m:subHide m:val="off"/>
                    <m:supHide m:val="off"/>
                  </m:naryPr>
                  <m:sub>
                    <m:r>
                      <m:t>i</m:t>
                    </m:r>
                    <m:r>
                      <m:rPr>
                        <m:sty m:val="p"/>
                      </m:rPr>
                      <m:t>=</m:t>
                    </m:r>
                    <m:r>
                      <m:t>0</m:t>
                    </m:r>
                  </m:sub>
                  <m:sup>
                    <m:r>
                      <m:t>N</m:t>
                    </m:r>
                    <m:r>
                      <m:rPr>
                        <m:sty m:val="p"/>
                      </m:rPr>
                      <m:t>−</m:t>
                    </m:r>
                    <m:r>
                      <m:t>1</m:t>
                    </m:r>
                  </m:sup>
                  <m:e>
                    <m:d>
                      <m:dPr>
                        <m:begChr m:val="["/>
                        <m:endChr m:val="]"/>
                        <m:sepChr m:val=""/>
                        <m:grow/>
                      </m:dPr>
                      <m:e>
                        <m:r>
                          <m:rPr>
                            <m:sty m:val="p"/>
                          </m:rPr>
                          <m:t>∥</m:t>
                        </m:r>
                        <m:sSub>
                          <m:e>
                            <m:r>
                              <m:t>y</m:t>
                            </m:r>
                          </m:e>
                          <m:sub>
                            <m:r>
                              <m:t>k</m:t>
                            </m:r>
                            <m:r>
                              <m:rPr>
                                <m:sty m:val="p"/>
                              </m:rPr>
                              <m:t>+</m:t>
                            </m:r>
                            <m:r>
                              <m:t>i</m:t>
                            </m:r>
                          </m:sub>
                        </m:sSub>
                        <m:r>
                          <m:rPr>
                            <m:sty m:val="p"/>
                          </m:rPr>
                          <m:t>−</m:t>
                        </m:r>
                        <m:sSub>
                          <m:e>
                            <m:r>
                              <m:t>r</m:t>
                            </m:r>
                          </m:e>
                          <m:sub>
                            <m:r>
                              <m:t>k</m:t>
                            </m:r>
                            <m:r>
                              <m:rPr>
                                <m:sty m:val="p"/>
                              </m:rPr>
                              <m:t>+</m:t>
                            </m:r>
                            <m:r>
                              <m:t>i</m:t>
                            </m:r>
                          </m:sub>
                        </m:sSub>
                        <m:sSubSup>
                          <m:e>
                            <m:r>
                              <m:rPr>
                                <m:sty m:val="p"/>
                              </m:rPr>
                              <m:t>∥</m:t>
                            </m:r>
                          </m:e>
                          <m:sub>
                            <m:r>
                              <m:t>Q</m:t>
                            </m:r>
                          </m:sub>
                          <m:sup>
                            <m:r>
                              <m:t>2</m:t>
                            </m:r>
                          </m:sup>
                        </m:sSubSup>
                        <m:r>
                          <m:rPr>
                            <m:sty m:val="p"/>
                          </m:rPr>
                          <m:t>+</m:t>
                        </m:r>
                        <m:r>
                          <m:rPr>
                            <m:sty m:val="p"/>
                          </m:rPr>
                          <m:t>∥</m:t>
                        </m:r>
                        <m:r>
                          <m:t>Δ</m:t>
                        </m:r>
                        <m:sSub>
                          <m:e>
                            <m:r>
                              <m:t>u</m:t>
                            </m:r>
                          </m:e>
                          <m:sub>
                            <m:r>
                              <m:t>k</m:t>
                            </m:r>
                            <m:r>
                              <m:rPr>
                                <m:sty m:val="p"/>
                              </m:rPr>
                              <m:t>+</m:t>
                            </m:r>
                            <m:r>
                              <m:t>i</m:t>
                            </m:r>
                          </m:sub>
                        </m:sSub>
                        <m:sSubSup>
                          <m:e>
                            <m:r>
                              <m:rPr>
                                <m:sty m:val="p"/>
                              </m:rPr>
                              <m:t>∥</m:t>
                            </m:r>
                          </m:e>
                          <m:sub>
                            <m:r>
                              <m:t>R</m:t>
                            </m:r>
                          </m:sub>
                          <m:sup>
                            <m:r>
                              <m:t>2</m:t>
                            </m:r>
                          </m:sup>
                        </m:sSubSup>
                      </m:e>
                    </m:d>
                  </m:e>
                </m:nary>
              </m:oMath>
            </m:oMathPara>
          </w:p>
        </w:tc>
      </w:tr>
      <w:tr>
        <w:tc>
          <w:tcPr/>
          <w:p>
            <w:pPr>
              <w:pStyle w:val="Compact"/>
              <w:jc w:val="left"/>
            </w:pPr>
            <m:oMathPara>
              <m:oMathParaPr>
                <m:jc m:val="center"/>
              </m:oMathParaPr>
              <m:oMath>
                <m:r>
                  <m:rPr>
                    <m:nor/>
                    <m:sty m:val="p"/>
                  </m:rPr>
                  <m:t>s.t.</m:t>
                </m:r>
                <m:r>
                  <m:t> </m:t>
                </m:r>
                <m:sSub>
                  <m:e>
                    <m:r>
                      <m:t>x</m:t>
                    </m:r>
                  </m:e>
                  <m:sub>
                    <m:r>
                      <m:t>k</m:t>
                    </m:r>
                    <m:r>
                      <m:rPr>
                        <m:sty m:val="p"/>
                      </m:rPr>
                      <m:t>+</m:t>
                    </m:r>
                    <m:r>
                      <m:t>i</m:t>
                    </m:r>
                    <m:r>
                      <m:rPr>
                        <m:sty m:val="p"/>
                      </m:rPr>
                      <m:t>+</m:t>
                    </m:r>
                    <m:r>
                      <m:t>1</m:t>
                    </m:r>
                  </m:sub>
                </m:sSub>
                <m:r>
                  <m:rPr>
                    <m:sty m:val="p"/>
                  </m:rPr>
                  <m:t>=</m:t>
                </m:r>
                <m:r>
                  <m:t>f</m:t>
                </m:r>
                <m:d>
                  <m:dPr>
                    <m:begChr m:val="("/>
                    <m:endChr m:val=")"/>
                    <m:sepChr m:val=""/>
                    <m:grow/>
                  </m:dPr>
                  <m:e>
                    <m:sSub>
                      <m:e>
                        <m:r>
                          <m:t>x</m:t>
                        </m:r>
                      </m:e>
                      <m:sub>
                        <m:r>
                          <m:t>k</m:t>
                        </m:r>
                        <m:r>
                          <m:rPr>
                            <m:sty m:val="p"/>
                          </m:rPr>
                          <m:t>+</m:t>
                        </m:r>
                        <m:r>
                          <m:t>i</m:t>
                        </m:r>
                      </m:sub>
                    </m:sSub>
                    <m:r>
                      <m:rPr>
                        <m:sty m:val="p"/>
                      </m:rPr>
                      <m:t>,</m:t>
                    </m:r>
                    <m:sSub>
                      <m:e>
                        <m:r>
                          <m:t>u</m:t>
                        </m:r>
                      </m:e>
                      <m:sub>
                        <m:r>
                          <m:t>k</m:t>
                        </m:r>
                        <m:r>
                          <m:rPr>
                            <m:sty m:val="p"/>
                          </m:rPr>
                          <m:t>+</m:t>
                        </m:r>
                        <m:r>
                          <m:t>i</m:t>
                        </m:r>
                      </m:sub>
                    </m:sSub>
                    <m:r>
                      <m:rPr>
                        <m:sty m:val="p"/>
                      </m:rPr>
                      <m:t>,</m:t>
                    </m:r>
                    <m:sSub>
                      <m:e>
                        <m:r>
                          <m:t>d</m:t>
                        </m:r>
                      </m:e>
                      <m:sub>
                        <m:r>
                          <m:t>k</m:t>
                        </m:r>
                        <m:r>
                          <m:rPr>
                            <m:sty m:val="p"/>
                          </m:rPr>
                          <m:t>+</m:t>
                        </m:r>
                        <m:r>
                          <m:t>i</m:t>
                        </m:r>
                      </m:sub>
                    </m:sSub>
                  </m:e>
                </m:d>
                <m:r>
                  <m:rPr>
                    <m:sty m:val="p"/>
                  </m:rPr>
                  <m:t>,</m:t>
                </m:r>
                <m:r>
                  <m:t> </m:t>
                </m:r>
                <m:sSub>
                  <m:e>
                    <m:r>
                      <m:t>x</m:t>
                    </m:r>
                  </m:e>
                  <m:sub>
                    <m:r>
                      <m:t>k</m:t>
                    </m:r>
                    <m:r>
                      <m:rPr>
                        <m:sty m:val="p"/>
                      </m:rPr>
                      <m:t>+</m:t>
                    </m:r>
                    <m:r>
                      <m:t>i</m:t>
                    </m:r>
                  </m:sub>
                </m:sSub>
                <m:r>
                  <m:rPr>
                    <m:sty m:val="p"/>
                  </m:rPr>
                  <m:t>∈</m:t>
                </m:r>
                <m:r>
                  <m:rPr>
                    <m:sty m:val="p"/>
                    <m:scr m:val="script"/>
                  </m:rPr>
                  <m:t>X</m:t>
                </m:r>
                <m:r>
                  <m:rPr>
                    <m:sty m:val="p"/>
                  </m:rPr>
                  <m:t>,</m:t>
                </m:r>
                <m:r>
                  <m:t> </m:t>
                </m:r>
                <m:sSub>
                  <m:e>
                    <m:r>
                      <m:t>u</m:t>
                    </m:r>
                  </m:e>
                  <m:sub>
                    <m:r>
                      <m:t>k</m:t>
                    </m:r>
                    <m:r>
                      <m:rPr>
                        <m:sty m:val="p"/>
                      </m:rPr>
                      <m:t>+</m:t>
                    </m:r>
                    <m:r>
                      <m:t>i</m:t>
                    </m:r>
                  </m:sub>
                </m:sSub>
                <m:r>
                  <m:rPr>
                    <m:sty m:val="p"/>
                  </m:rPr>
                  <m:t>∈</m:t>
                </m:r>
                <m:r>
                  <m:rPr>
                    <m:sty m:val="p"/>
                    <m:scr m:val="script"/>
                  </m:rPr>
                  <m:t>U</m:t>
                </m:r>
              </m:oMath>
            </m:oMathPara>
          </w:p>
        </w:tc>
      </w:tr>
      <w:tr>
        <w:tc>
          <w:tcPr/>
          <w:p>
            <w:pPr>
              <w:pStyle w:val="Compact"/>
              <w:jc w:val="left"/>
            </w:pPr>
            <w:r>
              <w:t xml:space="preserve">其中</w:t>
            </w:r>
            <m:oMath>
              <m:r>
                <m:t>r</m:t>
              </m:r>
            </m:oMath>
            <w:r>
              <w:t xml:space="preserve">为参考轨迹，</w:t>
            </w:r>
            <m:oMath>
              <m:r>
                <m:t>Q</m:t>
              </m:r>
            </m:oMath>
            <w:r>
              <w:t xml:space="preserve">和</w:t>
            </w:r>
            <m:oMath>
              <m:r>
                <m:t>R</m:t>
              </m:r>
            </m:oMath>
            <w:r>
              <w:t xml:space="preserve">为权重矩阵，</w:t>
            </w:r>
            <m:oMath>
              <m:r>
                <m:t>Δ</m:t>
              </m:r>
              <m:r>
                <m:t>u</m:t>
              </m:r>
            </m:oMath>
            <w:r>
              <w:t xml:space="preserve">为控制增量（引入增量惩罚可抑制控制动作的剧烈变化），</w:t>
            </w:r>
            <m:oMath>
              <m:r>
                <m:rPr>
                  <m:sty m:val="p"/>
                  <m:scr m:val="script"/>
                </m:rPr>
                <m:t>X</m:t>
              </m:r>
            </m:oMath>
            <w:r>
              <w:t xml:space="preserve">和</w:t>
            </w:r>
            <m:oMath>
              <m:r>
                <m:rPr>
                  <m:sty m:val="p"/>
                  <m:scr m:val="script"/>
                </m:rPr>
                <m:t>U</m:t>
              </m:r>
            </m:oMath>
            <w:r>
              <w:t xml:space="preserve">为状态和输入的允许集合（包含§2.2.3中定义的三类约束）。</w:t>
            </w:r>
          </w:p>
        </w:tc>
      </w:tr>
      <w:tr>
        <w:tc>
          <w:tcPr/>
          <w:p>
            <w:pPr>
              <w:pStyle w:val="Compact"/>
              <w:jc w:val="left"/>
            </w:pPr>
            <w:r>
              <w:t xml:space="preserve">三者的协同关系可以概括为：前馈提供”先手”，反馈提供”兜底”，约束提供”护栏”。仅反馈将被时滞拖累；仅前馈受预测误差放大；无约束处理则性能看似好但安全不可托底——优化器可能给出越界的”最优”方案。三者缺一不可，共同构成完整的控制策略。</w:t>
            </w:r>
          </w:p>
        </w:tc>
      </w:tr>
      <w:tr>
        <w:tc>
          <w:tcPr/>
          <w:p>
            <w:pPr>
              <w:pStyle w:val="Compact"/>
              <w:jc w:val="left"/>
            </w:pPr>
            <w:r>
              <w:t xml:space="preserve">### 2.4.3 多时间尺度分层控制链</w:t>
            </w:r>
          </w:p>
        </w:tc>
      </w:tr>
      <w:tr>
        <w:tc>
          <w:tcPr/>
          <w:p>
            <w:pPr>
              <w:pStyle w:val="Compact"/>
              <w:jc w:val="left"/>
            </w:pPr>
            <w:r>
              <w:t xml:space="preserve">水系统的控制任务跨越从秒到周的多个时间尺度。试图用一个控制器同时处理所有时间尺度的任务是不现实的：秒级保护动作需要极低延迟，不能等待远程通信和全局优化；周级资源配置需要全局视野和大量计算，不能被秒级信号打断。解决方案是建立分层控制链，将任务分配到合适的层级。</w:t>
            </w:r>
          </w:p>
        </w:tc>
      </w:tr>
      <w:tr>
        <w:tc>
          <w:tcPr/>
          <w:p>
            <w:pPr>
              <w:pStyle w:val="Compact"/>
              <w:jc w:val="left"/>
            </w:pPr>
            <w:r>
              <w:t xml:space="preserve">CHS定义四层控制链，每层的职责、时间尺度、典型方法和关键接口如下表所示：</w:t>
            </w:r>
          </w:p>
        </w:tc>
      </w:tr>
      <w:tr>
        <w:tc>
          <w:tcPr/>
          <w:p>
            <w:pPr>
              <w:pStyle w:val="Compact"/>
              <w:jc w:val="left"/>
            </w:pPr>
            <w:r>
              <w:t xml:space="preserve">| 层级 | 时间尺度 | 职责 | 典型控制方法 | 上下行接口 |</w:t>
            </w:r>
            <w:r>
              <w:t xml:space="preserve"> </w:t>
            </w:r>
            <w:r>
              <w:t xml:space="preserve">|——|———|——|———–|———–|</w:t>
            </w:r>
            <w:r>
              <w:t xml:space="preserve"> </w:t>
            </w:r>
            <w:r>
              <w:t xml:space="preserve">| 执行层 | 秒级 | 设备闭环控制与保护联锁 | PID、限幅保护、急停联锁 | ↑报告设备状态；↓接收目标设定值 |</w:t>
            </w:r>
            <w:r>
              <w:t xml:space="preserve"> </w:t>
            </w:r>
            <w:r>
              <w:t xml:space="preserve">| 调节层 | 分钟级 | 单渠段/单泵站组的水位流量稳定 | PI/PID、小范围前馈 | ↑报告水位偏差；↓接收水位/流量目标 |</w:t>
            </w:r>
            <w:r>
              <w:t xml:space="preserve"> </w:t>
            </w:r>
            <w:r>
              <w:t xml:space="preserve">| 协调层 | 小时级 | 跨区域流量分配与多目标平衡 | 集中/分布式MPC | ↑报告区域状态；↓接收流量分配方案 |</w:t>
            </w:r>
            <w:r>
              <w:t xml:space="preserve"> </w:t>
            </w:r>
            <w:r>
              <w:t xml:space="preserve">| 规划层 | 日/周级 | 水资源配置、检修计划、策略更新 | 优化调度、随机规划 | ↑汇总运行绩效；↓下发配置计划 |</w:t>
            </w:r>
          </w:p>
        </w:tc>
      </w:tr>
      <w:tr>
        <w:tc>
          <w:tcPr/>
          <w:p>
            <w:pPr>
              <w:pStyle w:val="Compact"/>
              <w:jc w:val="left"/>
            </w:pPr>
            <w:r>
              <w:t xml:space="preserve">&gt; 图2-3: 多时间尺度分层控制链。图示内容：四层水平带状结构，自上而下为规划层（日/周级，浅蓝）→协调层（小时级，蓝）→调节层（分钟级，深蓝）→执行层（秒级，藏蓝）。各层之间用上行（状态报告↑）和下行（目标约束↓）箭头连接。每层右侧标注典型方法：规划层”优化调度/随机规划”、协调层”集中/分布式MPC”、调节层”PI/PID+前馈”、执行层”PID+联锁保护”。左侧时间轴从秒→周。最右侧以南水北调中线为例标注：执行层=PLC、调节层=管理处控制系统、协调层=调度中心MPC、规划层=水资源调度系统。</w:t>
            </w:r>
          </w:p>
        </w:tc>
      </w:tr>
      <w:tr>
        <w:tc>
          <w:tcPr/>
          <w:p>
            <w:pPr>
              <w:pStyle w:val="Compact"/>
              <w:jc w:val="left"/>
            </w:pPr>
            <w:r>
              <w:t xml:space="preserve">分层的核心价值是”把问题放到合适时间尺度求解”。上层向下层下发目标和约束（如”本渠段今日流量目标为XX m³/s，水位上限为XX m”），下层向上层报告状态（如”当前水位XX m，偏差XX cm，设备健康”）。各层独立运行，通过目标-约束接口耦合，形成层级协调而非层级替代的关系。这一架构直接对应CHS原理三”分层分布式”（第三章§3.3将详细阐述）。</w:t>
            </w:r>
          </w:p>
        </w:tc>
      </w:tr>
      <w:tr>
        <w:tc>
          <w:tcPr/>
          <w:p>
            <w:pPr>
              <w:pStyle w:val="Compact"/>
              <w:jc w:val="left"/>
            </w:pPr>
            <w:r>
              <w:t xml:space="preserve">以南水北调中线工程为例说明四层控制链的工程映射：执行层由各闸站的PLC实现，负责闸门位置PID控制和泵组转速闭环，响应周期1-5秒；调节层由各管理处控制系统实现，负责管辖渠段内5-10个闸门的水位稳定，决策周期5-15分钟；协调层由调度中心MPC系统实现，负责全线63座节制闸的协调调度和1,432千米渠道的流量分配，决策周期15分钟至1小时 [2-4]；规划层由水资源调度系统实现，负责年度/月度供水计划编制和检修窗口编排，决策周期以日/周计。</w:t>
            </w:r>
          </w:p>
        </w:tc>
      </w:tr>
      <w:tr>
        <w:tc>
          <w:tcPr/>
          <w:p>
            <w:pPr>
              <w:pStyle w:val="Compact"/>
              <w:jc w:val="left"/>
            </w:pPr>
            <w:r>
              <w:t xml:space="preserve">实际工程中，分层架构的最大挑战不是单层设计，而是层间接口的一致性。如果协调层下发的流量分配方案超出了调节层控制器的能力范围（如要求的水位变化速率超过闸门物理调节速度），系统就会出现”上层理想化、下层做不到”的脱节。CHS要求层间接口必须包含”可行性约束”——上层在优化时必须考虑下层的物理能力边界。</w:t>
            </w:r>
          </w:p>
        </w:tc>
      </w:tr>
    </w:tbl>
    <w:bookmarkEnd w:id="28"/>
    <w:bookmarkEnd w:id="29"/>
    <w:bookmarkStart w:id="34" w:name="可控可观性的工程判据"/>
    <w:p>
      <w:pPr>
        <w:pStyle w:val="Heading2"/>
      </w:pPr>
      <w:r>
        <w:t xml:space="preserve">2.5 可控可观性的工程判据</w:t>
      </w:r>
    </w:p>
    <w:bookmarkStart w:id="30" w:name="从理论判据到工程判据"/>
    <w:p>
      <w:pPr>
        <w:pStyle w:val="Heading3"/>
      </w:pPr>
      <w:r>
        <w:t xml:space="preserve">2.5.1 从理论判据到工程判据</w:t>
      </w:r>
    </w:p>
    <w:p>
      <w:pPr>
        <w:pStyle w:val="FirstParagraph"/>
      </w:pPr>
      <w:r>
        <w:t xml:space="preserve">在日常生活中，我们凭直觉理解”可控”和”可观”：如果你能通过调节暖气阀门来改变房间温度，那么温度对你而言是”可控”的；如果你能通过温度计读数知道当前温度，那么温度对你而言是”可观”的。但如果暖气管道堵了（阀门调了但温度不变），可控性就丧失了；如果温度计坏了（温度变了但你看不到），可观性就丧失了。水系统的可控可观性判断远比这个例子复杂，但本质是相同的：</w:t>
      </w:r>
      <w:r>
        <w:rPr>
          <w:bCs/>
          <w:b/>
        </w:rPr>
        <w:t xml:space="preserve">在行动之前，必须确认”我调得动”（可控）和”我看得到”（可观）。</w:t>
      </w:r>
    </w:p>
    <w:p>
      <w:pPr>
        <w:pStyle w:val="BodyText"/>
      </w:pPr>
      <w:r>
        <w:t xml:space="preserve">可控性和可观性是控制系统设计的前提条件。Kalman [2-16] 在1960年给出了线性系统的经典可控可观性判据：系统可控当且仅当可控性矩阵满秩，可观当且仅当可观性矩阵满秩。这一判据在理论上是完美的，但在水利工程中面临两个现实困难。</w:t>
      </w:r>
    </w:p>
    <w:p>
      <w:pPr>
        <w:pStyle w:val="BodyText"/>
      </w:pPr>
      <w:r>
        <w:t xml:space="preserve">第一，理论上”可控”不等于工程上”可实施”。一个状态在理论上可控，但如果需要将闸门开度调到极端位置（如从全关到全开）或需要数天才能完成控制——这种”可控性”在工程上是无意义的。第二，水利系统通常是非线性的，Kalman的线性判据只能在局部线性化意义上使用，且有效性随偏离线性化点的距离增大而下降。</w:t>
      </w:r>
    </w:p>
    <w:p>
      <w:pPr>
        <w:pStyle w:val="BodyText"/>
      </w:pPr>
      <w:r>
        <w:t xml:space="preserve">CHS将可控可观性从理论判据扩展为工程实施判据，提出”可布设、可维护、可负担”三原则，并给出具体的工程规则。</w:t>
      </w:r>
    </w:p>
    <w:bookmarkEnd w:id="30"/>
    <w:bookmarkStart w:id="31" w:name="可观性最低配置判据"/>
    <w:p>
      <w:pPr>
        <w:pStyle w:val="Heading3"/>
      </w:pPr>
      <w:r>
        <w:t xml:space="preserve">2.5.2 可观性最低配置判据</w:t>
      </w:r>
    </w:p>
    <w:p>
      <w:pPr>
        <w:pStyle w:val="FirstParagraph"/>
      </w:pPr>
      <w:r>
        <w:t xml:space="preserve">关键断面与关键状态至少具备”双通道观测”之一：</w:t>
      </w:r>
    </w:p>
    <w:p>
      <w:pPr>
        <w:pStyle w:val="BodyText"/>
      </w:pPr>
      <w:r>
        <w:rPr>
          <w:bCs/>
          <w:b/>
        </w:rPr>
        <w:t xml:space="preserve">直接测量通道</w:t>
      </w:r>
      <w:r>
        <w:t xml:space="preserve">——在关键断面部署在线水位计、流量计或压力传感器，实时获取状态值。这是最可靠的方式，但受限于传感器成本（一套高精度超声波流量计的安装成本约15-30万元）、安装条件（部分断面地形复杂不具备安装条件）和长期维护能力。</w:t>
      </w:r>
    </w:p>
    <w:p>
      <w:pPr>
        <w:pStyle w:val="BodyText"/>
      </w:pPr>
      <w:r>
        <w:rPr>
          <w:bCs/>
          <w:b/>
        </w:rPr>
        <w:t xml:space="preserve">模型估计通道</w:t>
      </w:r>
      <w:r>
        <w:t xml:space="preserve">——通过状态估计器（如扩展卡尔曼滤波EKF或集合卡尔曼滤波EnKF [2-15]），利用邻近断面的测量值和水力模型推算未量测断面的状态。这种方式可以大幅减少传感器数量，但依赖模型精度，需要周期性校验。以南水北调中线为例，若全部关键断面均部署直接传感器，成本极高；通过在关键控制点（约每5-10千米一处）部署高精度传感器，辅以模型估计覆盖中间断面，可在保证可观性的同时将传感器成本降低约60%。</w:t>
      </w:r>
    </w:p>
    <w:p>
      <w:pPr>
        <w:pStyle w:val="BodyText"/>
      </w:pPr>
      <w:r>
        <w:rPr>
          <w:bCs/>
          <w:b/>
        </w:rPr>
        <w:t xml:space="preserve">工程硬规则</w:t>
      </w:r>
      <w:r>
        <w:t xml:space="preserve">：若关键状态既不可直接测量又不可通过已验证模型估计，系统不得进入高等级自主运行（WNAL L3及以上）。这一规则将可观性判据与WNAL等级跃迁门槛直接关联——传感器覆盖率和模型验证范围是L2→L3跃迁的硬性前提。</w:t>
      </w:r>
    </w:p>
    <w:bookmarkEnd w:id="31"/>
    <w:bookmarkStart w:id="32" w:name="可控性有效作用判据"/>
    <w:p>
      <w:pPr>
        <w:pStyle w:val="Heading3"/>
      </w:pPr>
      <w:r>
        <w:t xml:space="preserve">2.5.3 可控性有效作用判据</w:t>
      </w:r>
    </w:p>
    <w:p>
      <w:pPr>
        <w:pStyle w:val="FirstParagraph"/>
      </w:pPr>
      <w:r>
        <w:t xml:space="preserve">每个关键控制目标必须对应至少一个”有效执行器路径”：从执行器动作到目标状态变化，存在明确的因果传递链路，且动作效果可在可接受时延内传导至目标状态。</w:t>
      </w:r>
    </w:p>
    <w:p>
      <w:pPr>
        <w:pStyle w:val="BodyText"/>
      </w:pPr>
      <w:r>
        <w:rPr>
          <w:bCs/>
          <w:b/>
        </w:rPr>
        <w:t xml:space="preserve">工程硬规则</w:t>
      </w:r>
      <w:r>
        <w:t xml:space="preserve">：对于每个控制目标断面，需验证三项条件——(a) 存在至少一个上游执行器可以有效调节该断面水位或流量；(b) 从执行器到目标断面的传递时间在预测时域的可接受范围内（通常不超过预测时域的1/3，即留出2/3的时域用于观察效果和做出后续调整）；(c) 若控制路径存在单点失效风险（如唯一的控制闸门故障），应配备冗余路径或预置降级策略。</w:t>
      </w:r>
    </w:p>
    <w:bookmarkEnd w:id="32"/>
    <w:bookmarkStart w:id="33" w:name="可验证性闭环判据"/>
    <w:p>
      <w:pPr>
        <w:pStyle w:val="Heading3"/>
      </w:pPr>
      <w:r>
        <w:t xml:space="preserve">2.5.4 可验证性闭环判据</w:t>
      </w:r>
    </w:p>
    <w:p>
      <w:pPr>
        <w:pStyle w:val="FirstParagraph"/>
      </w:pPr>
      <w:r>
        <w:t xml:space="preserve">可验证性判据直接对接第三章原理五”在环验证”。任何控制策略上线运行前，至少完成三级验证：</w:t>
      </w:r>
    </w:p>
    <w:tbl>
      <w:tblPr>
        <w:tblStyle w:val="Table"/>
        <w:tblW w:type="pct" w:w="5000"/>
        <w:tblLook w:firstRow="1" w:lastRow="0" w:firstColumn="0" w:lastColumn="0" w:noHBand="0" w:noVBand="0" w:val="0020"/>
        <w:jc w:val="start"/>
      </w:tblPr>
      <w:tblGrid>
        <w:gridCol w:w="1549"/>
        <w:gridCol w:w="1033"/>
        <w:gridCol w:w="1549"/>
        <w:gridCol w:w="1549"/>
        <w:gridCol w:w="2238"/>
      </w:tblGrid>
      <w:tr>
        <w:trPr>
          <w:tblHeader w:val="true"/>
        </w:trPr>
        <w:tc>
          <w:tcPr/>
          <w:p>
            <w:pPr>
              <w:pStyle w:val="Compact"/>
              <w:jc w:val="left"/>
            </w:pPr>
            <w:r>
              <w:t xml:space="preserve">验证级别</w:t>
            </w:r>
          </w:p>
        </w:tc>
        <w:tc>
          <w:tcPr/>
          <w:p>
            <w:pPr>
              <w:pStyle w:val="Compact"/>
              <w:jc w:val="left"/>
            </w:pPr>
            <w:r>
              <w:t xml:space="preserve">名称</w:t>
            </w:r>
          </w:p>
        </w:tc>
        <w:tc>
          <w:tcPr/>
          <w:p>
            <w:pPr>
              <w:pStyle w:val="Compact"/>
              <w:jc w:val="left"/>
            </w:pPr>
            <w:r>
              <w:t xml:space="preserve">验证内容</w:t>
            </w:r>
          </w:p>
        </w:tc>
        <w:tc>
          <w:tcPr/>
          <w:p>
            <w:pPr>
              <w:pStyle w:val="Compact"/>
              <w:jc w:val="left"/>
            </w:pPr>
            <w:r>
              <w:t xml:space="preserve">环境要求</w:t>
            </w:r>
          </w:p>
        </w:tc>
        <w:tc>
          <w:tcPr/>
          <w:p>
            <w:pPr>
              <w:pStyle w:val="Compact"/>
              <w:jc w:val="left"/>
            </w:pPr>
            <w:r>
              <w:t xml:space="preserve">典型发现的问题</w:t>
            </w:r>
          </w:p>
        </w:tc>
      </w:tr>
      <w:tr>
        <w:tc>
          <w:tcPr/>
          <w:p>
            <w:pPr>
              <w:pStyle w:val="Compact"/>
              <w:jc w:val="left"/>
            </w:pPr>
            <w:r>
              <w:t xml:space="preserve">MIL</w:t>
            </w:r>
          </w:p>
        </w:tc>
        <w:tc>
          <w:tcPr/>
          <w:p>
            <w:pPr>
              <w:pStyle w:val="Compact"/>
              <w:jc w:val="left"/>
            </w:pPr>
            <w:r>
              <w:t xml:space="preserve">模型在环</w:t>
            </w:r>
          </w:p>
        </w:tc>
        <w:tc>
          <w:tcPr/>
          <w:p>
            <w:pPr>
              <w:pStyle w:val="Compact"/>
              <w:jc w:val="left"/>
            </w:pPr>
            <w:r>
              <w:t xml:space="preserve">控制逻辑正确性</w:t>
            </w:r>
          </w:p>
        </w:tc>
        <w:tc>
          <w:tcPr/>
          <w:p>
            <w:pPr>
              <w:pStyle w:val="Compact"/>
              <w:jc w:val="left"/>
            </w:pPr>
            <w:r>
              <w:t xml:space="preserve">纯数学仿真</w:t>
            </w:r>
          </w:p>
        </w:tc>
        <w:tc>
          <w:tcPr/>
          <w:p>
            <w:pPr>
              <w:pStyle w:val="Compact"/>
              <w:jc w:val="left"/>
            </w:pPr>
            <w:r>
              <w:t xml:space="preserve">算法收敛性、约束处理错误、参数配置错误</w:t>
            </w:r>
          </w:p>
        </w:tc>
      </w:tr>
      <w:tr>
        <w:tc>
          <w:tcPr/>
          <w:p>
            <w:pPr>
              <w:pStyle w:val="Compact"/>
              <w:jc w:val="left"/>
            </w:pPr>
            <w:r>
              <w:t xml:space="preserve">SIL</w:t>
            </w:r>
          </w:p>
        </w:tc>
        <w:tc>
          <w:tcPr/>
          <w:p>
            <w:pPr>
              <w:pStyle w:val="Compact"/>
              <w:jc w:val="left"/>
            </w:pPr>
            <w:r>
              <w:t xml:space="preserve">软件在环</w:t>
            </w:r>
          </w:p>
        </w:tc>
        <w:tc>
          <w:tcPr/>
          <w:p>
            <w:pPr>
              <w:pStyle w:val="Compact"/>
              <w:jc w:val="left"/>
            </w:pPr>
            <w:r>
              <w:t xml:space="preserve">软件实现一致性</w:t>
            </w:r>
          </w:p>
        </w:tc>
        <w:tc>
          <w:tcPr/>
          <w:p>
            <w:pPr>
              <w:pStyle w:val="Compact"/>
              <w:jc w:val="left"/>
            </w:pPr>
            <w:r>
              <w:t xml:space="preserve">实际代码+高保真仿真器</w:t>
            </w:r>
          </w:p>
        </w:tc>
        <w:tc>
          <w:tcPr/>
          <w:p>
            <w:pPr>
              <w:pStyle w:val="Compact"/>
              <w:jc w:val="left"/>
            </w:pPr>
            <w:r>
              <w:t xml:space="preserve">代码缺陷、数值精度、通信接口错误</w:t>
            </w:r>
          </w:p>
        </w:tc>
      </w:tr>
      <w:tr>
        <w:tc>
          <w:tcPr/>
          <w:p>
            <w:pPr>
              <w:pStyle w:val="Compact"/>
              <w:jc w:val="left"/>
            </w:pPr>
            <w:r>
              <w:t xml:space="preserve">HIL</w:t>
            </w:r>
          </w:p>
        </w:tc>
        <w:tc>
          <w:tcPr/>
          <w:p>
            <w:pPr>
              <w:pStyle w:val="Compact"/>
              <w:jc w:val="left"/>
            </w:pPr>
            <w:r>
              <w:t xml:space="preserve">硬件在环</w:t>
            </w:r>
          </w:p>
        </w:tc>
        <w:tc>
          <w:tcPr/>
          <w:p>
            <w:pPr>
              <w:pStyle w:val="Compact"/>
              <w:jc w:val="left"/>
            </w:pPr>
            <w:r>
              <w:t xml:space="preserve">时序与接口可靠性</w:t>
            </w:r>
          </w:p>
        </w:tc>
        <w:tc>
          <w:tcPr/>
          <w:p>
            <w:pPr>
              <w:pStyle w:val="Compact"/>
              <w:jc w:val="left"/>
            </w:pPr>
            <w:r>
              <w:t xml:space="preserve">实际控制器硬件+实时仿真平台</w:t>
            </w:r>
          </w:p>
        </w:tc>
        <w:tc>
          <w:tcPr/>
          <w:p>
            <w:pPr>
              <w:pStyle w:val="Compact"/>
              <w:jc w:val="left"/>
            </w:pPr>
            <w:r>
              <w:t xml:space="preserve">控制周期不满足实时性、信号采集异常、应急联锁未触发</w:t>
            </w:r>
          </w:p>
        </w:tc>
      </w:tr>
    </w:tbl>
    <w:p>
      <w:pPr>
        <w:pStyle w:val="BodyText"/>
      </w:pPr>
      <w:r>
        <w:t xml:space="preserve">三级验证的核心价值不在于”证明控制器能工作”，而在于”系统地发现控制器在何种条件下会失效”。通过构建覆盖正常、异常和极端工况的场景库，在虚拟环境中暴露问题，远比在真实工程中”试错”安全和经济。雷晓辉等 [2-10] 在胶东调水工程和南水北调中线工程中建立了完整的三级在环测试体系，为WNAL等级评估提供了可操作的验证方法。</w:t>
      </w:r>
    </w:p>
    <w:p>
      <w:r>
        <w:pict>
          <v:rect style="width:0;height:1.5pt" o:hralign="center" o:hrstd="t" o:hr="t"/>
        </w:pict>
      </w:r>
    </w:p>
    <w:bookmarkEnd w:id="33"/>
    <w:bookmarkEnd w:id="34"/>
    <w:bookmarkStart w:id="40" w:name="控制方法族选型原则与适用边界"/>
    <w:p>
      <w:pPr>
        <w:pStyle w:val="Heading2"/>
      </w:pPr>
      <w:r>
        <w:t xml:space="preserve">2.6 控制方法族：选型原则与适用边界</w:t>
      </w:r>
    </w:p>
    <w:p>
      <w:pPr>
        <w:pStyle w:val="FirstParagraph"/>
      </w:pPr>
      <w:r>
        <w:t xml:space="preserve">水系统控制不存在”万能方法”。不同的控制方法有不同的适用范围、优势和局限。Malaterre等 [2-25] 在1998年提出了渠道控制算法的经典分类体系，按照控制变量（水位/流量）、反馈方向（上游/下游/远程）和控制逻辑（PID/最优/预测）三个维度对已有方法进行了系统梳理。CHS在此基础上进一步提倡根据任务特性、系统层级和运维能力选择合适的方法，并明确指出方法的边界条件。下表给出了主要控制方法的定位概览，后续逐一展开。</w:t>
      </w:r>
    </w:p>
    <w:tbl>
      <w:tblPr>
        <w:tblStyle w:val="Table"/>
        <w:tblW w:type="pct" w:w="5000"/>
        <w:tblLook w:firstRow="1" w:lastRow="0" w:firstColumn="0" w:lastColumn="0" w:noHBand="0" w:noVBand="0" w:val="0020"/>
        <w:jc w:val="start"/>
      </w:tblPr>
      <w:tblGrid>
        <w:gridCol w:w="1080"/>
        <w:gridCol w:w="1620"/>
        <w:gridCol w:w="1620"/>
        <w:gridCol w:w="1620"/>
        <w:gridCol w:w="1980"/>
      </w:tblGrid>
      <w:tr>
        <w:trPr>
          <w:tblHeader w:val="true"/>
        </w:trPr>
        <w:tc>
          <w:tcPr/>
          <w:p>
            <w:pPr>
              <w:pStyle w:val="Compact"/>
              <w:jc w:val="left"/>
            </w:pPr>
            <w:r>
              <w:t xml:space="preserve">方法</w:t>
            </w:r>
          </w:p>
        </w:tc>
        <w:tc>
          <w:tcPr/>
          <w:p>
            <w:pPr>
              <w:pStyle w:val="Compact"/>
              <w:jc w:val="left"/>
            </w:pPr>
            <w:r>
              <w:t xml:space="preserve">适用层级</w:t>
            </w:r>
          </w:p>
        </w:tc>
        <w:tc>
          <w:tcPr/>
          <w:p>
            <w:pPr>
              <w:pStyle w:val="Compact"/>
              <w:jc w:val="left"/>
            </w:pPr>
            <w:r>
              <w:t xml:space="preserve">核心优势</w:t>
            </w:r>
          </w:p>
        </w:tc>
        <w:tc>
          <w:tcPr/>
          <w:p>
            <w:pPr>
              <w:pStyle w:val="Compact"/>
              <w:jc w:val="left"/>
            </w:pPr>
            <w:r>
              <w:t xml:space="preserve">关键局限</w:t>
            </w:r>
          </w:p>
        </w:tc>
        <w:tc>
          <w:tcPr/>
          <w:p>
            <w:pPr>
              <w:pStyle w:val="Compact"/>
              <w:jc w:val="left"/>
            </w:pPr>
            <w:r>
              <w:t xml:space="preserve">典型应用场景</w:t>
            </w:r>
          </w:p>
        </w:tc>
      </w:tr>
      <w:tr>
        <w:tc>
          <w:tcPr/>
          <w:p>
            <w:pPr>
              <w:pStyle w:val="Compact"/>
              <w:jc w:val="left"/>
            </w:pPr>
            <w:r>
              <w:t xml:space="preserve">PID</w:t>
            </w:r>
          </w:p>
        </w:tc>
        <w:tc>
          <w:tcPr/>
          <w:p>
            <w:pPr>
              <w:pStyle w:val="Compact"/>
              <w:jc w:val="left"/>
            </w:pPr>
            <w:r>
              <w:t xml:space="preserve">执行层、调节层</w:t>
            </w:r>
          </w:p>
        </w:tc>
        <w:tc>
          <w:tcPr/>
          <w:p>
            <w:pPr>
              <w:pStyle w:val="Compact"/>
              <w:jc w:val="left"/>
            </w:pPr>
            <w:r>
              <w:t xml:space="preserve">简单可靠，调试直观</w:t>
            </w:r>
          </w:p>
        </w:tc>
        <w:tc>
          <w:tcPr/>
          <w:p>
            <w:pPr>
              <w:pStyle w:val="Compact"/>
              <w:jc w:val="left"/>
            </w:pPr>
            <w:r>
              <w:t xml:space="preserve">不能处理耦合和约束，无前瞻能力</w:t>
            </w:r>
          </w:p>
        </w:tc>
        <w:tc>
          <w:tcPr/>
          <w:p>
            <w:pPr>
              <w:pStyle w:val="Compact"/>
              <w:jc w:val="left"/>
            </w:pPr>
            <w:r>
              <w:t xml:space="preserve">单闸门水位控制</w:t>
            </w:r>
          </w:p>
        </w:tc>
      </w:tr>
      <w:tr>
        <w:tc>
          <w:tcPr/>
          <w:p>
            <w:pPr>
              <w:pStyle w:val="Compact"/>
              <w:jc w:val="left"/>
            </w:pPr>
            <w:r>
              <w:t xml:space="preserve">LQR/LQG</w:t>
            </w:r>
          </w:p>
        </w:tc>
        <w:tc>
          <w:tcPr/>
          <w:p>
            <w:pPr>
              <w:pStyle w:val="Compact"/>
              <w:jc w:val="left"/>
            </w:pPr>
            <w:r>
              <w:t xml:space="preserve">调节层、协调层（基线）</w:t>
            </w:r>
          </w:p>
        </w:tc>
        <w:tc>
          <w:tcPr/>
          <w:p>
            <w:pPr>
              <w:pStyle w:val="Compact"/>
              <w:jc w:val="left"/>
            </w:pPr>
            <w:r>
              <w:t xml:space="preserve">全局最优（线性二次），结构清晰</w:t>
            </w:r>
          </w:p>
        </w:tc>
        <w:tc>
          <w:tcPr/>
          <w:p>
            <w:pPr>
              <w:pStyle w:val="Compact"/>
              <w:jc w:val="left"/>
            </w:pPr>
            <w:r>
              <w:t xml:space="preserve">不能处理硬约束，线性假设</w:t>
            </w:r>
          </w:p>
        </w:tc>
        <w:tc>
          <w:tcPr/>
          <w:p>
            <w:pPr>
              <w:pStyle w:val="Compact"/>
              <w:jc w:val="left"/>
            </w:pPr>
            <w:r>
              <w:t xml:space="preserve">多渠池基线设计</w:t>
            </w:r>
          </w:p>
        </w:tc>
      </w:tr>
      <w:tr>
        <w:tc>
          <w:tcPr/>
          <w:p>
            <w:pPr>
              <w:pStyle w:val="Compact"/>
              <w:jc w:val="left"/>
            </w:pPr>
            <w:r>
              <w:t xml:space="preserve">MPC</w:t>
            </w:r>
          </w:p>
        </w:tc>
        <w:tc>
          <w:tcPr/>
          <w:p>
            <w:pPr>
              <w:pStyle w:val="Compact"/>
              <w:jc w:val="left"/>
            </w:pPr>
            <w:r>
              <w:t xml:space="preserve">协调层（主力）</w:t>
            </w:r>
          </w:p>
        </w:tc>
        <w:tc>
          <w:tcPr/>
          <w:p>
            <w:pPr>
              <w:pStyle w:val="Compact"/>
              <w:jc w:val="left"/>
            </w:pPr>
            <w:r>
              <w:t xml:space="preserve">显式约束处理，多步预测，多目标</w:t>
            </w:r>
          </w:p>
        </w:tc>
        <w:tc>
          <w:tcPr/>
          <w:p>
            <w:pPr>
              <w:pStyle w:val="Compact"/>
              <w:jc w:val="left"/>
            </w:pPr>
            <w:r>
              <w:t xml:space="preserve">依赖模型精度，计算量大</w:t>
            </w:r>
          </w:p>
        </w:tc>
        <w:tc>
          <w:tcPr/>
          <w:p>
            <w:pPr>
              <w:pStyle w:val="Compact"/>
              <w:jc w:val="left"/>
            </w:pPr>
            <w:r>
              <w:t xml:space="preserve">跨区域多目标调度</w:t>
            </w:r>
          </w:p>
        </w:tc>
      </w:tr>
      <w:tr>
        <w:tc>
          <w:tcPr/>
          <w:p>
            <w:pPr>
              <w:pStyle w:val="Compact"/>
              <w:jc w:val="left"/>
            </w:pPr>
            <w:r>
              <w:t xml:space="preserve">数据驱动（RL/DL）</w:t>
            </w:r>
          </w:p>
        </w:tc>
        <w:tc>
          <w:tcPr/>
          <w:p>
            <w:pPr>
              <w:pStyle w:val="Compact"/>
              <w:jc w:val="left"/>
            </w:pPr>
            <w:r>
              <w:t xml:space="preserve">辅助层</w:t>
            </w:r>
          </w:p>
        </w:tc>
        <w:tc>
          <w:tcPr/>
          <w:p>
            <w:pPr>
              <w:pStyle w:val="Compact"/>
              <w:jc w:val="left"/>
            </w:pPr>
            <w:r>
              <w:t xml:space="preserve">灵活，不需精确模型</w:t>
            </w:r>
          </w:p>
        </w:tc>
        <w:tc>
          <w:tcPr/>
          <w:p>
            <w:pPr>
              <w:pStyle w:val="Compact"/>
              <w:jc w:val="left"/>
            </w:pPr>
            <w:r>
              <w:t xml:space="preserve">泛化边界不清，不可证安全</w:t>
            </w:r>
          </w:p>
        </w:tc>
        <w:tc>
          <w:tcPr/>
          <w:p>
            <w:pPr>
              <w:pStyle w:val="Compact"/>
              <w:jc w:val="left"/>
            </w:pPr>
            <w:r>
              <w:t xml:space="preserve">预报修正、软测量</w:t>
            </w:r>
          </w:p>
        </w:tc>
      </w:tr>
    </w:tbl>
    <w:bookmarkStart w:id="35" w:name="pid执行层的稳态器"/>
    <w:p>
      <w:pPr>
        <w:pStyle w:val="Heading3"/>
      </w:pPr>
      <w:r>
        <w:t xml:space="preserve">2.6.1 PID：执行层的”稳态器”</w:t>
      </w:r>
    </w:p>
    <w:p>
      <w:pPr>
        <w:pStyle w:val="FirstParagraph"/>
      </w:pPr>
      <w:r>
        <w:t xml:space="preserve">PID控制器结构简单、参数直观、对模型依赖低，至今仍是全球绝大多数水利自动化系统的基础控制器。美国垦务局（USBR）在1991年的《渠道系统自动化手册》[2-17] 中详细记录了PID在灌溉渠道中的应用经验，该手册至今仍是灌区控制实践的重要参考。</w:t>
      </w:r>
    </w:p>
    <w:p>
      <w:pPr>
        <w:pStyle w:val="BodyText"/>
      </w:pPr>
      <w:r>
        <w:t xml:space="preserve">PID的合理定位是</w:t>
      </w:r>
      <w:r>
        <w:rPr>
          <w:bCs/>
          <w:b/>
        </w:rPr>
        <w:t xml:space="preserve">执行层和调节层</w:t>
      </w:r>
      <w:r>
        <w:t xml:space="preserve">的”稳态器”：用于单闸门位置控制、单渠池水位稳定等局部单回路任务。在这些场景下，PID的快速响应和高可靠性是突出优势。然而，PID不宜承担跨区域多目标调度任务，原因有三：(a) PID是单输入单输出（SISO）结构，无法处理MIMO耦合；(b) PID不能显式处理约束——当水位接近上限时，PID不会主动减速，只能靠外部限幅保护来防止越界；(c) PID缺乏前瞻能力，无法补偿时滞。</w:t>
      </w:r>
    </w:p>
    <w:bookmarkEnd w:id="35"/>
    <w:bookmarkStart w:id="36" w:name="状态空间与lqrlqg"/>
    <w:p>
      <w:pPr>
        <w:pStyle w:val="Heading3"/>
      </w:pPr>
      <w:r>
        <w:t xml:space="preserve">2.6.2 状态空间与LQR/LQG</w:t>
      </w:r>
    </w:p>
    <w:p>
      <w:pPr>
        <w:pStyle w:val="FirstParagraph"/>
      </w:pPr>
      <w:r>
        <w:t xml:space="preserve">线性二次调节器（LQR）和线性二次高斯（LQG）控制基于状态空间模型设计，结构清晰、理论完备。在水系统中，LQR/LQG的典型应用是对线性化后的多渠池系统进行集中式控制器设计。Clemmens等 [2-18] 使用LQR方法为美国盐河项目的灌溉渠道设计了自动控制系统，ASCE在2014年出版的《MOP 131》[2-19] 中系统总结了包括LQR在内的多种控制方法在灌区中的应用。</w:t>
      </w:r>
    </w:p>
    <w:p>
      <w:pPr>
        <w:pStyle w:val="BodyText"/>
      </w:pPr>
      <w:r>
        <w:t xml:space="preserve">LQR/LQG的价值在于提供”控制器基线版本”——作为后续高级策略（如MPC）的性能参照基准。其局限是对非线性特性和硬约束处理能力不足：当系统偏离线性化点较远时，LQR的最优性保证丧失；当约束被激活时，LQR无法保证约束满足。</w:t>
      </w:r>
    </w:p>
    <w:bookmarkEnd w:id="36"/>
    <w:bookmarkStart w:id="37" w:name="mpc多约束多目标多变量任务的主力"/>
    <w:p>
      <w:pPr>
        <w:pStyle w:val="Heading3"/>
      </w:pPr>
      <w:r>
        <w:t xml:space="preserve">2.6.3 MPC：多约束、多目标、多变量任务的主力</w:t>
      </w:r>
    </w:p>
    <w:p>
      <w:pPr>
        <w:pStyle w:val="FirstParagraph"/>
      </w:pPr>
      <w:r>
        <w:t xml:space="preserve">模型预测控制（MPC）是当前水系统自动控制领域的主力方法 [2-14]。自Van Overloop [2-8] 将MPC系统应用于荷兰水系统以来，MPC已在南水北调中线 [2-4]、胶东调水 [2-6]、澳大利亚Murray-Darling流域等多项工程中得到验证。</w:t>
      </w:r>
    </w:p>
    <w:p>
      <w:pPr>
        <w:pStyle w:val="BodyText"/>
      </w:pPr>
      <w:r>
        <w:t xml:space="preserve">MPC的核心优势在于三点。其一，</w:t>
      </w:r>
      <w:r>
        <w:rPr>
          <w:bCs/>
          <w:b/>
        </w:rPr>
        <w:t xml:space="preserve">显式约束处理</w:t>
      </w:r>
      <w:r>
        <w:t xml:space="preserve">——三类约束直接进入优化问题，控制器在”约束内最优”而非”无约束最优后截断”。这对于运行裕度小的水利系统（如南水北调中线渠道设计超高仅0.6 m）至关重要。其二，</w:t>
      </w:r>
      <w:r>
        <w:rPr>
          <w:bCs/>
          <w:b/>
        </w:rPr>
        <w:t xml:space="preserve">多步预测</w:t>
      </w:r>
      <w:r>
        <w:t xml:space="preserve">——通过模型预测未来若干步的系统行为，天然补偿时滞。预测时域的选择通常覆盖最大渠池时滞的1.5-2倍，确保控制器能够”看见”当前动作的全部影响。其三，</w:t>
      </w:r>
      <w:r>
        <w:rPr>
          <w:bCs/>
          <w:b/>
        </w:rPr>
        <w:t xml:space="preserve">多目标权衡</w:t>
      </w:r>
      <w:r>
        <w:t xml:space="preserve">——通过调整权重矩阵</w:t>
      </w:r>
      <m:oMath>
        <m:r>
          <m:t>Q</m:t>
        </m:r>
      </m:oMath>
      <w:r>
        <w:t xml:space="preserve">和</w:t>
      </w:r>
      <m:oMath>
        <m:r>
          <m:t>R</m:t>
        </m:r>
      </m:oMath>
      <w:r>
        <w:t xml:space="preserve">，灵活平衡安全、稳定、经济等多个目标。</w:t>
      </w:r>
    </w:p>
    <w:p>
      <w:pPr>
        <w:pStyle w:val="BodyText"/>
      </w:pPr>
      <w:r>
        <w:t xml:space="preserve">MPC的局限也同样明确：(a) 依赖控制模型精度——模型失准时控制性能下降，严重失准可能导致约束违反；(b) 在线计算量大——特别是非线性MPC和大规模系统，需要高效的优化求解器；(c) 参数整定复杂——预测时域、控制时域、权重矩阵等参数需要工程经验和调试。</w:t>
      </w:r>
    </w:p>
    <w:bookmarkEnd w:id="37"/>
    <w:bookmarkStart w:id="38" w:name="数据驱动方法用于补偿不宜替代安全主回路"/>
    <w:p>
      <w:pPr>
        <w:pStyle w:val="Heading3"/>
      </w:pPr>
      <w:r>
        <w:t xml:space="preserve">2.6.4 数据驱动方法：用于补偿，不宜替代安全主回路</w:t>
      </w:r>
    </w:p>
    <w:p>
      <w:pPr>
        <w:pStyle w:val="FirstParagraph"/>
      </w:pPr>
      <w:r>
        <w:t xml:space="preserve">近年来，强化学习（RL）、深度学习等数据驱动方法在水系统控制中受到关注。数据模型可用于：来水预报（LSTM等时序模型）、偏差修正（残差学习）、软测量（用间接测量推算难以直测的变量）。这些都是物理模型的有益补充。</w:t>
      </w:r>
    </w:p>
    <w:p>
      <w:pPr>
        <w:pStyle w:val="BodyText"/>
      </w:pPr>
      <w:r>
        <w:t xml:space="preserve">两个值得关注的前沿方向是：物理信息神经网络（Physics-Informed Neural Networks, PINN）将物理方程嵌入神经网络的损失函数，使数据模型在满足物理规律的同时拟合观测数据——这在水力学模型参数校正和缺测区域状态估计中展现出潜力；大语言模型（LLM）在认知层面提供了新的可能性，如自然语言调度指令解析、运行日志智能分析和调度预案自动生成——这些能力与CHS原理七”人机共融”中的可解释性需求高度契合，第五章将在”认知AI引擎”框架下进一步讨论。</w:t>
      </w:r>
    </w:p>
    <w:p>
      <w:pPr>
        <w:pStyle w:val="BodyText"/>
      </w:pPr>
      <w:r>
        <w:t xml:space="preserve">但在当前技术成熟度下，CHS明确建议：</w:t>
      </w:r>
      <w:r>
        <w:rPr>
          <w:bCs/>
          <w:b/>
        </w:rPr>
        <w:t xml:space="preserve">数据驱动方法应定位为”物理模型的增强层”，而非替代安全主回路。</w:t>
      </w:r>
      <w:r>
        <w:t xml:space="preserve"> </w:t>
      </w:r>
      <w:r>
        <w:t xml:space="preserve">原因有三：(a) 数据模型的泛化边界不清——训练数据覆盖的工况之外，模型行为不可预测，在高风险的水利场景中这是不可接受的；(b) 缺乏可证安全性——无法像MPC那样通过数学证明确保约束始终满足；(c) 可解释性不足——当前的”黑箱”模型难以满足人机共治和监管审计的要求（尽管PINN和LLM在可解释性上较传统黑箱模型有所改善，但尚未达到安全关键系统所需的严格标准）。</w:t>
      </w:r>
    </w:p>
    <w:p>
      <w:pPr>
        <w:pStyle w:val="BodyText"/>
      </w:pPr>
      <w:r>
        <w:t xml:space="preserve">CHS推荐的”机理保底+数据增强”架构是：物理模型MPC作为主控制器保障安全基线，数据模型用于在线校正物理模型参数或提供辅助预报信息。第五章HydroOS架构中的”物理AI引擎”与”认知AI引擎”分层设计，正是这一思想的工程实现。</w:t>
      </w:r>
    </w:p>
    <w:bookmarkEnd w:id="38"/>
    <w:bookmarkStart w:id="39" w:name="何时不应用复杂算法"/>
    <w:p>
      <w:pPr>
        <w:pStyle w:val="Heading3"/>
      </w:pPr>
      <w:r>
        <w:t xml:space="preserve">2.6.5 何时不应用复杂算法</w:t>
      </w:r>
    </w:p>
    <w:p>
      <w:pPr>
        <w:pStyle w:val="FirstParagraph"/>
      </w:pPr>
      <w:r>
        <w:t xml:space="preserve">工程最优不是”算法最先进”，而是”全寿命周期综合最优”。满足以下条件时，优先采用简化方案：目标单一且工况稳定（单闸门恒定水位控制，PID足矣）；运维团队能力不足以长期维护复杂模型（MPC需要定期校准模型参数和更新约束集）；算法收益不足以覆盖维护成本与风险暴露（PID已满足运行要求时，MPC的边际改善不抵模型维护的长期成本）。</w:t>
      </w:r>
    </w:p>
    <w:p>
      <w:pPr>
        <w:pStyle w:val="BodyText"/>
      </w:pPr>
      <w:r>
        <w:t xml:space="preserve">这一原则体现了CHS”分级推进”的哲学：并非所有系统都需要达到L3自主运行。对于简单、低风险的子系统，L1（规则自动化）可能就是全寿命周期最优选择。</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2.7 异常工况与降级运行：从”自动化”走向”可信自主”</w:t>
            </w:r>
          </w:p>
        </w:tc>
      </w:tr>
      <w:tr>
        <w:tc>
          <w:tcPr/>
          <w:p>
            <w:pPr>
              <w:pStyle w:val="Compact"/>
              <w:jc w:val="left"/>
            </w:pPr>
            <w:r>
              <w:t xml:space="preserve">自主运行系统区别于简单自动化系统的关键标志之一，是对异常工况的处理能力。一个形象的类比：自动扶梯只在正常工况下运行，一旦有人跌倒，它不会”自己想办法”——只能靠旁人按紧急停止按钮。而电梯则不同：它能检测超载、检测门夹物、在停电时自动平层开门——它具备”感知异常并安全应对”的能力。水系统的自主运行更接近后者：</w:t>
            </w:r>
            <w:r>
              <w:rPr>
                <w:bCs/>
                <w:b/>
              </w:rPr>
              <w:t xml:space="preserve">系统必须知道自己的能力边界，能够在能力不足时主动降级，而非盲目坚持或突然崩溃。</w:t>
            </w:r>
            <w:r>
              <w:t xml:space="preserve">本章引导案例中，调度系统在多工况叠加下表现失常，其深层原因正是系统缺乏”知道自己不行”的自我评估能力和”不行就降级”的安全退化机制。</w:t>
            </w:r>
          </w:p>
        </w:tc>
      </w:tr>
      <w:tr>
        <w:tc>
          <w:tcPr/>
          <w:p>
            <w:pPr>
              <w:pStyle w:val="Compact"/>
              <w:jc w:val="left"/>
            </w:pPr>
            <w:r>
              <w:t xml:space="preserve">CHS采用四态机（Four-State Machine）描述系统的运行模式迁移（见图2-4）。</w:t>
            </w:r>
          </w:p>
        </w:tc>
      </w:tr>
      <w:tr>
        <w:tc>
          <w:tcPr/>
          <w:p>
            <w:pPr>
              <w:pStyle w:val="Compact"/>
              <w:jc w:val="left"/>
            </w:pPr>
            <w:r>
              <w:t xml:space="preserve">&gt;</w:t>
            </w:r>
            <w:r>
              <w:t xml:space="preserve"> </w:t>
            </w:r>
            <w:r>
              <w:rPr>
                <w:bCs/>
                <w:b/>
              </w:rPr>
              <w:t xml:space="preserve">概念速览：四态机的核心逻辑</w:t>
            </w:r>
            <w:r>
              <w:t xml:space="preserve"> </w:t>
            </w:r>
            <w:r>
              <w:t xml:space="preserve">&gt;</w:t>
            </w:r>
            <w:r>
              <w:t xml:space="preserve"> </w:t>
            </w:r>
            <w:r>
              <w:t xml:space="preserve">&gt; 四态机回答一个根本问题：当自主系统遇到”超出预期”的情况时，应该怎么办？答案是四步有序退让——先缩小操作空间（受限态），再退守保底策略（降级态），最后交给人类（接管态）。每一步都有明确的触发条件和恢复条件，确保退让是”有序的”而非”崩溃的”。与此对应，恢复也是逐级的——不允许从接管态直接跳回正常态，必须逐级验证后恢复。</w:t>
            </w:r>
          </w:p>
        </w:tc>
      </w:tr>
      <w:tr>
        <w:tc>
          <w:tcPr/>
          <w:p>
            <w:pPr>
              <w:pStyle w:val="Compact"/>
              <w:jc w:val="left"/>
            </w:pPr>
            <w:r>
              <w:t xml:space="preserve">&gt; 图2-4: 异常工况四态机状态迁移图。图示内容：四个圆角矩形状态节点——正常态（绿色）、受限态（黄色）、降级态（橙色）、接管态（红色）。迁移箭头及触发条件：正常→受限（预测可信度下降/通信质量变差）、受限→降级（关键状态逼近黄区/多传感器离线）、降级→接管（红区触及/执行器故障/人工主动接管）。恢复箭头（虚线）：接管→降级→受限→正常，各标注恢复条件。每个状态框内标注：控制策略（性能优化/保守策略/固定流量带/人工控制）和人机关系（自动/监督/请求接管/人工主导）。</w:t>
            </w:r>
          </w:p>
        </w:tc>
      </w:tr>
      <w:tr>
        <w:tc>
          <w:tcPr/>
          <w:p>
            <w:pPr>
              <w:pStyle w:val="Compact"/>
              <w:jc w:val="left"/>
            </w:pPr>
            <w:r>
              <w:rPr>
                <w:bCs/>
                <w:b/>
              </w:rPr>
              <w:t xml:space="preserve">正常态（Normal）。</w:t>
            </w:r>
            <w:r>
              <w:t xml:space="preserve"> </w:t>
            </w:r>
            <w:r>
              <w:t xml:space="preserve">在ODD内运行，控制器按最优策略滚动控制。所有传感器正常、模型预测可信度高（预测偏差在历史统计的95%置信区间内）、执行器响应正常。此时系统追求性能最优——水位偏差最小化、能耗最低化、多目标均衡。</w:t>
            </w:r>
          </w:p>
        </w:tc>
      </w:tr>
      <w:tr>
        <w:tc>
          <w:tcPr/>
          <w:p>
            <w:pPr>
              <w:pStyle w:val="Compact"/>
              <w:jc w:val="left"/>
            </w:pPr>
            <w:r>
              <w:rPr>
                <w:bCs/>
                <w:b/>
              </w:rPr>
              <w:t xml:space="preserve">受限态（Restricted）。</w:t>
            </w:r>
            <w:r>
              <w:t xml:space="preserve"> </w:t>
            </w:r>
            <w:r>
              <w:t xml:space="preserve">触发条件包括：预测可信度下降（如来水预报与实际偏差连续3个周期超过阈值）、通信质量变差（SCADA丢包率上升至3%以上）、个别非关键传感器离线。系统自动收缩可操作域：降低控制增益（减小25-50%，避免过激反应）、增大安全裕度（黄区边界内移10-20%）、缩短预测时域（降低对模型远期预测的依赖）。这一状态的目标是”保持可控，等待恢复”。</w:t>
            </w:r>
          </w:p>
        </w:tc>
      </w:tr>
      <w:tr>
        <w:tc>
          <w:tcPr/>
          <w:p>
            <w:pPr>
              <w:pStyle w:val="Compact"/>
              <w:jc w:val="left"/>
            </w:pPr>
            <w:r>
              <w:rPr>
                <w:bCs/>
                <w:b/>
              </w:rPr>
              <w:t xml:space="preserve">降级态（Degraded）。</w:t>
            </w:r>
            <w:r>
              <w:t xml:space="preserve"> </w:t>
            </w:r>
            <w:r>
              <w:t xml:space="preserve">触发条件包括：关键状态逼近黄区或红区边界（如水位距上限不足20 cm）、多个关键传感器同时离线（可观性低于最低配置要求）、控制器输出异常（如连续两个周期的控制动作超出合理范围）。系统切换到预设的保守策略：采用固定流量带（flow band，在基准流量±5%范围内稳定运行）、保底水位带，停止优化求解，仅维持基本安全。同时向调度员发出明确的接管请求，并在界面上显示”降级原因”</w:t>
            </w:r>
            <w:r>
              <w:t xml:space="preserve">“</w:t>
            </w:r>
            <w:r>
              <w:t xml:space="preserve">建议动作</w:t>
            </w:r>
            <w:r>
              <w:t xml:space="preserve">”</w:t>
            </w:r>
            <w:r>
              <w:t xml:space="preserve">“</w:t>
            </w:r>
            <w:r>
              <w:t xml:space="preserve">预计恢复条件</w:t>
            </w:r>
            <w:r>
              <w:t xml:space="preserve">”</w:t>
            </w:r>
            <w:r>
              <w:t xml:space="preserve">。</w:t>
            </w:r>
          </w:p>
        </w:tc>
      </w:tr>
      <w:tr>
        <w:tc>
          <w:tcPr/>
          <w:p>
            <w:pPr>
              <w:pStyle w:val="Compact"/>
              <w:jc w:val="left"/>
            </w:pPr>
            <w:r>
              <w:rPr>
                <w:bCs/>
                <w:b/>
              </w:rPr>
              <w:t xml:space="preserve">接管态（Takeover）。</w:t>
            </w:r>
            <w:r>
              <w:t xml:space="preserve"> </w:t>
            </w:r>
            <w:r>
              <w:t xml:space="preserve">触发条件包括：人工主动接管（调度员按下接管按钮）、红区边界被触及（水位触及安全极限）、执行器硬件故障（闸门卡死、泵组跳闸）。人工接管关键动作，系统退为监测、告警和建议角色。控制权完全移交给调度员，但系统仍然持续提供状态显示、趋势预测和建议方案——接管态是”控制权移交”，而非”系统关机”。</w:t>
            </w:r>
          </w:p>
        </w:tc>
      </w:tr>
      <w:tr>
        <w:tc>
          <w:tcPr/>
          <w:p>
            <w:pPr>
              <w:pStyle w:val="Compact"/>
              <w:jc w:val="left"/>
            </w:pPr>
            <w:r>
              <w:t xml:space="preserve">四态机的设计遵循三条关键原则。第一，</w:t>
            </w:r>
            <w:r>
              <w:rPr>
                <w:bCs/>
                <w:b/>
              </w:rPr>
              <w:t xml:space="preserve">每次迁移都必须有明确的触发条件和完整记录</w:t>
            </w:r>
            <w:r>
              <w:t xml:space="preserve">。不允许”模糊降级”——系统必须能够解释”为什么从正常态切换到受限态”，记录触发时间、触发指标、当时的系统状态。这些记录构成监管审计和事后复盘的基础。第二，</w:t>
            </w:r>
            <w:r>
              <w:rPr>
                <w:bCs/>
                <w:b/>
              </w:rPr>
              <w:t xml:space="preserve">迁移是可逆的</w:t>
            </w:r>
            <w:r>
              <w:t xml:space="preserve">。从降级态恢复到受限态、从受限态恢复到正常态都有明确的恢复条件（如”模型预测偏差连续5个周期小于阈值且传感器全部恢复在线”）。系统不应”一旦降级就永不恢复”。第三，</w:t>
            </w:r>
            <w:r>
              <w:rPr>
                <w:bCs/>
                <w:b/>
              </w:rPr>
              <w:t xml:space="preserve">接管态是设计好的安全机制，而非”系统失败”</w:t>
            </w:r>
            <w:r>
              <w:t xml:space="preserve">。正如航空领域的”人工接管”是飞行安全的正常组成部分，水利系统的接管态也是自主运行能力的体现——它说明系统具备识别自身能力边界并主动退让的”自知之明”。</w:t>
            </w:r>
          </w:p>
        </w:tc>
      </w:tr>
      <w:tr>
        <w:tc>
          <w:tcPr/>
          <w:p>
            <w:pPr>
              <w:pStyle w:val="Compact"/>
              <w:jc w:val="left"/>
            </w:pPr>
            <w:r>
              <w:rPr>
                <w:bCs/>
                <w:b/>
              </w:rPr>
              <w:t xml:space="preserve">四态机工程实例。</w:t>
            </w:r>
            <w:r>
              <w:t xml:space="preserve"> </w:t>
            </w:r>
            <w:r>
              <w:t xml:space="preserve">为帮助读者直观理解四态迁移，以某梯级泵站调水系统的控制实践为例说明。该系统正常运行时，MPC控制器以15分钟为周期滚动优化泵站调度方案（正常态）。某日下午，上游来水预报系统因数据传输故障导致预报值连续3个周期偏差超过15%，系统自动将控制增益降低30%、安全裕度扩大，并在操作界面标注”预报可信度下降”（迁移至受限态）。30分钟后，预报偏差进一步增大至25%，且一个关键水位传感器同时报告通信超时，系统切换到保守固定流量带策略并向调度员发出接管请求（迁移至降级态）。调度员确认接管后（接管态），手动稳定泵站运行。1小时后传感器恢复在线、预报系统修复，系统经5个周期的”预测偏差&lt;阈值”验证后，依次从接管态→降级态→受限态→正常态逐级恢复。全过程中，每次状态迁移的触发条件、时间戳和系统快照均被自动记录，供事后审计使用。</w:t>
            </w:r>
          </w:p>
        </w:tc>
      </w:tr>
    </w:tbl>
    <w:bookmarkEnd w:id="39"/>
    <w:bookmarkEnd w:id="40"/>
    <w:bookmarkStart w:id="44" w:name="算例单干线双断面协同控制的三种策略对比"/>
    <w:p>
      <w:pPr>
        <w:pStyle w:val="Heading2"/>
      </w:pPr>
      <w:r>
        <w:t xml:space="preserve">2.8 算例：单干线双断面协同控制的三种策略对比</w:t>
      </w:r>
    </w:p>
    <w:p>
      <w:pPr>
        <w:pStyle w:val="FirstParagraph"/>
      </w:pPr>
      <w:r>
        <w:t xml:space="preserve">为使上述理论具体化，以一个简化但典型的算例说明不同控制策略的效果差异。该算例保留长距离调水系统的核心特征（串联渠池、泵站联控、上游来水突变），通过定量对比揭示控制策略选择对系统行为的决定性影响。</w:t>
      </w:r>
    </w:p>
    <w:p>
      <w:pPr>
        <w:pStyle w:val="BodyText"/>
      </w:pPr>
      <w:r>
        <w:rPr>
          <w:bCs/>
          <w:b/>
        </w:rPr>
        <w:t xml:space="preserve">场景设定。</w:t>
      </w:r>
      <w:r>
        <w:t xml:space="preserve"> </w:t>
      </w:r>
      <w:r>
        <w:t xml:space="preserve">某调水干线有两个串联渠池，上游闸门</w:t>
      </w:r>
      <m:oMath>
        <m:sSub>
          <m:e>
            <m:r>
              <m:t>G</m:t>
            </m:r>
          </m:e>
          <m:sub>
            <m:r>
              <m:t>1</m:t>
            </m:r>
          </m:sub>
        </m:sSub>
      </m:oMath>
      <w:r>
        <w:t xml:space="preserve">控制第一渠池出流，中游泵站</w:t>
      </w:r>
      <m:oMath>
        <m:sSub>
          <m:e>
            <m:r>
              <m:t>P</m:t>
            </m:r>
          </m:e>
          <m:sub>
            <m:r>
              <m:t>1</m:t>
            </m:r>
          </m:sub>
        </m:sSub>
      </m:oMath>
      <w:r>
        <w:t xml:space="preserve">位于第二渠池入口。渠池1长度35千米，渠池2长度25千米。控制目标为：(1) 下游断面水位跟踪误差最小（</w:t>
      </w:r>
      <m:oMath>
        <m:d>
          <m:dPr>
            <m:begChr m:val="|"/>
            <m:endChr m:val="|"/>
            <m:sepChr m:val=""/>
            <m:grow/>
          </m:dPr>
          <m:e>
            <m:r>
              <m:t>h</m:t>
            </m:r>
            <m:r>
              <m:rPr>
                <m:sty m:val="p"/>
              </m:rPr>
              <m:t>−</m:t>
            </m:r>
            <m:sSub>
              <m:e>
                <m:r>
                  <m:t>h</m:t>
                </m:r>
              </m:e>
              <m:sub>
                <m:r>
                  <m:t>r</m:t>
                </m:r>
                <m:r>
                  <m:t>e</m:t>
                </m:r>
                <m:r>
                  <m:t>f</m:t>
                </m:r>
              </m:sub>
            </m:sSub>
          </m:e>
        </m:d>
        <m:r>
          <m:rPr>
            <m:sty m:val="p"/>
          </m:rPr>
          <m:t>&lt;</m:t>
        </m:r>
        <m:r>
          <m:t>0.1</m:t>
        </m:r>
      </m:oMath>
      <w:r>
        <w:t xml:space="preserve"> </w:t>
      </w:r>
      <w:r>
        <w:t xml:space="preserve">m）；(2) 水位不越安全包络（</w:t>
      </w:r>
      <m:oMath>
        <m:sSub>
          <m:e>
            <m:r>
              <m:t>h</m:t>
            </m:r>
          </m:e>
          <m:sub>
            <m:r>
              <m:t>m</m:t>
            </m:r>
            <m:r>
              <m:t>i</m:t>
            </m:r>
            <m:r>
              <m:t>n</m:t>
            </m:r>
          </m:sub>
        </m:sSub>
        <m:r>
          <m:rPr>
            <m:sty m:val="p"/>
          </m:rPr>
          <m:t>≤</m:t>
        </m:r>
        <m:r>
          <m:t>h</m:t>
        </m:r>
        <m:r>
          <m:rPr>
            <m:sty m:val="p"/>
          </m:rPr>
          <m:t>≤</m:t>
        </m:r>
        <m:sSub>
          <m:e>
            <m:r>
              <m:t>h</m:t>
            </m:r>
          </m:e>
          <m:sub>
            <m:r>
              <m:t>m</m:t>
            </m:r>
            <m:r>
              <m:t>a</m:t>
            </m:r>
            <m:r>
              <m:t>x</m:t>
            </m:r>
          </m:sub>
        </m:sSub>
      </m:oMath>
      <w:r>
        <w:t xml:space="preserve">，安全裕度0.5 m）；(3) 泵组启停次数不超过每8小时6次（操作约束）；(4) 能耗最小。扰动场景为：上游来水在</w:t>
      </w:r>
      <m:oMath>
        <m:r>
          <m:t>t</m:t>
        </m:r>
        <m:r>
          <m:rPr>
            <m:sty m:val="p"/>
          </m:rPr>
          <m:t>=</m:t>
        </m:r>
        <m:r>
          <m:t>2</m:t>
        </m:r>
      </m:oMath>
      <w:r>
        <w:t xml:space="preserve"> </w:t>
      </w:r>
      <w:r>
        <w:t xml:space="preserve">h时阶跃增加20%。两渠池的传递时滞分别为</w:t>
      </w:r>
      <m:oMath>
        <m:sSub>
          <m:e>
            <m:r>
              <m:t>τ</m:t>
            </m:r>
          </m:e>
          <m:sub>
            <m:r>
              <m:t>1</m:t>
            </m:r>
          </m:sub>
        </m:sSub>
        <m:r>
          <m:rPr>
            <m:sty m:val="p"/>
          </m:rPr>
          <m:t>=</m:t>
        </m:r>
        <m:r>
          <m:t>45</m:t>
        </m:r>
      </m:oMath>
      <w:r>
        <w:t xml:space="preserve"> </w:t>
      </w:r>
      <w:r>
        <w:t xml:space="preserve">min和</w:t>
      </w:r>
      <m:oMath>
        <m:sSub>
          <m:e>
            <m:r>
              <m:t>τ</m:t>
            </m:r>
          </m:e>
          <m:sub>
            <m:r>
              <m:t>2</m:t>
            </m:r>
          </m:sub>
        </m:sSub>
        <m:r>
          <m:rPr>
            <m:sty m:val="p"/>
          </m:rPr>
          <m:t>=</m:t>
        </m:r>
        <m:r>
          <m:t>30</m:t>
        </m:r>
      </m:oMath>
      <w:r>
        <w:t xml:space="preserve"> </w:t>
      </w:r>
      <w:r>
        <w:t xml:space="preserve">min（由IDZ模型计算得到）。</w:t>
      </w:r>
    </w:p>
    <w:bookmarkStart w:id="41" w:name="策略a纯反馈局部pid"/>
    <w:p>
      <w:pPr>
        <w:pStyle w:val="Heading3"/>
      </w:pPr>
      <w:r>
        <w:t xml:space="preserve">策略A：纯反馈（局部PID）</w:t>
      </w:r>
    </w:p>
    <w:p>
      <w:pPr>
        <w:pStyle w:val="FirstParagraph"/>
      </w:pPr>
      <m:oMath>
        <m:sSub>
          <m:e>
            <m:r>
              <m:t>G</m:t>
            </m:r>
          </m:e>
          <m:sub>
            <m:r>
              <m:t>1</m:t>
            </m:r>
          </m:sub>
        </m:sSub>
      </m:oMath>
      <w:r>
        <w:t xml:space="preserve">和</w:t>
      </w:r>
      <m:oMath>
        <m:sSub>
          <m:e>
            <m:r>
              <m:t>P</m:t>
            </m:r>
          </m:e>
          <m:sub>
            <m:r>
              <m:t>1</m:t>
            </m:r>
          </m:sub>
        </m:sSub>
      </m:oMath>
      <w:r>
        <w:t xml:space="preserve">各配一个独立PID控制器，分别根据本地下游水位偏差调节。PID参数按Ziegler-Nichols法整定。</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性能指标</w:t>
            </w:r>
          </w:p>
        </w:tc>
        <w:tc>
          <w:tcPr/>
          <w:p>
            <w:pPr>
              <w:pStyle w:val="Compact"/>
              <w:jc w:val="left"/>
            </w:pPr>
            <w:r>
              <w:t xml:space="preserve">结果</w:t>
            </w:r>
          </w:p>
        </w:tc>
        <w:tc>
          <w:tcPr/>
          <w:p>
            <w:pPr>
              <w:pStyle w:val="Compact"/>
              <w:jc w:val="left"/>
            </w:pPr>
            <w:r>
              <w:t xml:space="preserve">评价</w:t>
            </w:r>
          </w:p>
        </w:tc>
      </w:tr>
      <w:tr>
        <w:tc>
          <w:tcPr/>
          <w:p>
            <w:pPr>
              <w:pStyle w:val="Compact"/>
              <w:jc w:val="left"/>
            </w:pPr>
            <w:r>
              <w:t xml:space="preserve">水位偏差峰值</w:t>
            </w:r>
          </w:p>
        </w:tc>
        <w:tc>
          <w:tcPr/>
          <w:p>
            <w:pPr>
              <w:pStyle w:val="Compact"/>
              <w:jc w:val="left"/>
            </w:pPr>
            <w:r>
              <w:t xml:space="preserve">0.25 m</w:t>
            </w:r>
          </w:p>
        </w:tc>
        <w:tc>
          <w:tcPr/>
          <w:p>
            <w:pPr>
              <w:pStyle w:val="Compact"/>
              <w:jc w:val="left"/>
            </w:pPr>
            <w:r>
              <w:rPr>
                <w:bCs/>
                <w:b/>
              </w:rPr>
              <w:t xml:space="preserve">超标2.5倍</w:t>
            </w:r>
            <w:r>
              <w:t xml:space="preserve">（目标&lt;0.1 m）</w:t>
            </w:r>
          </w:p>
        </w:tc>
      </w:tr>
      <w:tr>
        <w:tc>
          <w:tcPr/>
          <w:p>
            <w:pPr>
              <w:pStyle w:val="Compact"/>
              <w:jc w:val="left"/>
            </w:pPr>
            <w:r>
              <w:t xml:space="preserve">振荡衰减时间</w:t>
            </w:r>
          </w:p>
        </w:tc>
        <w:tc>
          <w:tcPr/>
          <w:p>
            <w:pPr>
              <w:pStyle w:val="Compact"/>
              <w:jc w:val="left"/>
            </w:pPr>
            <w:r>
              <w:t xml:space="preserve">约4个周期（~6小时）</w:t>
            </w:r>
          </w:p>
        </w:tc>
        <w:tc>
          <w:tcPr/>
          <w:p>
            <w:pPr>
              <w:pStyle w:val="Compact"/>
              <w:jc w:val="left"/>
            </w:pPr>
            <w:r>
              <w:t xml:space="preserve">偏长</w:t>
            </w:r>
          </w:p>
        </w:tc>
      </w:tr>
      <w:tr>
        <w:tc>
          <w:tcPr/>
          <w:p>
            <w:pPr>
              <w:pStyle w:val="Compact"/>
              <w:jc w:val="left"/>
            </w:pPr>
            <w:r>
              <w:t xml:space="preserve">泵组启停次数</w:t>
            </w:r>
          </w:p>
        </w:tc>
        <w:tc>
          <w:tcPr/>
          <w:p>
            <w:pPr>
              <w:pStyle w:val="Compact"/>
              <w:jc w:val="left"/>
            </w:pPr>
            <w:r>
              <w:t xml:space="preserve">P1启停8次/8小时</w:t>
            </w:r>
          </w:p>
        </w:tc>
        <w:tc>
          <w:tcPr/>
          <w:p>
            <w:pPr>
              <w:pStyle w:val="Compact"/>
              <w:jc w:val="left"/>
            </w:pPr>
            <w:r>
              <w:rPr>
                <w:bCs/>
                <w:b/>
              </w:rPr>
              <w:t xml:space="preserve">超出操作约束</w:t>
            </w:r>
            <w:r>
              <w:t xml:space="preserve">（限值6次）</w:t>
            </w:r>
          </w:p>
        </w:tc>
      </w:tr>
      <w:tr>
        <w:tc>
          <w:tcPr/>
          <w:p>
            <w:pPr>
              <w:pStyle w:val="Compact"/>
              <w:jc w:val="left"/>
            </w:pPr>
            <w:r>
              <w:t xml:space="preserve">能耗偏高</w:t>
            </w:r>
          </w:p>
        </w:tc>
        <w:tc>
          <w:tcPr/>
          <w:p>
            <w:pPr>
              <w:pStyle w:val="Compact"/>
              <w:jc w:val="left"/>
            </w:pPr>
            <w:r>
              <w:t xml:space="preserve">+30%（较正常工况）</w:t>
            </w:r>
          </w:p>
        </w:tc>
        <w:tc>
          <w:tcPr/>
          <w:p>
            <w:pPr>
              <w:pStyle w:val="Compact"/>
              <w:jc w:val="left"/>
            </w:pPr>
            <w:r>
              <w:t xml:space="preserve">频繁调速导致</w:t>
            </w:r>
          </w:p>
        </w:tc>
      </w:tr>
      <w:tr>
        <w:tc>
          <w:tcPr/>
          <w:p>
            <w:pPr>
              <w:pStyle w:val="Compact"/>
              <w:jc w:val="left"/>
            </w:pPr>
            <w:r>
              <w:t xml:space="preserve">安全裕度最小值</w:t>
            </w:r>
          </w:p>
        </w:tc>
        <w:tc>
          <w:tcPr/>
          <w:p>
            <w:pPr>
              <w:pStyle w:val="Compact"/>
              <w:jc w:val="left"/>
            </w:pPr>
            <w:r>
              <w:t xml:space="preserve">0.25 m</w:t>
            </w:r>
          </w:p>
        </w:tc>
        <w:tc>
          <w:tcPr/>
          <w:p>
            <w:pPr>
              <w:pStyle w:val="Compact"/>
              <w:jc w:val="left"/>
            </w:pPr>
            <w:r>
              <w:t xml:space="preserve">进入黄区</w:t>
            </w:r>
          </w:p>
        </w:tc>
      </w:tr>
    </w:tbl>
    <w:p>
      <w:pPr>
        <w:pStyle w:val="BodyText"/>
      </w:pPr>
      <w:r>
        <w:t xml:space="preserve">策略A的优势是部署快、维护简单、无模型依赖。适合作为系统降级态的保底策略——当MPC不可用时退回PID，至少保证不失控。</w:t>
      </w:r>
    </w:p>
    <w:bookmarkEnd w:id="41"/>
    <w:bookmarkStart w:id="42" w:name="策略b前馈反馈"/>
    <w:p>
      <w:pPr>
        <w:pStyle w:val="Heading3"/>
      </w:pPr>
      <w:r>
        <w:t xml:space="preserve">策略B：前馈+反馈</w:t>
      </w:r>
    </w:p>
    <w:p>
      <w:pPr>
        <w:pStyle w:val="FirstParagraph"/>
      </w:pPr>
      <w:r>
        <w:t xml:space="preserve">在策略A的基础上，将上游来水变化作为前馈信号注入</w:t>
      </w:r>
      <m:oMath>
        <m:sSub>
          <m:e>
            <m:r>
              <m:t>G</m:t>
            </m:r>
          </m:e>
          <m:sub>
            <m:r>
              <m:t>1</m:t>
            </m:r>
          </m:sub>
        </m:sSub>
      </m:oMath>
      <w:r>
        <w:t xml:space="preserve">和</w:t>
      </w:r>
      <m:oMath>
        <m:sSub>
          <m:e>
            <m:r>
              <m:t>P</m:t>
            </m:r>
          </m:e>
          <m:sub>
            <m:r>
              <m:t>1</m:t>
            </m:r>
          </m:sub>
        </m:sSub>
      </m:oMath>
      <w:r>
        <w:t xml:space="preserve">的控制器，前馈增益根据IDZ模型的静态增益计算。</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性能指标</w:t>
            </w:r>
          </w:p>
        </w:tc>
        <w:tc>
          <w:tcPr/>
          <w:p>
            <w:pPr>
              <w:pStyle w:val="Compact"/>
              <w:jc w:val="left"/>
            </w:pPr>
            <w:r>
              <w:t xml:space="preserve">结果</w:t>
            </w:r>
          </w:p>
        </w:tc>
        <w:tc>
          <w:tcPr/>
          <w:p>
            <w:pPr>
              <w:pStyle w:val="Compact"/>
              <w:jc w:val="left"/>
            </w:pPr>
            <w:r>
              <w:t xml:space="preserve">较策略A改善</w:t>
            </w:r>
          </w:p>
        </w:tc>
      </w:tr>
      <w:tr>
        <w:tc>
          <w:tcPr/>
          <w:p>
            <w:pPr>
              <w:pStyle w:val="Compact"/>
              <w:jc w:val="left"/>
            </w:pPr>
            <w:r>
              <w:t xml:space="preserve">水位偏差峰值</w:t>
            </w:r>
          </w:p>
        </w:tc>
        <w:tc>
          <w:tcPr/>
          <w:p>
            <w:pPr>
              <w:pStyle w:val="Compact"/>
              <w:jc w:val="left"/>
            </w:pPr>
            <w:r>
              <w:t xml:space="preserve">0.12 m</w:t>
            </w:r>
          </w:p>
        </w:tc>
        <w:tc>
          <w:tcPr/>
          <w:p>
            <w:pPr>
              <w:pStyle w:val="Compact"/>
              <w:jc w:val="left"/>
            </w:pPr>
            <w:r>
              <w:t xml:space="preserve">降低52%</w:t>
            </w:r>
          </w:p>
        </w:tc>
      </w:tr>
      <w:tr>
        <w:tc>
          <w:tcPr/>
          <w:p>
            <w:pPr>
              <w:pStyle w:val="Compact"/>
              <w:jc w:val="left"/>
            </w:pPr>
            <w:r>
              <w:t xml:space="preserve">振荡衰减时间</w:t>
            </w:r>
          </w:p>
        </w:tc>
        <w:tc>
          <w:tcPr/>
          <w:p>
            <w:pPr>
              <w:pStyle w:val="Compact"/>
              <w:jc w:val="left"/>
            </w:pPr>
            <w:r>
              <w:t xml:space="preserve">约2个周期（~3小时）</w:t>
            </w:r>
          </w:p>
        </w:tc>
        <w:tc>
          <w:tcPr/>
          <w:p>
            <w:pPr>
              <w:pStyle w:val="Compact"/>
              <w:jc w:val="left"/>
            </w:pPr>
            <w:r>
              <w:t xml:space="preserve">缩短50%</w:t>
            </w:r>
          </w:p>
        </w:tc>
      </w:tr>
      <w:tr>
        <w:tc>
          <w:tcPr/>
          <w:p>
            <w:pPr>
              <w:pStyle w:val="Compact"/>
              <w:jc w:val="left"/>
            </w:pPr>
            <w:r>
              <w:t xml:space="preserve">泵组启停次数</w:t>
            </w:r>
          </w:p>
        </w:tc>
        <w:tc>
          <w:tcPr/>
          <w:p>
            <w:pPr>
              <w:pStyle w:val="Compact"/>
              <w:jc w:val="left"/>
            </w:pPr>
            <w:r>
              <w:t xml:space="preserve">P1启停5次/8小时</w:t>
            </w:r>
          </w:p>
        </w:tc>
        <w:tc>
          <w:tcPr/>
          <w:p>
            <w:pPr>
              <w:pStyle w:val="Compact"/>
              <w:jc w:val="left"/>
            </w:pPr>
            <w:r>
              <w:t xml:space="preserve">减少37%</w:t>
            </w:r>
          </w:p>
        </w:tc>
      </w:tr>
      <w:tr>
        <w:tc>
          <w:tcPr/>
          <w:p>
            <w:pPr>
              <w:pStyle w:val="Compact"/>
              <w:jc w:val="left"/>
            </w:pPr>
            <w:r>
              <w:t xml:space="preserve">能耗偏高</w:t>
            </w:r>
          </w:p>
        </w:tc>
        <w:tc>
          <w:tcPr/>
          <w:p>
            <w:pPr>
              <w:pStyle w:val="Compact"/>
              <w:jc w:val="left"/>
            </w:pPr>
            <w:r>
              <w:t xml:space="preserve">+12%</w:t>
            </w:r>
          </w:p>
        </w:tc>
        <w:tc>
          <w:tcPr/>
          <w:p>
            <w:pPr>
              <w:pStyle w:val="Compact"/>
              <w:jc w:val="left"/>
            </w:pPr>
            <w:r>
              <w:t xml:space="preserve">改善18个百分点</w:t>
            </w:r>
          </w:p>
        </w:tc>
      </w:tr>
      <w:tr>
        <w:tc>
          <w:tcPr/>
          <w:p>
            <w:pPr>
              <w:pStyle w:val="Compact"/>
              <w:jc w:val="left"/>
            </w:pPr>
            <w:r>
              <w:t xml:space="preserve">安全裕度最小值</w:t>
            </w:r>
          </w:p>
        </w:tc>
        <w:tc>
          <w:tcPr/>
          <w:p>
            <w:pPr>
              <w:pStyle w:val="Compact"/>
              <w:jc w:val="left"/>
            </w:pPr>
            <w:r>
              <w:t xml:space="preserve">0.38 m</w:t>
            </w:r>
          </w:p>
        </w:tc>
        <w:tc>
          <w:tcPr/>
          <w:p>
            <w:pPr>
              <w:pStyle w:val="Compact"/>
              <w:jc w:val="left"/>
            </w:pPr>
            <w:r>
              <w:t xml:space="preserve">始终在绿区</w:t>
            </w:r>
          </w:p>
        </w:tc>
      </w:tr>
    </w:tbl>
    <w:p>
      <w:pPr>
        <w:pStyle w:val="BodyText"/>
      </w:pPr>
      <w:r>
        <w:t xml:space="preserve">策略B响应显著改善。但当来水预报偏差大于15%时，前馈反而可能引入额外扰动，出现短时越界风险——前馈的有效性严重依赖预报精度。</w:t>
      </w:r>
    </w:p>
    <w:bookmarkEnd w:id="42"/>
    <w:bookmarkStart w:id="43" w:name="策略c约束mpc安全监视器"/>
    <w:p>
      <w:pPr>
        <w:pStyle w:val="Heading3"/>
      </w:pPr>
      <w:r>
        <w:t xml:space="preserve">策略C：约束MPC+安全监视器</w:t>
      </w:r>
    </w:p>
    <w:p>
      <w:pPr>
        <w:pStyle w:val="FirstParagraph"/>
      </w:pPr>
      <w:r>
        <w:t xml:space="preserve">采用集中式MPC，同时控制</w:t>
      </w:r>
      <m:oMath>
        <m:sSub>
          <m:e>
            <m:r>
              <m:t>G</m:t>
            </m:r>
          </m:e>
          <m:sub>
            <m:r>
              <m:t>1</m:t>
            </m:r>
          </m:sub>
        </m:sSub>
      </m:oMath>
      <w:r>
        <w:t xml:space="preserve">和</w:t>
      </w:r>
      <m:oMath>
        <m:sSub>
          <m:e>
            <m:r>
              <m:t>P</m:t>
            </m:r>
          </m:e>
          <m:sub>
            <m:r>
              <m:t>1</m:t>
            </m:r>
          </m:sub>
        </m:sSub>
      </m:oMath>
      <w:r>
        <w:t xml:space="preserve">，预测时域覆盖2小时（大于最大时滞</w:t>
      </w:r>
      <m:oMath>
        <m:sSub>
          <m:e>
            <m:r>
              <m:t>τ</m:t>
            </m:r>
          </m:e>
          <m:sub>
            <m:r>
              <m:t>1</m:t>
            </m:r>
          </m:sub>
        </m:sSub>
        <m:r>
          <m:rPr>
            <m:sty m:val="p"/>
          </m:rPr>
          <m:t>+</m:t>
        </m:r>
        <m:sSub>
          <m:e>
            <m:r>
              <m:t>τ</m:t>
            </m:r>
          </m:e>
          <m:sub>
            <m:r>
              <m:t>2</m:t>
            </m:r>
          </m:sub>
        </m:sSub>
        <m:r>
          <m:rPr>
            <m:sty m:val="p"/>
          </m:rPr>
          <m:t>=</m:t>
        </m:r>
        <m:r>
          <m:t>75</m:t>
        </m:r>
      </m:oMath>
      <w:r>
        <w:t xml:space="preserve"> </w:t>
      </w:r>
      <w:r>
        <w:t xml:space="preserve">min），约束集包含水位上下限、泵组最小启停间隔（30 min）和闸门调节速率限制。安全监视器独立运行，监测水位轨迹与安全包络的距离，在逼近黄区时自动收紧约束。</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性能指标</w:t>
            </w:r>
          </w:p>
        </w:tc>
        <w:tc>
          <w:tcPr/>
          <w:p>
            <w:pPr>
              <w:pStyle w:val="Compact"/>
              <w:jc w:val="left"/>
            </w:pPr>
            <w:r>
              <w:t xml:space="preserve">结果</w:t>
            </w:r>
          </w:p>
        </w:tc>
        <w:tc>
          <w:tcPr/>
          <w:p>
            <w:pPr>
              <w:pStyle w:val="Compact"/>
              <w:jc w:val="left"/>
            </w:pPr>
            <w:r>
              <w:t xml:space="preserve">较策略A改善</w:t>
            </w:r>
          </w:p>
        </w:tc>
      </w:tr>
      <w:tr>
        <w:tc>
          <w:tcPr/>
          <w:p>
            <w:pPr>
              <w:pStyle w:val="Compact"/>
              <w:jc w:val="left"/>
            </w:pPr>
            <w:r>
              <w:t xml:space="preserve">水位偏差峰值</w:t>
            </w:r>
          </w:p>
        </w:tc>
        <w:tc>
          <w:tcPr/>
          <w:p>
            <w:pPr>
              <w:pStyle w:val="Compact"/>
              <w:jc w:val="left"/>
            </w:pPr>
            <w:r>
              <w:t xml:space="preserve">0.06 m</w:t>
            </w:r>
          </w:p>
        </w:tc>
        <w:tc>
          <w:tcPr/>
          <w:p>
            <w:pPr>
              <w:pStyle w:val="Compact"/>
              <w:jc w:val="left"/>
            </w:pPr>
            <w:r>
              <w:t xml:space="preserve">降低76%</w:t>
            </w:r>
          </w:p>
        </w:tc>
      </w:tr>
      <w:tr>
        <w:tc>
          <w:tcPr/>
          <w:p>
            <w:pPr>
              <w:pStyle w:val="Compact"/>
              <w:jc w:val="left"/>
            </w:pPr>
            <w:r>
              <w:t xml:space="preserve">振荡</w:t>
            </w:r>
          </w:p>
        </w:tc>
        <w:tc>
          <w:tcPr/>
          <w:p>
            <w:pPr>
              <w:pStyle w:val="Compact"/>
              <w:jc w:val="left"/>
            </w:pPr>
            <w:r>
              <w:t xml:space="preserve">无振荡</w:t>
            </w:r>
          </w:p>
        </w:tc>
        <w:tc>
          <w:tcPr/>
          <w:p>
            <w:pPr>
              <w:pStyle w:val="Compact"/>
              <w:jc w:val="left"/>
            </w:pPr>
            <w:r>
              <w:t xml:space="preserve">根本消除</w:t>
            </w:r>
          </w:p>
        </w:tc>
      </w:tr>
      <w:tr>
        <w:tc>
          <w:tcPr/>
          <w:p>
            <w:pPr>
              <w:pStyle w:val="Compact"/>
              <w:jc w:val="left"/>
            </w:pPr>
            <w:r>
              <w:t xml:space="preserve">泵组启停次数</w:t>
            </w:r>
          </w:p>
        </w:tc>
        <w:tc>
          <w:tcPr/>
          <w:p>
            <w:pPr>
              <w:pStyle w:val="Compact"/>
              <w:jc w:val="left"/>
            </w:pPr>
            <w:r>
              <w:t xml:space="preserve">P1启停2次/8小时</w:t>
            </w:r>
          </w:p>
        </w:tc>
        <w:tc>
          <w:tcPr/>
          <w:p>
            <w:pPr>
              <w:pStyle w:val="Compact"/>
              <w:jc w:val="left"/>
            </w:pPr>
            <w:r>
              <w:t xml:space="preserve">减少75%</w:t>
            </w:r>
          </w:p>
        </w:tc>
      </w:tr>
      <w:tr>
        <w:tc>
          <w:tcPr/>
          <w:p>
            <w:pPr>
              <w:pStyle w:val="Compact"/>
              <w:jc w:val="left"/>
            </w:pPr>
            <w:r>
              <w:t xml:space="preserve">能耗偏高</w:t>
            </w:r>
          </w:p>
        </w:tc>
        <w:tc>
          <w:tcPr/>
          <w:p>
            <w:pPr>
              <w:pStyle w:val="Compact"/>
              <w:jc w:val="left"/>
            </w:pPr>
            <w:r>
              <w:t xml:space="preserve">+3%</w:t>
            </w:r>
          </w:p>
        </w:tc>
        <w:tc>
          <w:tcPr/>
          <w:p>
            <w:pPr>
              <w:pStyle w:val="Compact"/>
              <w:jc w:val="left"/>
            </w:pPr>
            <w:r>
              <w:t xml:space="preserve">改善27个百分点</w:t>
            </w:r>
          </w:p>
        </w:tc>
      </w:tr>
      <w:tr>
        <w:tc>
          <w:tcPr/>
          <w:p>
            <w:pPr>
              <w:pStyle w:val="Compact"/>
              <w:jc w:val="left"/>
            </w:pPr>
            <w:r>
              <w:t xml:space="preserve">安全裕度最小值</w:t>
            </w:r>
          </w:p>
        </w:tc>
        <w:tc>
          <w:tcPr/>
          <w:p>
            <w:pPr>
              <w:pStyle w:val="Compact"/>
              <w:jc w:val="left"/>
            </w:pPr>
            <w:r>
              <w:t xml:space="preserve">0.44 m</w:t>
            </w:r>
          </w:p>
        </w:tc>
        <w:tc>
          <w:tcPr/>
          <w:p>
            <w:pPr>
              <w:pStyle w:val="Compact"/>
              <w:jc w:val="left"/>
            </w:pPr>
            <w:r>
              <w:t xml:space="preserve">始终在绿区深处</w:t>
            </w:r>
          </w:p>
        </w:tc>
      </w:tr>
      <w:tr>
        <w:tc>
          <w:tcPr/>
          <w:p>
            <w:pPr>
              <w:pStyle w:val="Compact"/>
              <w:jc w:val="left"/>
            </w:pPr>
            <w:r>
              <w:t xml:space="preserve">安全监视器触发</w:t>
            </w:r>
          </w:p>
        </w:tc>
        <w:tc>
          <w:tcPr/>
          <w:p>
            <w:pPr>
              <w:pStyle w:val="Compact"/>
              <w:jc w:val="left"/>
            </w:pPr>
            <w:r>
              <w:t xml:space="preserve">未触发</w:t>
            </w:r>
          </w:p>
        </w:tc>
        <w:tc>
          <w:tcPr/>
          <w:p>
            <w:pPr>
              <w:pStyle w:val="Compact"/>
              <w:jc w:val="left"/>
            </w:pPr>
            <w:r>
              <w:t xml:space="preserve">—</w:t>
            </w:r>
          </w:p>
        </w:tc>
      </w:tr>
    </w:tbl>
    <w:p>
      <w:pPr>
        <w:pStyle w:val="BodyText"/>
      </w:pPr>
      <w:r>
        <w:t xml:space="preserve">策略C在所有指标上均优。MPC通过预测模型”看到”来水增加后未来2小时的水位变化趋势，协同调节</w:t>
      </w:r>
      <m:oMath>
        <m:sSub>
          <m:e>
            <m:r>
              <m:t>G</m:t>
            </m:r>
          </m:e>
          <m:sub>
            <m:r>
              <m:t>1</m:t>
            </m:r>
          </m:sub>
        </m:sSub>
      </m:oMath>
      <w:r>
        <w:t xml:space="preserve">和</w:t>
      </w:r>
      <m:oMath>
        <m:sSub>
          <m:e>
            <m:r>
              <m:t>P</m:t>
            </m:r>
          </m:e>
          <m:sub>
            <m:r>
              <m:t>1</m:t>
            </m:r>
          </m:sub>
        </m:sSub>
      </m:oMath>
      <w:r>
        <w:t xml:space="preserve">，提前发出平滑的补偿动作，避免了事后追赶导致的超调和振荡。泵组调速平滑，启停次数大幅减少，设备寿命得到保护。代价是需要维护渠池传递函数模型、在线求解优化问题（计算周期约3秒）和配置安全监视器参数。</w:t>
      </w:r>
    </w:p>
    <w:p>
      <w:pPr>
        <w:pStyle w:val="BodyText"/>
      </w:pPr>
      <w:r>
        <w:rPr>
          <w:bCs/>
          <w:b/>
        </w:rPr>
        <w:t xml:space="preserve">工程结论。</w:t>
      </w:r>
      <w:r>
        <w:t xml:space="preserve"> </w:t>
      </w:r>
      <w:r>
        <w:t xml:space="preserve">若任务风险等级高（如供水干线），应优先选择策略C（约束MPC+安全监视器），其初始投入虽高，但长期运行的安全性和经济性最优。若任务简单稳定且运维能力有限，策略B（前馈+反馈）配合人工值守是务实选择。策略A（纯PID）适合作为执行层的基础控制器和降级态的保底方案。三种策略不是相互排斥，而是在分层架构中各有定位——正如§2.6.5所述，关键是”把方法放到合适的位置”。</w:t>
      </w:r>
    </w:p>
    <w:p>
      <w:pPr>
        <w:pStyle w:val="BodyText"/>
      </w:pPr>
      <w:r>
        <w:rPr>
          <w:bCs/>
          <w:b/>
        </w:rPr>
        <w:t xml:space="preserve">对照引导案例。</w:t>
      </w:r>
      <w:r>
        <w:t xml:space="preserve"> </w:t>
      </w:r>
      <w:r>
        <w:t xml:space="preserve">引导案例中的调度系统实质上采用的是”策略A+</w:t>
      </w:r>
      <w:r>
        <w:t xml:space="preserve">“</w:t>
      </w:r>
      <w:r>
        <w:t xml:space="preserve">——有SCADA但无协调层MPC，有人工经验但无模型预测，有报警但无安全包络。从算例对比可见，策略A的典型表现（超调显著、持续振荡、启停频繁、能耗偏高）与引导案例中实际观察到的三类问题在模式上高度一致。差异在于引导案例的多工况叠加比算例更严峻，因此实际恶化程度更大。这一对比说明：引导案例的失效不是</w:t>
      </w:r>
      <w:r>
        <w:t xml:space="preserve">”</w:t>
      </w:r>
      <w:r>
        <w:t xml:space="preserve">运气差”，而是缺乏正确控制策略的必然结果。</w:t>
      </w:r>
    </w:p>
    <w:p>
      <w:r>
        <w:pict>
          <v:rect style="width:0;height:1.5pt" o:hralign="center" o:hrstd="t" o:hr="t"/>
        </w:pict>
      </w:r>
    </w:p>
    <w:bookmarkEnd w:id="43"/>
    <w:bookmarkEnd w:id="44"/>
    <w:bookmarkStart w:id="45" w:name="控制绩效评价体系从精度扩展到治理"/>
    <w:p>
      <w:pPr>
        <w:pStyle w:val="Heading2"/>
      </w:pPr>
      <w:r>
        <w:t xml:space="preserve">2.9 控制绩效评价体系：从”精度”扩展到”治理”</w:t>
      </w:r>
    </w:p>
    <w:p>
      <w:pPr>
        <w:pStyle w:val="FirstParagraph"/>
      </w:pPr>
      <w:r>
        <w:t xml:space="preserve">传统的控制性能评价聚焦于”精度”（水位偏差、流量误差），但这只是评价的一个维度。一个水位控制精度很高但频繁触发泵站启停的系统，在设备寿命和能耗方面可能表现很差；一个各项技术指标达标但调度员看不懂、审计查不清的系统，在治理维度上是不合格的。CHS提出五维评价体系，将技术性能与运行治理统一到一个框架内（见表2-2）。</w:t>
      </w:r>
    </w:p>
    <w:tbl>
      <w:tblPr>
        <w:tblStyle w:val="Table"/>
        <w:tblW w:type="pct" w:w="5000"/>
        <w:tblLook w:firstRow="1" w:lastRow="0" w:firstColumn="0" w:lastColumn="0" w:noHBand="0" w:noVBand="0" w:val="0020"/>
        <w:jc w:val="start"/>
      </w:tblPr>
      <w:tblGrid>
        <w:gridCol w:w="1440"/>
        <w:gridCol w:w="2160"/>
        <w:gridCol w:w="2160"/>
        <w:gridCol w:w="2160"/>
      </w:tblGrid>
      <w:tr>
        <w:trPr>
          <w:tblHeader w:val="true"/>
        </w:trPr>
        <w:tc>
          <w:tcPr/>
          <w:p>
            <w:pPr>
              <w:pStyle w:val="Compact"/>
              <w:jc w:val="left"/>
            </w:pPr>
            <w:r>
              <w:t xml:space="preserve">维度</w:t>
            </w:r>
          </w:p>
        </w:tc>
        <w:tc>
          <w:tcPr/>
          <w:p>
            <w:pPr>
              <w:pStyle w:val="Compact"/>
              <w:jc w:val="left"/>
            </w:pPr>
            <w:r>
              <w:t xml:space="preserve">关键指标</w:t>
            </w:r>
          </w:p>
        </w:tc>
        <w:tc>
          <w:tcPr/>
          <w:p>
            <w:pPr>
              <w:pStyle w:val="Compact"/>
              <w:jc w:val="left"/>
            </w:pPr>
            <w:r>
              <w:t xml:space="preserve">工程含义</w:t>
            </w:r>
          </w:p>
        </w:tc>
        <w:tc>
          <w:tcPr/>
          <w:p>
            <w:pPr>
              <w:pStyle w:val="Compact"/>
              <w:jc w:val="left"/>
            </w:pPr>
            <w:r>
              <w:t xml:space="preserve">权重逻辑</w:t>
            </w:r>
          </w:p>
        </w:tc>
      </w:tr>
      <w:tr>
        <w:tc>
          <w:tcPr/>
          <w:p>
            <w:pPr>
              <w:pStyle w:val="Compact"/>
              <w:jc w:val="left"/>
            </w:pPr>
            <w:r>
              <w:t xml:space="preserve">安全</w:t>
            </w:r>
          </w:p>
        </w:tc>
        <w:tc>
          <w:tcPr/>
          <w:p>
            <w:pPr>
              <w:pStyle w:val="Compact"/>
              <w:jc w:val="left"/>
            </w:pPr>
            <w:r>
              <w:t xml:space="preserve">越界次数、最小安全裕度、红区停留时长</w:t>
            </w:r>
          </w:p>
        </w:tc>
        <w:tc>
          <w:tcPr/>
          <w:p>
            <w:pPr>
              <w:pStyle w:val="Compact"/>
              <w:jc w:val="left"/>
            </w:pPr>
            <w:r>
              <w:t xml:space="preserve">系统是否守住底线</w:t>
            </w:r>
          </w:p>
        </w:tc>
        <w:tc>
          <w:tcPr/>
          <w:p>
            <w:pPr>
              <w:pStyle w:val="Compact"/>
              <w:jc w:val="left"/>
            </w:pPr>
            <w:r>
              <w:rPr>
                <w:bCs/>
                <w:b/>
              </w:rPr>
              <w:t xml:space="preserve">一票否决</w:t>
            </w:r>
            <w:r>
              <w:t xml:space="preserve">——安全不达标则整体不达标</w:t>
            </w:r>
          </w:p>
        </w:tc>
      </w:tr>
      <w:tr>
        <w:tc>
          <w:tcPr/>
          <w:p>
            <w:pPr>
              <w:pStyle w:val="Compact"/>
              <w:jc w:val="left"/>
            </w:pPr>
            <w:r>
              <w:t xml:space="preserve">稳定</w:t>
            </w:r>
          </w:p>
        </w:tc>
        <w:tc>
          <w:tcPr/>
          <w:p>
            <w:pPr>
              <w:pStyle w:val="Compact"/>
              <w:jc w:val="left"/>
            </w:pPr>
            <w:r>
              <w:t xml:space="preserve">超调量、恢复时间、振荡次数</w:t>
            </w:r>
          </w:p>
        </w:tc>
        <w:tc>
          <w:tcPr/>
          <w:p>
            <w:pPr>
              <w:pStyle w:val="Compact"/>
              <w:jc w:val="left"/>
            </w:pPr>
            <w:r>
              <w:t xml:space="preserve">系统是否稳态可控</w:t>
            </w:r>
          </w:p>
        </w:tc>
        <w:tc>
          <w:tcPr/>
          <w:p>
            <w:pPr>
              <w:pStyle w:val="Compact"/>
              <w:jc w:val="left"/>
            </w:pPr>
            <w:r>
              <w:t xml:space="preserve">基本要求——稳定是性能优化的前提</w:t>
            </w:r>
          </w:p>
        </w:tc>
      </w:tr>
      <w:tr>
        <w:tc>
          <w:tcPr/>
          <w:p>
            <w:pPr>
              <w:pStyle w:val="Compact"/>
              <w:jc w:val="left"/>
            </w:pPr>
            <w:r>
              <w:t xml:space="preserve">经济</w:t>
            </w:r>
          </w:p>
        </w:tc>
        <w:tc>
          <w:tcPr/>
          <w:p>
            <w:pPr>
              <w:pStyle w:val="Compact"/>
              <w:jc w:val="left"/>
            </w:pPr>
            <w:r>
              <w:t xml:space="preserve">单位输水能耗、启停频次、维护工时</w:t>
            </w:r>
          </w:p>
        </w:tc>
        <w:tc>
          <w:tcPr/>
          <w:p>
            <w:pPr>
              <w:pStyle w:val="Compact"/>
              <w:jc w:val="left"/>
            </w:pPr>
            <w:r>
              <w:t xml:space="preserve">系统是否可持续运行</w:t>
            </w:r>
          </w:p>
        </w:tc>
        <w:tc>
          <w:tcPr/>
          <w:p>
            <w:pPr>
              <w:pStyle w:val="Compact"/>
              <w:jc w:val="left"/>
            </w:pPr>
            <w:r>
              <w:t xml:space="preserve">在安全前提下优化</w:t>
            </w:r>
          </w:p>
        </w:tc>
      </w:tr>
      <w:tr>
        <w:tc>
          <w:tcPr/>
          <w:p>
            <w:pPr>
              <w:pStyle w:val="Compact"/>
              <w:jc w:val="left"/>
            </w:pPr>
            <w:r>
              <w:t xml:space="preserve">服务</w:t>
            </w:r>
          </w:p>
        </w:tc>
        <w:tc>
          <w:tcPr/>
          <w:p>
            <w:pPr>
              <w:pStyle w:val="Compact"/>
              <w:jc w:val="left"/>
            </w:pPr>
            <w:r>
              <w:t xml:space="preserve">供水达标率、生态下泄达标率</w:t>
            </w:r>
          </w:p>
        </w:tc>
        <w:tc>
          <w:tcPr/>
          <w:p>
            <w:pPr>
              <w:pStyle w:val="Compact"/>
              <w:jc w:val="left"/>
            </w:pPr>
            <w:r>
              <w:t xml:space="preserve">是否满足公共目标</w:t>
            </w:r>
          </w:p>
        </w:tc>
        <w:tc>
          <w:tcPr/>
          <w:p>
            <w:pPr>
              <w:pStyle w:val="Compact"/>
              <w:jc w:val="left"/>
            </w:pPr>
            <w:r>
              <w:t xml:space="preserve">刚性约束——对应治理约束</w:t>
            </w:r>
          </w:p>
        </w:tc>
      </w:tr>
      <w:tr>
        <w:tc>
          <w:tcPr/>
          <w:p>
            <w:pPr>
              <w:pStyle w:val="Compact"/>
              <w:jc w:val="left"/>
            </w:pPr>
            <w:r>
              <w:t xml:space="preserve">治理</w:t>
            </w:r>
          </w:p>
        </w:tc>
        <w:tc>
          <w:tcPr/>
          <w:p>
            <w:pPr>
              <w:pStyle w:val="Compact"/>
              <w:jc w:val="left"/>
            </w:pPr>
            <w:r>
              <w:t xml:space="preserve">告警有效率、接管响应时长、审计完整性</w:t>
            </w:r>
          </w:p>
        </w:tc>
        <w:tc>
          <w:tcPr/>
          <w:p>
            <w:pPr>
              <w:pStyle w:val="Compact"/>
              <w:jc w:val="left"/>
            </w:pPr>
            <w:r>
              <w:t xml:space="preserve">是否可监管可追责</w:t>
            </w:r>
          </w:p>
        </w:tc>
        <w:tc>
          <w:tcPr/>
          <w:p>
            <w:pPr>
              <w:pStyle w:val="Compact"/>
              <w:jc w:val="left"/>
            </w:pPr>
            <w:r>
              <w:t xml:space="preserve">自主等级越高，要求越严</w:t>
            </w:r>
          </w:p>
        </w:tc>
      </w:tr>
    </w:tbl>
    <w:p>
      <w:pPr>
        <w:pStyle w:val="BodyText"/>
      </w:pPr>
      <w:r>
        <w:t xml:space="preserve">[表2-2: CHS五维控制绩效评价体系]</w:t>
      </w:r>
    </w:p>
    <w:p>
      <w:pPr>
        <w:pStyle w:val="BodyText"/>
      </w:pPr>
      <w:r>
        <w:t xml:space="preserve">该体系与WNAL等级绑定，形成”等级—能力—指标—责任”闭环。例如：L2级系统的安全指标要求为”红区停留时长零容忍，黄区停留时长&lt;5%运行时间”，治理指标要求为”所有控制动作均有日志记录”。L3级系统在此基础上增加”ODD内自动恢复时间&lt;30分钟”</w:t>
      </w:r>
      <w:r>
        <w:t xml:space="preserve">“</w:t>
      </w:r>
      <w:r>
        <w:t xml:space="preserve">降级迁移记录完整率100%</w:t>
      </w:r>
      <w:r>
        <w:t xml:space="preserve">”</w:t>
      </w:r>
      <w:r>
        <w:t xml:space="preserve">“</w:t>
      </w:r>
      <w:r>
        <w:t xml:space="preserve">调度员接管响应时长&lt;2分钟</w:t>
      </w:r>
      <w:r>
        <w:t xml:space="preserve">”</w:t>
      </w:r>
      <w:r>
        <w:t xml:space="preserve">等要求。</w:t>
      </w:r>
    </w:p>
    <w:p>
      <w:pPr>
        <w:pStyle w:val="BodyText"/>
      </w:pPr>
      <w:r>
        <w:t xml:space="preserve">五维评价不仅用于系统上线后的性能监测，也是SIL/HIL验证的评判标准（第三章原理五）和WNAL等级跃迁的考核依据（第四章）。回到本章算例：策略A在”安全”维度勉强达标（进入黄区但未越界），在”经济”维度不达标（能耗偏高30%、启停频繁），在”稳定”维度不达标（振荡6小时）；策略C在五个维度全部达标，且各维度均有充分余量。</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2.10 本章小结与第三章衔接</w:t>
            </w:r>
          </w:p>
        </w:tc>
      </w:tr>
      <w:tr>
        <w:tc>
          <w:tcPr/>
          <w:p>
            <w:pPr>
              <w:pStyle w:val="Compact"/>
              <w:jc w:val="left"/>
            </w:pPr>
            <w:r>
              <w:t xml:space="preserve">回到引导案例：那条调水干线的联调失效，用本章的框架可以给出精确的诊断——系统缺乏传递函数模型（无法预判时滞效应，导致超调和振荡）、缺乏耦合协调层（各节点独立响应导致交互不稳定）、缺乏约束显式处理（操作约束未进入控制逻辑，导致泵站过度启停）、缺乏四态机（系统在性能恶化时无法自动降级，只能依赖人工试探）。如果该系统配备了§2.8策略C所描述的约束MPC+安全监视器架构，引导案例中的三类问题均可避免或大幅缓解。</w:t>
            </w:r>
          </w:p>
        </w:tc>
      </w:tr>
      <w:tr>
        <w:tc>
          <w:tcPr/>
          <w:p>
            <w:pPr>
              <w:pStyle w:val="Compact"/>
              <w:jc w:val="left"/>
            </w:pPr>
            <w:r>
              <w:t xml:space="preserve">本章完成了三件事。</w:t>
            </w:r>
          </w:p>
        </w:tc>
      </w:tr>
      <w:tr>
        <w:tc>
          <w:tcPr/>
          <w:p>
            <w:pPr>
              <w:pStyle w:val="Compact"/>
              <w:jc w:val="left"/>
            </w:pPr>
            <w:r>
              <w:t xml:space="preserve">第一，将水系统形式化为可计算控制对象。通过式(2-1)至式(2-4)，建立了状态—输入—输出—扰动四元组、三类约束体系和ODD五元组，为后续所有控制策略设计提供了统一的数学语言。特别阐述了从圣维南方程到IDZ传递函数的两条降阶路径，解决了”高保真模型无法在线求解”的工程矛盾，并提出了”可控模型族”的层次化建模思想。</w:t>
            </w:r>
          </w:p>
        </w:tc>
      </w:tr>
      <w:tr>
        <w:tc>
          <w:tcPr/>
          <w:p>
            <w:pPr>
              <w:pStyle w:val="Compact"/>
              <w:jc w:val="left"/>
            </w:pPr>
            <w:r>
              <w:t xml:space="preserve">第二，揭示了水系统的五个控制本质——大时滞、强耦合、强约束、强不确定、人机共治——并给出了每个本质对应的控制策略设计指导。这五个本质不是”困难清单”，而是CHS理论设计的出发点。同时，通过追溯维纳控制论和钱学森工程控制论的学科源流，明确了CHS在控制论学科谱系中的定位：面向水利基础设施自主运行的领域控制论。</w:t>
            </w:r>
          </w:p>
        </w:tc>
      </w:tr>
      <w:tr>
        <w:tc>
          <w:tcPr/>
          <w:p>
            <w:pPr>
              <w:pStyle w:val="Compact"/>
              <w:jc w:val="left"/>
            </w:pPr>
            <w:r>
              <w:t xml:space="preserve">第三，建立了从开环/闭环/监督闭环的控制架构、前馈—反馈—约束协同的控制策略、多时间尺度四层控制链、控制方法族选型准则、异常工况四态机到五维绩效评价的完整工程框架。通过算例定量对比了三种策略的效果差异，给出了方法选型的工程准则。</w:t>
            </w:r>
          </w:p>
        </w:tc>
      </w:tr>
      <w:tr>
        <w:tc>
          <w:tcPr/>
          <w:p>
            <w:pPr>
              <w:pStyle w:val="Compact"/>
              <w:jc w:val="left"/>
            </w:pPr>
            <w:r>
              <w:t xml:space="preserve">本章的理论框架与第三章八原理的对应关系如下：</w:t>
            </w:r>
          </w:p>
        </w:tc>
      </w:tr>
      <w:tr>
        <w:tc>
          <w:tcPr/>
          <w:p>
            <w:pPr>
              <w:pStyle w:val="Compact"/>
              <w:jc w:val="left"/>
            </w:pPr>
            <w:r>
              <w:t xml:space="preserve">| 本章内容 | 对应CHS原理 | 衔接说明 |</w:t>
            </w:r>
            <w:r>
              <w:t xml:space="preserve"> </w:t>
            </w:r>
            <w:r>
              <w:t xml:space="preserve">|———|———–|———|</w:t>
            </w:r>
            <w:r>
              <w:t xml:space="preserve"> </w:t>
            </w:r>
            <w:r>
              <w:t xml:space="preserve">| §2.2.2 IDZ传递函数与可控模型族 | 原理一”传递函数化” | 第三章将给出传递函数化的完整工程规则和验收标准 |</w:t>
            </w:r>
            <w:r>
              <w:t xml:space="preserve"> </w:t>
            </w:r>
            <w:r>
              <w:t xml:space="preserve">| §2.5 可控可观性工程判据 | 原理二”可控可观性” | 第三章将扩展为包含冗余设计的完整判据体系 |</w:t>
            </w:r>
            <w:r>
              <w:t xml:space="preserve"> </w:t>
            </w:r>
            <w:r>
              <w:t xml:space="preserve">| §2.4.3 多时间尺度分层控制链 | 原理三”分层分布式” | 第三章将给出层间接口规范和协调协议 |</w:t>
            </w:r>
            <w:r>
              <w:t xml:space="preserve"> </w:t>
            </w:r>
            <w:r>
              <w:t xml:space="preserve">| §2.3.3 安全包络与§2.7 四态机 | 原理四”安全包络” | 第三章将详细定义绿/黄/红三区的数学边界 |</w:t>
            </w:r>
            <w:r>
              <w:t xml:space="preserve"> </w:t>
            </w:r>
            <w:r>
              <w:t xml:space="preserve">| §2.5.4 MIL/SIL/HIL三级验证 | 原理五”在环验证” | 第三章将建立场景库构建方法和通过准则 |</w:t>
            </w:r>
            <w:r>
              <w:t xml:space="preserve"> </w:t>
            </w:r>
            <w:r>
              <w:t xml:space="preserve">| §2.6.4 数据驱动方法的定位 | 原理六”认知增强” | 第三章将阐述认知AI与物理AI的融合架构 |</w:t>
            </w:r>
            <w:r>
              <w:t xml:space="preserve"> </w:t>
            </w:r>
            <w:r>
              <w:t xml:space="preserve">| §2.3.5 人机共治与可解释性 | 原理七”人机共融” | 第三章将定义各WNAL等级的人机权限分配 |</w:t>
            </w:r>
            <w:r>
              <w:t xml:space="preserve"> </w:t>
            </w:r>
            <w:r>
              <w:t xml:space="preserve">| §2.9 五维绩效评价驱动持续改进 | 原理八”自主演进” | 第三章将给出绩效评价驱动ODD扩展的方法 |</w:t>
            </w:r>
          </w:p>
        </w:tc>
      </w:tr>
      <w:tr>
        <w:tc>
          <w:tcPr/>
          <w:p>
            <w:pPr>
              <w:pStyle w:val="Compact"/>
              <w:jc w:val="left"/>
            </w:pPr>
            <w:r>
              <w:t xml:space="preserve">下一章将逐条展开八原理，给出从理论主张到工程规则的可复用模板。</w:t>
            </w:r>
          </w:p>
        </w:tc>
      </w:tr>
    </w:tbl>
    <w:bookmarkEnd w:id="45"/>
    <w:bookmarkStart w:id="46" w:name="思考题"/>
    <w:p>
      <w:pPr>
        <w:pStyle w:val="Heading2"/>
      </w:pPr>
      <w:r>
        <w:t xml:space="preserve">思考题</w:t>
      </w:r>
    </w:p>
    <w:p>
      <w:pPr>
        <w:pStyle w:val="FirstParagraph"/>
      </w:pPr>
      <w:r>
        <w:rPr>
          <w:bCs/>
          <w:b/>
        </w:rPr>
        <w:t xml:space="preserve">L1（概念理解）</w:t>
      </w:r>
    </w:p>
    <w:p>
      <w:pPr>
        <w:numPr>
          <w:ilvl w:val="0"/>
          <w:numId w:val="1001"/>
        </w:numPr>
      </w:pPr>
      <w:r>
        <w:t xml:space="preserve">解释水系统控制中”三类约束”（物理约束、操作约束、治理约束）的区别，并各举一个工程实例。为什么CHS强调三类约束必须”同构建模”？试结合引导案例中泵站频繁启停的问题进行分析。</w:t>
      </w:r>
    </w:p>
    <w:p>
      <w:pPr>
        <w:numPr>
          <w:ilvl w:val="0"/>
          <w:numId w:val="1001"/>
        </w:numPr>
      </w:pPr>
      <w:r>
        <w:t xml:space="preserve">运行设计域（ODD）的五个组成元素是什么？试选择一个你熟悉的水利工程场景（如某灌溉渠道或城市供水管网），为其定义一个具体的ODD。提示：需要给出每个元素的具体数值或范围。</w:t>
      </w:r>
    </w:p>
    <w:p>
      <w:pPr>
        <w:pStyle w:val="FirstParagraph"/>
      </w:pPr>
      <w:r>
        <w:rPr>
          <w:bCs/>
          <w:b/>
        </w:rPr>
        <w:t xml:space="preserve">L2（分析比较）</w:t>
      </w:r>
    </w:p>
    <w:p>
      <w:pPr>
        <w:numPr>
          <w:ilvl w:val="0"/>
          <w:numId w:val="1002"/>
        </w:numPr>
      </w:pPr>
      <w:r>
        <w:t xml:space="preserve">对比开环控制、闭环控制和监督闭环的适用场景与局限性。为什么水系统的升级路径是”闭环+监督”而非简单的”开环→闭环”？试从安全性角度解释监督闭环中安全监视器”独立性”的必要性。</w:t>
      </w:r>
    </w:p>
    <w:p>
      <w:pPr>
        <w:numPr>
          <w:ilvl w:val="0"/>
          <w:numId w:val="1002"/>
        </w:numPr>
      </w:pPr>
      <w:r>
        <w:t xml:space="preserve">对于一条全长200 km、最大渠池时滞约6小时的调水干线，分析PID控制器和MPC控制器各自的优劣势。该系统的最低WNAL等级需要达到多少才适合采用MPC？你的判断依据是什么？</w:t>
      </w:r>
    </w:p>
    <w:p>
      <w:pPr>
        <w:pStyle w:val="FirstParagraph"/>
      </w:pPr>
      <w:r>
        <w:rPr>
          <w:bCs/>
          <w:b/>
        </w:rPr>
        <w:t xml:space="preserve">L3（综合设计）</w:t>
      </w:r>
    </w:p>
    <w:p>
      <w:pPr>
        <w:numPr>
          <w:ilvl w:val="0"/>
          <w:numId w:val="1003"/>
        </w:numPr>
      </w:pPr>
      <w:r>
        <w:t xml:space="preserve">某城市供水系统包含3座水源水库、5座泵站和覆盖市区的管网。试设计该系统的四层控制链（执行层、调节层、协调层、规划层），并说明每层的控制对象、控制方法、决策周期和关键接口。进一步分析：如果5号泵站突发故障，四态机应如何响应？从哪个状态迁移到哪个状态？恢复条件是什么？</w:t>
      </w:r>
    </w:p>
    <w:p>
      <w:pPr>
        <w:numPr>
          <w:ilvl w:val="0"/>
          <w:numId w:val="1003"/>
        </w:numPr>
      </w:pPr>
      <w:r>
        <w:t xml:space="preserve">本章§2.8的算例中，策略C（约束MPC+安全监视器）在所有指标上优于策略A（纯PID）和策略B（前馈+反馈）。但假设运维团队只有2名技术人员，且不具备模型校准能力。在此约束下，你会推荐哪种策略组合？请说明理由，并给出向策略C升级的前置条件清单。</w:t>
      </w:r>
    </w:p>
    <w:p>
      <w:r>
        <w:pict>
          <v:rect style="width:0;height:1.5pt" o:hralign="center" o:hrstd="t" o:hr="t"/>
        </w:pict>
      </w:r>
    </w:p>
    <w:bookmarkEnd w:id="46"/>
    <w:bookmarkStart w:id="47" w:name="本章术语清单与全书统一"/>
    <w:p>
      <w:pPr>
        <w:pStyle w:val="Heading2"/>
      </w:pPr>
      <w:r>
        <w:t xml:space="preserve">本章术语清单（与全书统一）</w:t>
      </w:r>
    </w:p>
    <w:tbl>
      <w:tblPr>
        <w:tblStyle w:val="Table"/>
        <w:tblW w:type="pct" w:w="5000"/>
        <w:tblLook w:firstRow="1" w:lastRow="0" w:firstColumn="0" w:lastColumn="0" w:noHBand="0" w:noVBand="0" w:val="0020"/>
        <w:jc w:val="start"/>
      </w:tblPr>
      <w:tblGrid>
        <w:gridCol w:w="1760"/>
        <w:gridCol w:w="1760"/>
        <w:gridCol w:w="1760"/>
        <w:gridCol w:w="2640"/>
      </w:tblGrid>
      <w:tr>
        <w:trPr>
          <w:tblHeader w:val="true"/>
        </w:trPr>
        <w:tc>
          <w:tcPr/>
          <w:p>
            <w:pPr>
              <w:pStyle w:val="Compact"/>
              <w:jc w:val="left"/>
            </w:pPr>
            <w:r>
              <w:t xml:space="preserve">术语</w:t>
            </w:r>
          </w:p>
        </w:tc>
        <w:tc>
          <w:tcPr/>
          <w:p>
            <w:pPr>
              <w:pStyle w:val="Compact"/>
              <w:jc w:val="left"/>
            </w:pPr>
            <w:r>
              <w:t xml:space="preserve">英文</w:t>
            </w:r>
          </w:p>
        </w:tc>
        <w:tc>
          <w:tcPr/>
          <w:p>
            <w:pPr>
              <w:pStyle w:val="Compact"/>
              <w:jc w:val="left"/>
            </w:pPr>
            <w:r>
              <w:t xml:space="preserve">定义</w:t>
            </w:r>
          </w:p>
        </w:tc>
        <w:tc>
          <w:tcPr/>
          <w:p>
            <w:pPr>
              <w:pStyle w:val="Compact"/>
              <w:jc w:val="left"/>
            </w:pPr>
            <w:r>
              <w:t xml:space="preserve">首次出现</w:t>
            </w:r>
          </w:p>
        </w:tc>
      </w:tr>
      <w:tr>
        <w:tc>
          <w:tcPr/>
          <w:p>
            <w:pPr>
              <w:pStyle w:val="Compact"/>
              <w:jc w:val="left"/>
            </w:pPr>
            <w:r>
              <w:t xml:space="preserve">被控对象</w:t>
            </w:r>
          </w:p>
        </w:tc>
        <w:tc>
          <w:tcPr/>
          <w:p>
            <w:pPr>
              <w:pStyle w:val="Compact"/>
              <w:jc w:val="left"/>
            </w:pPr>
            <w:r>
              <w:t xml:space="preserve">Plant</w:t>
            </w:r>
          </w:p>
        </w:tc>
        <w:tc>
          <w:tcPr/>
          <w:p>
            <w:pPr>
              <w:pStyle w:val="Compact"/>
              <w:jc w:val="left"/>
            </w:pPr>
            <w:r>
              <w:t xml:space="preserve">控制系统中被施加控制作用的物理系统</w:t>
            </w:r>
          </w:p>
        </w:tc>
        <w:tc>
          <w:tcPr/>
          <w:p>
            <w:pPr>
              <w:pStyle w:val="Compact"/>
              <w:jc w:val="left"/>
            </w:pPr>
            <w:r>
              <w:t xml:space="preserve">§2.2.1</w:t>
            </w:r>
          </w:p>
        </w:tc>
      </w:tr>
      <w:tr>
        <w:tc>
          <w:tcPr/>
          <w:p>
            <w:pPr>
              <w:pStyle w:val="Compact"/>
              <w:jc w:val="left"/>
            </w:pPr>
            <w:r>
              <w:t xml:space="preserve">状态向量</w:t>
            </w:r>
          </w:p>
        </w:tc>
        <w:tc>
          <w:tcPr/>
          <w:p>
            <w:pPr>
              <w:pStyle w:val="Compact"/>
              <w:jc w:val="left"/>
            </w:pPr>
            <w:r>
              <w:t xml:space="preserve">State Vector</w:t>
            </w:r>
          </w:p>
        </w:tc>
        <w:tc>
          <w:tcPr/>
          <w:p>
            <w:pPr>
              <w:pStyle w:val="Compact"/>
              <w:jc w:val="left"/>
            </w:pPr>
            <w:r>
              <w:t xml:space="preserve">描述系统当前状况的最小信息集合</w:t>
            </w:r>
          </w:p>
        </w:tc>
        <w:tc>
          <w:tcPr/>
          <w:p>
            <w:pPr>
              <w:pStyle w:val="Compact"/>
              <w:jc w:val="left"/>
            </w:pPr>
            <w:r>
              <w:t xml:space="preserve">§2.2.1</w:t>
            </w:r>
          </w:p>
        </w:tc>
      </w:tr>
      <w:tr>
        <w:tc>
          <w:tcPr/>
          <w:p>
            <w:pPr>
              <w:pStyle w:val="Compact"/>
              <w:jc w:val="left"/>
            </w:pPr>
            <w:r>
              <w:t xml:space="preserve">圣维南方程</w:t>
            </w:r>
          </w:p>
        </w:tc>
        <w:tc>
          <w:tcPr/>
          <w:p>
            <w:pPr>
              <w:pStyle w:val="Compact"/>
              <w:jc w:val="left"/>
            </w:pPr>
            <w:r>
              <w:t xml:space="preserve">Saint-Venant Equations</w:t>
            </w:r>
          </w:p>
        </w:tc>
        <w:tc>
          <w:tcPr/>
          <w:p>
            <w:pPr>
              <w:pStyle w:val="Compact"/>
              <w:jc w:val="left"/>
            </w:pPr>
            <w:r>
              <w:t xml:space="preserve">描述一维非恒定明渠流的偏微分方程组</w:t>
            </w:r>
          </w:p>
        </w:tc>
        <w:tc>
          <w:tcPr/>
          <w:p>
            <w:pPr>
              <w:pStyle w:val="Compact"/>
              <w:jc w:val="left"/>
            </w:pPr>
            <w:r>
              <w:t xml:space="preserve">§2.2.2</w:t>
            </w:r>
          </w:p>
        </w:tc>
      </w:tr>
      <w:tr>
        <w:tc>
          <w:tcPr/>
          <w:p>
            <w:pPr>
              <w:pStyle w:val="Compact"/>
              <w:jc w:val="left"/>
            </w:pPr>
            <w:r>
              <w:t xml:space="preserve">IDZ模型</w:t>
            </w:r>
          </w:p>
        </w:tc>
        <w:tc>
          <w:tcPr/>
          <w:p>
            <w:pPr>
              <w:pStyle w:val="Compact"/>
              <w:jc w:val="left"/>
            </w:pPr>
            <w:r>
              <w:t xml:space="preserve">Integrator-Delay-Zero Model</w:t>
            </w:r>
          </w:p>
        </w:tc>
        <w:tc>
          <w:tcPr/>
          <w:p>
            <w:pPr>
              <w:pStyle w:val="Compact"/>
              <w:jc w:val="left"/>
            </w:pPr>
            <w:r>
              <w:t xml:space="preserve">明渠渠池的低阶传递函数模型</w:t>
            </w:r>
          </w:p>
        </w:tc>
        <w:tc>
          <w:tcPr/>
          <w:p>
            <w:pPr>
              <w:pStyle w:val="Compact"/>
              <w:jc w:val="left"/>
            </w:pPr>
            <w:r>
              <w:t xml:space="preserve">§2.2.2</w:t>
            </w:r>
          </w:p>
        </w:tc>
      </w:tr>
      <w:tr>
        <w:tc>
          <w:tcPr/>
          <w:p>
            <w:pPr>
              <w:pStyle w:val="Compact"/>
              <w:jc w:val="left"/>
            </w:pPr>
            <w:r>
              <w:t xml:space="preserve">可控模型族</w:t>
            </w:r>
          </w:p>
        </w:tc>
        <w:tc>
          <w:tcPr/>
          <w:p>
            <w:pPr>
              <w:pStyle w:val="Compact"/>
              <w:jc w:val="left"/>
            </w:pPr>
            <w:r>
              <w:t xml:space="preserve">Controllable Model Family</w:t>
            </w:r>
          </w:p>
        </w:tc>
        <w:tc>
          <w:tcPr/>
          <w:p>
            <w:pPr>
              <w:pStyle w:val="Compact"/>
              <w:jc w:val="left"/>
            </w:pPr>
            <w:r>
              <w:t xml:space="preserve">层次化的模型体系：高保真→降阶→数据增强</w:t>
            </w:r>
          </w:p>
        </w:tc>
        <w:tc>
          <w:tcPr/>
          <w:p>
            <w:pPr>
              <w:pStyle w:val="Compact"/>
              <w:jc w:val="left"/>
            </w:pPr>
            <w:r>
              <w:t xml:space="preserve">§2.2.2</w:t>
            </w:r>
          </w:p>
        </w:tc>
      </w:tr>
      <w:tr>
        <w:tc>
          <w:tcPr/>
          <w:p>
            <w:pPr>
              <w:pStyle w:val="Compact"/>
              <w:jc w:val="left"/>
            </w:pPr>
            <w:r>
              <w:t xml:space="preserve">三类约束</w:t>
            </w:r>
          </w:p>
        </w:tc>
        <w:tc>
          <w:tcPr/>
          <w:p>
            <w:pPr>
              <w:pStyle w:val="Compact"/>
              <w:jc w:val="left"/>
            </w:pPr>
            <w:r>
              <w:t xml:space="preserve">Three-Category Constraints</w:t>
            </w:r>
          </w:p>
        </w:tc>
        <w:tc>
          <w:tcPr/>
          <w:p>
            <w:pPr>
              <w:pStyle w:val="Compact"/>
              <w:jc w:val="left"/>
            </w:pPr>
            <w:r>
              <w:t xml:space="preserve">物理约束、操作约束、治理约束的统称</w:t>
            </w:r>
          </w:p>
        </w:tc>
        <w:tc>
          <w:tcPr/>
          <w:p>
            <w:pPr>
              <w:pStyle w:val="Compact"/>
              <w:jc w:val="left"/>
            </w:pPr>
            <w:r>
              <w:t xml:space="preserve">§2.2.3</w:t>
            </w:r>
          </w:p>
        </w:tc>
      </w:tr>
      <w:tr>
        <w:tc>
          <w:tcPr/>
          <w:p>
            <w:pPr>
              <w:pStyle w:val="Compact"/>
              <w:jc w:val="left"/>
            </w:pPr>
            <w:r>
              <w:t xml:space="preserve">ODD</w:t>
            </w:r>
          </w:p>
        </w:tc>
        <w:tc>
          <w:tcPr/>
          <w:p>
            <w:pPr>
              <w:pStyle w:val="Compact"/>
              <w:jc w:val="left"/>
            </w:pPr>
            <w:r>
              <w:t xml:space="preserve">Operational Design Domain</w:t>
            </w:r>
          </w:p>
        </w:tc>
        <w:tc>
          <w:tcPr/>
          <w:p>
            <w:pPr>
              <w:pStyle w:val="Compact"/>
              <w:jc w:val="left"/>
            </w:pPr>
            <w:r>
              <w:t xml:space="preserve">自主运行系统可以安全工作的条件范围</w:t>
            </w:r>
          </w:p>
        </w:tc>
        <w:tc>
          <w:tcPr/>
          <w:p>
            <w:pPr>
              <w:pStyle w:val="Compact"/>
              <w:jc w:val="left"/>
            </w:pPr>
            <w:r>
              <w:t xml:space="preserve">§2.2.4</w:t>
            </w:r>
          </w:p>
        </w:tc>
      </w:tr>
      <w:tr>
        <w:tc>
          <w:tcPr/>
          <w:p>
            <w:pPr>
              <w:pStyle w:val="Compact"/>
              <w:jc w:val="left"/>
            </w:pPr>
            <w:r>
              <w:t xml:space="preserve">安全包络</w:t>
            </w:r>
          </w:p>
        </w:tc>
        <w:tc>
          <w:tcPr/>
          <w:p>
            <w:pPr>
              <w:pStyle w:val="Compact"/>
              <w:jc w:val="left"/>
            </w:pPr>
            <w:r>
              <w:t xml:space="preserve">Safety Envelope</w:t>
            </w:r>
          </w:p>
        </w:tc>
        <w:tc>
          <w:tcPr/>
          <w:p>
            <w:pPr>
              <w:pStyle w:val="Compact"/>
              <w:jc w:val="left"/>
            </w:pPr>
            <w:r>
              <w:t xml:space="preserve">将运行空间划分为绿/黄/红三区的边界体系</w:t>
            </w:r>
          </w:p>
        </w:tc>
        <w:tc>
          <w:tcPr/>
          <w:p>
            <w:pPr>
              <w:pStyle w:val="Compact"/>
              <w:jc w:val="left"/>
            </w:pPr>
            <w:r>
              <w:t xml:space="preserve">§2.3.3</w:t>
            </w:r>
          </w:p>
        </w:tc>
      </w:tr>
      <w:tr>
        <w:tc>
          <w:tcPr/>
          <w:p>
            <w:pPr>
              <w:pStyle w:val="Compact"/>
              <w:jc w:val="left"/>
            </w:pPr>
            <w:r>
              <w:t xml:space="preserve">四态机</w:t>
            </w:r>
          </w:p>
        </w:tc>
        <w:tc>
          <w:tcPr/>
          <w:p>
            <w:pPr>
              <w:pStyle w:val="Compact"/>
              <w:jc w:val="left"/>
            </w:pPr>
            <w:r>
              <w:t xml:space="preserve">Four-State Machine</w:t>
            </w:r>
          </w:p>
        </w:tc>
        <w:tc>
          <w:tcPr/>
          <w:p>
            <w:pPr>
              <w:pStyle w:val="Compact"/>
              <w:jc w:val="left"/>
            </w:pPr>
            <w:r>
              <w:t xml:space="preserve">正常→受限→降级→接管的运行模式迁移机制</w:t>
            </w:r>
          </w:p>
        </w:tc>
        <w:tc>
          <w:tcPr/>
          <w:p>
            <w:pPr>
              <w:pStyle w:val="Compact"/>
              <w:jc w:val="left"/>
            </w:pPr>
            <w:r>
              <w:t xml:space="preserve">§2.7</w:t>
            </w:r>
          </w:p>
        </w:tc>
      </w:tr>
      <w:tr>
        <w:tc>
          <w:tcPr/>
          <w:p>
            <w:pPr>
              <w:pStyle w:val="Compact"/>
              <w:jc w:val="left"/>
            </w:pPr>
            <w:r>
              <w:t xml:space="preserve">MPC</w:t>
            </w:r>
          </w:p>
        </w:tc>
        <w:tc>
          <w:tcPr/>
          <w:p>
            <w:pPr>
              <w:pStyle w:val="Compact"/>
              <w:jc w:val="left"/>
            </w:pPr>
            <w:r>
              <w:t xml:space="preserve">Model Predictive Control</w:t>
            </w:r>
          </w:p>
        </w:tc>
        <w:tc>
          <w:tcPr/>
          <w:p>
            <w:pPr>
              <w:pStyle w:val="Compact"/>
              <w:jc w:val="left"/>
            </w:pPr>
            <w:r>
              <w:t xml:space="preserve">基于模型预测的滚动优化控制方法</w:t>
            </w:r>
          </w:p>
        </w:tc>
        <w:tc>
          <w:tcPr/>
          <w:p>
            <w:pPr>
              <w:pStyle w:val="Compact"/>
              <w:jc w:val="left"/>
            </w:pPr>
            <w:r>
              <w:t xml:space="preserve">§2.6.3</w:t>
            </w:r>
          </w:p>
        </w:tc>
      </w:tr>
      <w:tr>
        <w:tc>
          <w:tcPr/>
          <w:p>
            <w:pPr>
              <w:pStyle w:val="Compact"/>
              <w:jc w:val="left"/>
            </w:pPr>
            <w:r>
              <w:t xml:space="preserve">DMPC</w:t>
            </w:r>
          </w:p>
        </w:tc>
        <w:tc>
          <w:tcPr/>
          <w:p>
            <w:pPr>
              <w:pStyle w:val="Compact"/>
              <w:jc w:val="left"/>
            </w:pPr>
            <w:r>
              <w:t xml:space="preserve">Distributed MPC</w:t>
            </w:r>
          </w:p>
        </w:tc>
        <w:tc>
          <w:tcPr/>
          <w:p>
            <w:pPr>
              <w:pStyle w:val="Compact"/>
              <w:jc w:val="left"/>
            </w:pPr>
            <w:r>
              <w:t xml:space="preserve">分布式模型预测控制</w:t>
            </w:r>
          </w:p>
        </w:tc>
        <w:tc>
          <w:tcPr/>
          <w:p>
            <w:pPr>
              <w:pStyle w:val="Compact"/>
              <w:jc w:val="left"/>
            </w:pPr>
            <w:r>
              <w:t xml:space="preserve">§2.3.2</w:t>
            </w:r>
          </w:p>
        </w:tc>
      </w:tr>
      <w:tr>
        <w:tc>
          <w:tcPr/>
          <w:p>
            <w:pPr>
              <w:pStyle w:val="Compact"/>
              <w:jc w:val="left"/>
            </w:pPr>
            <w:r>
              <w:t xml:space="preserve">MIL/SIL/HIL</w:t>
            </w:r>
          </w:p>
        </w:tc>
        <w:tc>
          <w:tcPr/>
          <w:p>
            <w:pPr>
              <w:pStyle w:val="Compact"/>
              <w:jc w:val="left"/>
            </w:pPr>
            <w:r>
              <w:t xml:space="preserve">Model/Software/Hardware-in-the-Loop</w:t>
            </w:r>
          </w:p>
        </w:tc>
        <w:tc>
          <w:tcPr/>
          <w:p>
            <w:pPr>
              <w:pStyle w:val="Compact"/>
              <w:jc w:val="left"/>
            </w:pPr>
            <w:r>
              <w:t xml:space="preserve">三级在环验证方法</w:t>
            </w:r>
          </w:p>
        </w:tc>
        <w:tc>
          <w:tcPr/>
          <w:p>
            <w:pPr>
              <w:pStyle w:val="Compact"/>
              <w:jc w:val="left"/>
            </w:pPr>
            <w:r>
              <w:t xml:space="preserve">§2.5.4</w:t>
            </w:r>
          </w:p>
        </w:tc>
      </w:tr>
      <w:tr>
        <w:tc>
          <w:tcPr/>
          <w:p>
            <w:pPr>
              <w:pStyle w:val="Compact"/>
              <w:jc w:val="left"/>
            </w:pPr>
            <w:r>
              <w:t xml:space="preserve">WNAL</w:t>
            </w:r>
          </w:p>
        </w:tc>
        <w:tc>
          <w:tcPr/>
          <w:p>
            <w:pPr>
              <w:pStyle w:val="Compact"/>
              <w:jc w:val="left"/>
            </w:pPr>
            <w:r>
              <w:t xml:space="preserve">Water Network Autonomy Level</w:t>
            </w:r>
          </w:p>
        </w:tc>
        <w:tc>
          <w:tcPr/>
          <w:p>
            <w:pPr>
              <w:pStyle w:val="Compact"/>
              <w:jc w:val="left"/>
            </w:pPr>
            <w:r>
              <w:t xml:space="preserve">水网自主等级（L0-L5）</w:t>
            </w:r>
          </w:p>
        </w:tc>
        <w:tc>
          <w:tcPr/>
          <w:p>
            <w:pPr>
              <w:pStyle w:val="Compact"/>
              <w:jc w:val="left"/>
            </w:pPr>
            <w:r>
              <w:t xml:space="preserve">§2.2.4</w:t>
            </w:r>
          </w:p>
        </w:tc>
      </w:tr>
      <w:tr>
        <w:tc>
          <w:tcPr/>
          <w:p>
            <w:pPr>
              <w:pStyle w:val="Compact"/>
              <w:jc w:val="left"/>
            </w:pPr>
            <w:r>
              <w:t xml:space="preserve">物理AI</w:t>
            </w:r>
          </w:p>
        </w:tc>
        <w:tc>
          <w:tcPr/>
          <w:p>
            <w:pPr>
              <w:pStyle w:val="Compact"/>
              <w:jc w:val="left"/>
            </w:pPr>
            <w:r>
              <w:t xml:space="preserve">Physical AI</w:t>
            </w:r>
          </w:p>
        </w:tc>
        <w:tc>
          <w:tcPr/>
          <w:p>
            <w:pPr>
              <w:pStyle w:val="Compact"/>
              <w:jc w:val="left"/>
            </w:pPr>
            <w:r>
              <w:t xml:space="preserve">机理模型主导的智能控制能力</w:t>
            </w:r>
          </w:p>
        </w:tc>
        <w:tc>
          <w:tcPr/>
          <w:p>
            <w:pPr>
              <w:pStyle w:val="Compact"/>
              <w:jc w:val="left"/>
            </w:pPr>
            <w:r>
              <w:t xml:space="preserve">§2.6.4</w:t>
            </w:r>
          </w:p>
        </w:tc>
      </w:tr>
      <w:tr>
        <w:tc>
          <w:tcPr/>
          <w:p>
            <w:pPr>
              <w:pStyle w:val="Compact"/>
              <w:jc w:val="left"/>
            </w:pPr>
            <w:r>
              <w:t xml:space="preserve">认知AI</w:t>
            </w:r>
          </w:p>
        </w:tc>
        <w:tc>
          <w:tcPr/>
          <w:p>
            <w:pPr>
              <w:pStyle w:val="Compact"/>
              <w:jc w:val="left"/>
            </w:pPr>
            <w:r>
              <w:t xml:space="preserve">Cognitive AI</w:t>
            </w:r>
          </w:p>
        </w:tc>
        <w:tc>
          <w:tcPr/>
          <w:p>
            <w:pPr>
              <w:pStyle w:val="Compact"/>
              <w:jc w:val="left"/>
            </w:pPr>
            <w:r>
              <w:t xml:space="preserve">语义理解、推理与解释能力</w:t>
            </w:r>
          </w:p>
        </w:tc>
        <w:tc>
          <w:tcPr/>
          <w:p>
            <w:pPr>
              <w:pStyle w:val="Compact"/>
              <w:jc w:val="left"/>
            </w:pPr>
            <w:r>
              <w:t xml:space="preserve">§2.6.4</w:t>
            </w:r>
          </w:p>
        </w:tc>
      </w:tr>
      <w:tr>
        <w:tc>
          <w:tcPr/>
          <w:p>
            <w:pPr>
              <w:pStyle w:val="Compact"/>
              <w:jc w:val="left"/>
            </w:pPr>
            <w:r>
              <w:t xml:space="preserve">PINN</w:t>
            </w:r>
          </w:p>
        </w:tc>
        <w:tc>
          <w:tcPr/>
          <w:p>
            <w:pPr>
              <w:pStyle w:val="Compact"/>
              <w:jc w:val="left"/>
            </w:pPr>
            <w:r>
              <w:t xml:space="preserve">Physics-Informed Neural Networks</w:t>
            </w:r>
          </w:p>
        </w:tc>
        <w:tc>
          <w:tcPr/>
          <w:p>
            <w:pPr>
              <w:pStyle w:val="Compact"/>
              <w:jc w:val="left"/>
            </w:pPr>
            <w:r>
              <w:t xml:space="preserve">将物理方程嵌入神经网络训练的混合建模方法</w:t>
            </w:r>
          </w:p>
        </w:tc>
        <w:tc>
          <w:tcPr/>
          <w:p>
            <w:pPr>
              <w:pStyle w:val="Compact"/>
              <w:jc w:val="left"/>
            </w:pPr>
            <w:r>
              <w:t xml:space="preserve">§2.6.4</w:t>
            </w:r>
          </w:p>
        </w:tc>
      </w:tr>
      <w:tr>
        <w:tc>
          <w:tcPr/>
          <w:p>
            <w:pPr>
              <w:pStyle w:val="Compact"/>
              <w:jc w:val="left"/>
            </w:pPr>
            <w:r>
              <w:t xml:space="preserve">LLM</w:t>
            </w:r>
          </w:p>
        </w:tc>
        <w:tc>
          <w:tcPr/>
          <w:p>
            <w:pPr>
              <w:pStyle w:val="Compact"/>
              <w:jc w:val="left"/>
            </w:pPr>
            <w:r>
              <w:t xml:space="preserve">Large Language Model</w:t>
            </w:r>
          </w:p>
        </w:tc>
        <w:tc>
          <w:tcPr/>
          <w:p>
            <w:pPr>
              <w:pStyle w:val="Compact"/>
              <w:jc w:val="left"/>
            </w:pPr>
            <w:r>
              <w:t xml:space="preserve">大语言模型，用于认知推理与人机交互</w:t>
            </w:r>
          </w:p>
        </w:tc>
        <w:tc>
          <w:tcPr/>
          <w:p>
            <w:pPr>
              <w:pStyle w:val="Compact"/>
              <w:jc w:val="left"/>
            </w:pPr>
            <w:r>
              <w:t xml:space="preserve">§2.6.4</w:t>
            </w:r>
          </w:p>
        </w:tc>
      </w:tr>
      <w:tr>
        <w:tc>
          <w:tcPr/>
          <w:p>
            <w:pPr>
              <w:pStyle w:val="Compact"/>
              <w:jc w:val="left"/>
            </w:pPr>
            <w:r>
              <w:t xml:space="preserve">五维评价</w:t>
            </w:r>
          </w:p>
        </w:tc>
        <w:tc>
          <w:tcPr/>
          <w:p>
            <w:pPr>
              <w:pStyle w:val="Compact"/>
              <w:jc w:val="left"/>
            </w:pPr>
            <w:r>
              <w:t xml:space="preserve">Five-Dimension Evaluation</w:t>
            </w:r>
          </w:p>
        </w:tc>
        <w:tc>
          <w:tcPr/>
          <w:p>
            <w:pPr>
              <w:pStyle w:val="Compact"/>
              <w:jc w:val="left"/>
            </w:pPr>
            <w:r>
              <w:t xml:space="preserve">安全/稳定/经济/服务/治理的绩效评价框架</w:t>
            </w:r>
          </w:p>
        </w:tc>
        <w:tc>
          <w:tcPr/>
          <w:p>
            <w:pPr>
              <w:pStyle w:val="Compact"/>
              <w:jc w:val="left"/>
            </w:pPr>
            <w:r>
              <w:t xml:space="preserve">§2.9</w:t>
            </w:r>
          </w:p>
        </w:tc>
      </w:tr>
    </w:tbl>
    <w:p>
      <w:r>
        <w:pict>
          <v:rect style="width:0;height:1.5pt" o:hralign="center" o:hrstd="t" o:hr="t"/>
        </w:pict>
      </w:r>
    </w:p>
    <w:bookmarkEnd w:id="47"/>
    <w:bookmarkStart w:id="48" w:name="推荐阅读"/>
    <w:p>
      <w:pPr>
        <w:pStyle w:val="Heading2"/>
      </w:pPr>
      <w:r>
        <w:t xml:space="preserve">推荐阅读</w:t>
      </w:r>
    </w:p>
    <w:p>
      <w:pPr>
        <w:pStyle w:val="FirstParagraph"/>
      </w:pPr>
      <w:r>
        <w:rPr>
          <w:bCs/>
          <w:b/>
        </w:rPr>
        <w:t xml:space="preserve">控制论基础</w:t>
      </w:r>
      <w:r>
        <w:t xml:space="preserve">：维纳的《控制论》[2-1] 和钱学森的《工程控制论》[2-2] 是控制论学科的两部奠基之作。对于希望系统学习经典控制理论的读者，Camacho和Bordons的《Model Predictive Control》[2-14] 提供了MPC方法的完整理论框架。</w:t>
      </w:r>
    </w:p>
    <w:p>
      <w:pPr>
        <w:pStyle w:val="BodyText"/>
      </w:pPr>
      <w:r>
        <w:rPr>
          <w:bCs/>
          <w:b/>
        </w:rPr>
        <w:t xml:space="preserve">水力系统控制</w:t>
      </w:r>
      <w:r>
        <w:t xml:space="preserve">：Litrico和Fromion的《Modeling and Control of Hydrosystems》[2-5] 是水力系统控制领域最重要的专著，系统建立了从圣维南方程到传递函数模型的数学框架。ASCE的《MOP 131: Canal Automation for Irrigation Systems》[2-19] 则是灌溉渠系控制工程实践的权威指南。</w:t>
      </w:r>
    </w:p>
    <w:p>
      <w:pPr>
        <w:pStyle w:val="BodyText"/>
      </w:pPr>
      <w:r>
        <w:rPr>
          <w:bCs/>
          <w:b/>
        </w:rPr>
        <w:t xml:space="preserve">CHS理论体系</w:t>
      </w:r>
      <w:r>
        <w:t xml:space="preserve">：雷晓辉等 [2-21] 提出了CHS的理论框架和研究范式。本书的后续教材——《水系统控制论：建模与控制》和《水系统控制论：智能与自主》——将分别深入展开物理AI引擎和认知AI引擎的理论与实践。</w:t>
      </w:r>
    </w:p>
    <w:p>
      <w:r>
        <w:pict>
          <v:rect style="width:0;height:1.5pt" o:hralign="center" o:hrstd="t" o:hr="t"/>
        </w:pict>
      </w:r>
    </w:p>
    <w:bookmarkEnd w:id="48"/>
    <w:bookmarkStart w:id="49" w:name="参考文献"/>
    <w:p>
      <w:pPr>
        <w:pStyle w:val="Heading2"/>
      </w:pPr>
      <w:r>
        <w:t xml:space="preserve">参考文献</w:t>
      </w:r>
    </w:p>
    <w:p>
      <w:pPr>
        <w:pStyle w:val="BlockText"/>
      </w:pPr>
      <w:r>
        <w:rPr>
          <w:bCs/>
          <w:b/>
        </w:rPr>
        <w:t xml:space="preserve">核实说明</w:t>
      </w:r>
      <w:r>
        <w:t xml:space="preserve">：标注 ✅ 为经搜索核实的文献；⚠️ 为基本信息可信但部分细节待确认的文献；👉 为作者本人论文需自行补充完整信息。定稿前务必逐条核对，删除本说明段。</w:t>
      </w:r>
    </w:p>
    <w:p>
      <w:pPr>
        <w:pStyle w:val="FirstParagraph"/>
      </w:pPr>
      <w:r>
        <w:t xml:space="preserve">[2-1] Wiener N. Cybernetics: or Control and Communication in the Animal and the Machine [M]. Cambridge: MIT Press, 1948. ✅</w:t>
      </w:r>
    </w:p>
    <w:p>
      <w:pPr>
        <w:pStyle w:val="BodyText"/>
      </w:pPr>
      <w:r>
        <w:t xml:space="preserve">[2-2] 钱学森. 工程控制论 [M]. 北京: 科学出版社, 1954. ✅</w:t>
      </w:r>
    </w:p>
    <w:p>
      <w:pPr>
        <w:pStyle w:val="BodyText"/>
      </w:pPr>
      <w:r>
        <w:t xml:space="preserve">[2-3] 中华人民共和国水利部. 中国水利统计年鉴 2022 [M]. 北京: 中国水利水电出版社, 2023. ✅ 👉（同[1-15]，版本年份待作者确认）</w:t>
      </w:r>
    </w:p>
    <w:p>
      <w:pPr>
        <w:pStyle w:val="BodyText"/>
      </w:pPr>
      <w:r>
        <w:t xml:space="preserve">[2-4] 王浩, 雷晓辉, 尚毅梓. 南水北调中线工程智能调控与应急调度关键技术 [J]. 南水北调与水利科技, 2017, 15(2): 1-8. ✅</w:t>
      </w:r>
    </w:p>
    <w:p>
      <w:pPr>
        <w:pStyle w:val="BodyText"/>
      </w:pPr>
      <w:r>
        <w:t xml:space="preserve">[2-5] Litrico X, Fromion V. Modeling and Control of Hydrosystems [M]. London: Springer, 2009. ✅</w:t>
      </w:r>
    </w:p>
    <w:p>
      <w:pPr>
        <w:pStyle w:val="BodyText"/>
      </w:pPr>
      <w:r>
        <w:t xml:space="preserve">[2-6] Kong L, Lei X, Wang H, et al. A model predictive water-level difference control method for automatic control of irrigation canals [J]. Water, 2019, 11(4): 762. DOI:10.3390/w11040762. ✅</w:t>
      </w:r>
    </w:p>
    <w:p>
      <w:pPr>
        <w:pStyle w:val="BodyText"/>
      </w:pPr>
      <w:r>
        <w:t xml:space="preserve">[2-7] Chaudhry M H. Open-Channel Flow [M]. 2nd ed. New York: Springer, 2008. ✅（第3版2022年出版，建议引用最新版）</w:t>
      </w:r>
    </w:p>
    <w:p>
      <w:pPr>
        <w:pStyle w:val="BodyText"/>
      </w:pPr>
      <w:r>
        <w:t xml:space="preserve">[2-8] Van Overloop P J. Model Predictive Control on Open Water Systems [D]. Delft: Delft University of Technology, 2006. ✅</w:t>
      </w:r>
    </w:p>
    <w:p>
      <w:pPr>
        <w:pStyle w:val="BodyText"/>
      </w:pPr>
      <w:r>
        <w:t xml:space="preserve">[2-9] SAE International. Taxonomy and Definitions for Terms Related to Driving Automation Systems for On-Road Motor Vehicles: SAE J3016 [S]. Warrendale: SAE International, 2021. ✅</w:t>
      </w:r>
    </w:p>
    <w:p>
      <w:pPr>
        <w:pStyle w:val="BodyText"/>
      </w:pPr>
      <w:r>
        <w:t xml:space="preserve">[2-10] 雷晓辉, 张峥, 苏承国, 等. 自主运行智能水网的在环测试体系 [J]. 南水北调与水利科技(中英文), 2025, 23(04): 787-793. DOI:10.13476/j.cnki.nsbdqk.2025.0080. ✅</w:t>
      </w:r>
    </w:p>
    <w:p>
      <w:pPr>
        <w:pStyle w:val="BodyText"/>
      </w:pPr>
      <w:r>
        <w:t xml:space="preserve">[2-11] Schuurmans J, Hof A, Dijkstra S, et al. Simple water level controller for irrigation and drainage canals [J]. Journal of Irrigation and Drainage Engineering, 1999, 125(4): 189-195. ⚠️（需核实卷期）</w:t>
      </w:r>
    </w:p>
    <w:p>
      <w:pPr>
        <w:pStyle w:val="BodyText"/>
      </w:pPr>
      <w:r>
        <w:t xml:space="preserve">[2-12] Negenborn R R, Van Overloop P J, Keviczky T, et al. Distributed model predictive control of irrigation canals [J]. Networks and Heterogeneous Media, 2009, 4(2): 359-380. ⚠️（需核实）</w:t>
      </w:r>
    </w:p>
    <w:p>
      <w:pPr>
        <w:pStyle w:val="BodyText"/>
      </w:pPr>
      <w:r>
        <w:t xml:space="preserve">[2-13] Milly P C D, Betancourt J, Falkenmark M, et al. Stationarity is dead: whither water management? [J]. Science, 2008, 319(5863): 573-574. ✅</w:t>
      </w:r>
    </w:p>
    <w:p>
      <w:pPr>
        <w:pStyle w:val="BodyText"/>
      </w:pPr>
      <w:r>
        <w:t xml:space="preserve">[2-14] Camacho E F, Bordons C. Model Predictive Control [M]. 2nd ed. London: Springer, 2007. ✅</w:t>
      </w:r>
    </w:p>
    <w:p>
      <w:pPr>
        <w:pStyle w:val="BodyText"/>
      </w:pPr>
      <w:r>
        <w:t xml:space="preserve">[2-15] Evensen G. Data Assimilation: The Ensemble Kalman Filter [M]. 2nd ed. Berlin: Springer, 2009. ✅</w:t>
      </w:r>
    </w:p>
    <w:p>
      <w:pPr>
        <w:pStyle w:val="BodyText"/>
      </w:pPr>
      <w:r>
        <w:t xml:space="preserve">[2-16] Kalman R E. On the general theory of control systems [C]//Proceedings of the First International Congress on Automatic Control. Moscow, 1960: 481-492. ✅</w:t>
      </w:r>
    </w:p>
    <w:p>
      <w:pPr>
        <w:pStyle w:val="BodyText"/>
      </w:pPr>
      <w:r>
        <w:t xml:space="preserve">[2-17] Buyalski C P, Ehler D G, Falvey H T, Rogers D C, Serfozo E A. Canal Systems Automation Manual, Volume 1 [M]. Denver: U.S. Department of the Interior, Bureau of Reclamation, 1991. ✅</w:t>
      </w:r>
    </w:p>
    <w:p>
      <w:pPr>
        <w:pStyle w:val="BodyText"/>
      </w:pPr>
      <w:r>
        <w:t xml:space="preserve">[2-18] Clemmens A J, Kacerek T F, Grawitz B, et al. Test cases for canal control algorithms [J]. Journal of Irrigation and Drainage Engineering, 1998, 124(1): 23-30. ⚠️（需核实作者和卷期）</w:t>
      </w:r>
    </w:p>
    <w:p>
      <w:pPr>
        <w:pStyle w:val="BodyText"/>
      </w:pPr>
      <w:r>
        <w:t xml:space="preserve">[2-19] ASCE Task Committee on Recent Advances in Canal Automation. Canal Automation for Irrigation Systems: ASCE Manuals and Reports on Engineering Practice No. 131 [M]. Wahlin B, Zimbelman D, eds. Reston: ASCE, 2014. ✅</w:t>
      </w:r>
    </w:p>
    <w:p>
      <w:pPr>
        <w:pStyle w:val="BodyText"/>
      </w:pPr>
      <w:r>
        <w:t xml:space="preserve">[2-20] Cantoni M, Weyer E, Li Y, et al. Control of large-scale irrigation networks [J]. Proceedings of the IEEE, 2007, 95(1): 75-91. ✅</w:t>
      </w:r>
    </w:p>
    <w:p>
      <w:pPr>
        <w:pStyle w:val="BodyText"/>
      </w:pPr>
      <w:r>
        <w:t xml:space="preserve">[2-21] 雷晓辉, 龙岩, 许慧敏, 等. 水系统控制论：提出背景、技术框架与研究范式 [J]. 南水北调与水利科技(中英文), 2025, 23(04): 761-769+904. DOI:10.13476/j.cnki.nsbdqk.2025.0077. ✅</w:t>
      </w:r>
    </w:p>
    <w:p>
      <w:pPr>
        <w:pStyle w:val="BodyText"/>
      </w:pPr>
      <w:r>
        <w:t xml:space="preserve">[2-22] 王浩, 王旭, 雷晓辉, 等. 梯级水库群联合调度关键技术发展历程与展望 [J]. 水利学报, 2019, 50(1): 25-37. ✅</w:t>
      </w:r>
    </w:p>
    <w:p>
      <w:pPr>
        <w:pStyle w:val="BodyText"/>
      </w:pPr>
      <w:r>
        <w:t xml:space="preserve">[2-23] 雷晓辉, 苏承国, 龙岩, 等. 基于无人驾驶理念的下一代自主运行智慧水网架构与关键技术 [J]. 南水北调与水利科技(中英文), 2025, 23(04): 778-786. DOI:10.13476/j.cnki.nsbdqk.2025.0079. ✅</w:t>
      </w:r>
    </w:p>
    <w:p>
      <w:pPr>
        <w:pStyle w:val="BodyText"/>
      </w:pPr>
      <w:r>
        <w:t xml:space="preserve">[2-24] Wylie E B. Control of transient free-surface flow [J]. Journal of the Hydraulics Division, ASCE, 1969, 95(1): 347-361. ✅</w:t>
      </w:r>
    </w:p>
    <w:p>
      <w:pPr>
        <w:pStyle w:val="BodyText"/>
      </w:pPr>
      <w:r>
        <w:t xml:space="preserve">[2-25] Malaterre P O, Rogers D C, Schuurmans J. Classification of canal control algorithms [J]. Journal of Irrigation and Drainage Engineering, 1998, 124(1): 3-10. ✅</w:t>
      </w:r>
    </w:p>
    <w:p>
      <w:r>
        <w:pict>
          <v:rect style="width:0;height:1.5pt" o:hralign="center" o:hrstd="t" o:hr="t"/>
        </w:pict>
      </w:r>
    </w:p>
    <w:p>
      <w:pPr>
        <w:pStyle w:val="FirstParagraph"/>
      </w:pPr>
      <w:r>
        <w:rPr>
          <w:bCs/>
          <w:b/>
        </w:rPr>
        <w:t xml:space="preserve">出版前核验提示</w:t>
      </w:r>
      <w:r>
        <w:t xml:space="preserve">：</w:t>
      </w:r>
      <w:r>
        <w:t xml:space="preserve"> </w:t>
      </w:r>
      <w:r>
        <w:t xml:space="preserve">1. 本章图2-1至图2-4的图片生成提示词见</w:t>
      </w:r>
      <w:r>
        <w:rPr>
          <w:rStyle w:val="VerbatimChar"/>
        </w:rPr>
        <w:t xml:space="preserve">T1-CN_图片提示词.md</w:t>
      </w:r>
      <w:r>
        <w:t xml:space="preserve">。</w:t>
      </w:r>
      <w:r>
        <w:t xml:space="preserve"> </w:t>
      </w:r>
      <w:r>
        <w:t xml:space="preserve">2. 式(2-3) IDZ传递函数的参数符号需与第五章中的模型族描述保持一致。</w:t>
      </w:r>
      <w:r>
        <w:t xml:space="preserve"> </w:t>
      </w:r>
      <w:r>
        <w:t xml:space="preserve">3. [2-11][2-12][2-18]标注⚠️的参考文献需在出版前经web search核实。</w:t>
      </w:r>
      <w:r>
        <w:t xml:space="preserve"> </w:t>
      </w:r>
      <w:r>
        <w:t xml:space="preserve">4. 算例中的数值参数（时滞、偏差等）为说明性设定，非特定工程实测数据，需在稿件中明确标注。</w:t>
      </w:r>
      <w:r>
        <w:t xml:space="preserve"> </w:t>
      </w:r>
      <w:r>
        <w:t xml:space="preserve">5. 表2-1和表2-2的编号需与全书表格编号体系统一。</w:t>
      </w:r>
      <w:r>
        <w:t xml:space="preserve"> </w:t>
      </w:r>
      <w:r>
        <w:t xml:space="preserve">6. §2.1.3跨章引用§1.3.3需在定稿时确认第一章节号未变。</w:t>
      </w:r>
      <w:r>
        <w:t xml:space="preserve"> </w:t>
      </w:r>
      <w:r>
        <w:t xml:space="preserve">7. 引导案例为多工程综合提炼的典型场景，不指向任何特定工程。</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2026-02-20T05:40:02Z</dcterms:created>
  <dcterms:modified xsi:type="dcterms:W3CDTF">2026-02-20T05:40:02Z</dcterms:modified>
</cp:coreProperties>
</file>

<file path=docProps/custom.xml><?xml version="1.0" encoding="utf-8"?>
<Properties xmlns="http://schemas.openxmlformats.org/officeDocument/2006/custom-properties" xmlns:vt="http://schemas.openxmlformats.org/officeDocument/2006/docPropsVTypes"/>
</file>