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p>
    <w:p>
      <w:pPr>
        <w:spacing w:after="100"/>
        <w:jc w:val="center"/>
      </w:pPr>
      <w:r>
        <w:rPr>
          <w:rFonts w:ascii="Arial" w:cs="Arial" w:eastAsia="Arial" w:hAnsi="Arial"/>
          <w:b/>
          <w:bCs/>
          <w:color w:val="1B3A5C"/>
          <w:sz w:val="56"/>
          <w:szCs w:val="56"/>
        </w:rPr>
        <w:t xml:space="preserve">HydroOS</w:t>
      </w:r>
    </w:p>
    <w:p>
      <w:pPr>
        <w:spacing w:after="60"/>
        <w:jc w:val="center"/>
      </w:pPr>
      <w:r>
        <w:rPr>
          <w:rFonts w:ascii="Microsoft YaHei" w:cs="Microsoft YaHei" w:eastAsia="Microsoft YaHei" w:hAnsi="Microsoft YaHei"/>
          <w:b/>
          <w:bCs/>
          <w:color w:val="2E75B6"/>
          <w:sz w:val="44"/>
          <w:szCs w:val="44"/>
        </w:rPr>
        <w:t xml:space="preserve">自主水网操作系统</w:t>
      </w:r>
    </w:p>
    <w:p>
      <w:pPr>
        <w:pBdr>
          <w:bottom w:val="single" w:color="2E75B6" w:sz="4" w:space="1"/>
        </w:pBdr>
        <w:spacing w:before="200" w:after="200"/>
      </w:pPr>
    </w:p>
    <w:p>
      <w:pPr>
        <w:spacing w:after="200"/>
        <w:jc w:val="center"/>
      </w:pPr>
      <w:r>
        <w:rPr>
          <w:rFonts w:ascii="Microsoft YaHei" w:cs="Microsoft YaHei" w:eastAsia="Microsoft YaHei" w:hAnsi="Microsoft YaHei"/>
          <w:b/>
          <w:bCs/>
          <w:color w:val="1B3A5C"/>
          <w:sz w:val="32"/>
          <w:szCs w:val="32"/>
        </w:rPr>
        <w:t xml:space="preserve">对标Rubicon Water竞争战略分析报告</w:t>
      </w:r>
    </w:p>
    <w:p>
      <w:pPr>
        <w:spacing w:before="200" w:after="0"/>
      </w:pPr>
    </w:p>
    <w:p>
      <w:pPr>
        <w:spacing w:after="40"/>
        <w:jc w:val="center"/>
      </w:pPr>
      <w:r>
        <w:rPr>
          <w:rFonts w:ascii="Microsoft YaHei" w:cs="Microsoft YaHei" w:eastAsia="Microsoft YaHei" w:hAnsi="Microsoft YaHei"/>
          <w:color w:val="666666"/>
          <w:sz w:val="24"/>
          <w:szCs w:val="24"/>
        </w:rPr>
        <w:t xml:space="preserve">中国灌区市场进入策略与技术路线图</w:t>
      </w:r>
    </w:p>
    <w:p>
      <w:pPr>
        <w:spacing w:before="800" w:after="0"/>
      </w:pPr>
    </w:p>
    <w:p>
      <w:pPr>
        <w:spacing w:after="40"/>
        <w:jc w:val="center"/>
      </w:pPr>
      <w:r>
        <w:rPr>
          <w:rFonts w:ascii="Microsoft YaHei" w:cs="Microsoft YaHei" w:eastAsia="Microsoft YaHei" w:hAnsi="Microsoft YaHei"/>
          <w:color w:val="666666"/>
          <w:sz w:val="22"/>
          <w:szCs w:val="22"/>
        </w:rPr>
        <w:t xml:space="preserve">报告日期：2026年2月</w:t>
      </w:r>
    </w:p>
    <w:p>
      <w:pPr>
        <w:spacing w:after="40"/>
        <w:jc w:val="center"/>
      </w:pPr>
      <w:r>
        <w:rPr>
          <w:rFonts w:ascii="Microsoft YaHei" w:cs="Microsoft YaHei" w:eastAsia="Microsoft YaHei" w:hAnsi="Microsoft YaHei"/>
          <w:b/>
          <w:bCs/>
          <w:color w:val="CC0000"/>
          <w:sz w:val="22"/>
          <w:szCs w:val="22"/>
        </w:rPr>
        <w:t xml:space="preserve">密级：商业机密</w:t>
      </w:r>
    </w:p>
    <w:p>
      <w:pPr>
        <w:sectPr>
          <w:pgSz w:w="11906" w:h="16838" w:orient="portrait"/>
          <w:pgMar w:top="1440" w:right="1440" w:bottom="1440" w:left="1440" w:header="708" w:footer="708" w:gutter="0"/>
          <w:pgNumType/>
          <w:docGrid w:linePitch="360"/>
        </w:sectPr>
      </w:pPr>
    </w:p>
    <w:p>
      <w:pPr>
        <w:pStyle w:val="Heading1"/>
        <w:spacing w:before="200" w:after="300"/>
      </w:pPr>
      <w:r>
        <w:rPr>
          <w:rFonts w:ascii="Microsoft YaHei" w:cs="Microsoft YaHei" w:eastAsia="Microsoft YaHei" w:hAnsi="Microsoft YaHei"/>
          <w:b/>
          <w:bCs/>
          <w:color w:val="1B3A5C"/>
          <w:sz w:val="32"/>
          <w:szCs w:val="32"/>
        </w:rPr>
        <w:t xml:space="preserve">目  录</w:t>
      </w:r>
    </w:p>
    <w:sdt>
      <w:sdtPr>
        <w:alias w:val="目录"/>
      </w:sdtPr>
      <w:sdtContent>
        <w:p>
          <w:r>
            <w:fldChar w:fldCharType="begin" w:dirty="true"/>
            <w:instrText xml:space="preserve">TOC \h \o "1-3"</w:instrText>
            <w:fldChar w:fldCharType="separate"/>
          </w:r>
        </w:p>
        <w:p>
          <w:r>
            <w:fldChar w:fldCharType="end"/>
          </w:r>
        </w:p>
      </w:sdtContent>
    </w:sdt>
    <w:p>
      <w:pPr>
        <w:sectPr>
          <w:headerReference w:type="default" r:id="rId6"/>
          <w:footerReference w:type="default" r:id="rId7"/>
          <w:pgSz w:w="11906" w:h="16838" w:orient="portrait"/>
          <w:pgMar w:top="1440" w:right="1440" w:bottom="1440" w:left="1440" w:header="708" w:footer="708" w:gutter="0"/>
          <w:pgNumType/>
          <w:docGrid w:linePitch="360"/>
        </w:sectPr>
      </w:pPr>
    </w:p>
    <w:p>
      <w:pPr>
        <w:pStyle w:val="Heading1"/>
        <w:spacing w:before="400" w:after="200"/>
      </w:pPr>
      <w:r>
        <w:rPr>
          <w:rFonts w:ascii="Microsoft YaHei" w:cs="Microsoft YaHei" w:eastAsia="Microsoft YaHei" w:hAnsi="Microsoft YaHei"/>
          <w:b/>
          <w:bCs/>
          <w:color w:val="1B3A5C"/>
          <w:sz w:val="32"/>
          <w:szCs w:val="32"/>
        </w:rPr>
        <w:t xml:space="preserve">一、执行摘要</w:t>
      </w:r>
    </w:p>
    <w:p>
      <w:pPr>
        <w:spacing w:before="80" w:after="80" w:line="360"/>
        <w:jc w:val="both"/>
      </w:pPr>
      <w:r>
        <w:rPr>
          <w:rFonts w:ascii="Microsoft YaHei" w:cs="Microsoft YaHei" w:eastAsia="Microsoft YaHei" w:hAnsi="Microsoft YaHei"/>
          <w:color w:val="222222"/>
          <w:sz w:val="21"/>
          <w:szCs w:val="21"/>
        </w:rPr>
        <w:t xml:space="preserve">本报告系统分析了HydroOS自主水网操作系统在中国灌区现代化市场中对标全球领导者Rubicon Water的竞争战略。通过对Rubicon商业模式、技术架构、定价体系、中国市场布局的深度解构，结合中国灌区投资政策、国产替代趋势和数字孪生灌区建设需求，提出了HydroOS的差异化竞争路径和六步市场进入策略。</w:t>
      </w:r>
    </w:p>
    <w:p>
      <w:pPr>
        <w:spacing w:before="60" w:after="0"/>
      </w:pPr>
    </w:p>
    <w:p>
      <w:pPr>
        <w:pStyle w:val="Heading2"/>
        <w:spacing w:before="300" w:after="150"/>
      </w:pPr>
      <w:r>
        <w:rPr>
          <w:rFonts w:ascii="Microsoft YaHei" w:cs="Microsoft YaHei" w:eastAsia="Microsoft YaHei" w:hAnsi="Microsoft YaHei"/>
          <w:b/>
          <w:bCs/>
          <w:color w:val="2E75B6"/>
          <w:sz w:val="26"/>
          <w:szCs w:val="26"/>
        </w:rPr>
        <w:t xml:space="preserve">1.1 核心发现</w:t>
      </w:r>
    </w:p>
    <w:p>
      <w:pPr>
        <w:pStyle w:val="ListParagraph"/>
        <w:numPr>
          <w:ilvl w:val="0"/>
          <w:numId w:val="2"/>
        </w:numPr>
        <w:spacing w:before="40" w:after="40" w:line="340"/>
      </w:pPr>
      <w:r>
        <w:rPr>
          <w:rFonts w:ascii="Microsoft YaHei" w:cs="Microsoft YaHei" w:eastAsia="Microsoft YaHei" w:hAnsi="Microsoft YaHei"/>
          <w:b/>
          <w:bCs/>
          <w:color w:val="222222"/>
          <w:sz w:val="21"/>
          <w:szCs w:val="21"/>
        </w:rPr>
        <w:t xml:space="preserve">成本优势显著：</w:t>
      </w:r>
      <w:r>
        <w:rPr>
          <w:rFonts w:ascii="Microsoft YaHei" w:cs="Microsoft YaHei" w:eastAsia="Microsoft YaHei" w:hAnsi="Microsoft YaHei"/>
          <w:color w:val="222222"/>
          <w:sz w:val="21"/>
          <w:szCs w:val="21"/>
        </w:rPr>
        <w:t xml:space="preserve">HydroOS在国产智能闸门上叠加自主控制能力，系统总成本仅为Rubicon方案的28%（10年TCO约$120万 vs. $460万），符合中国灌区每闸¥2-6万元的采购预算区间</w:t>
      </w:r>
    </w:p>
    <w:p>
      <w:pPr>
        <w:pStyle w:val="ListParagraph"/>
        <w:numPr>
          <w:ilvl w:val="0"/>
          <w:numId w:val="2"/>
        </w:numPr>
        <w:spacing w:before="40" w:after="40" w:line="340"/>
      </w:pPr>
      <w:r>
        <w:rPr>
          <w:rFonts w:ascii="Microsoft YaHei" w:cs="Microsoft YaHei" w:eastAsia="Microsoft YaHei" w:hAnsi="Microsoft YaHei"/>
          <w:b/>
          <w:bCs/>
          <w:color w:val="222222"/>
          <w:sz w:val="21"/>
          <w:szCs w:val="21"/>
        </w:rPr>
        <w:t xml:space="preserve">技术路线差异化：</w:t>
      </w:r>
      <w:r>
        <w:rPr>
          <w:rFonts w:ascii="Microsoft YaHei" w:cs="Microsoft YaHei" w:eastAsia="Microsoft YaHei" w:hAnsi="Microsoft YaHei"/>
          <w:color w:val="222222"/>
          <w:sz w:val="21"/>
          <w:szCs w:val="21"/>
        </w:rPr>
        <w:t xml:space="preserve">基于水系统控制论（CHS）理论的无模型分层强化学习与多目标MPC方法，从根本上绕开Rubicon基于墨尔本大学分布参数传递函数模型的218项专利组合</w:t>
      </w:r>
    </w:p>
    <w:p>
      <w:pPr>
        <w:pStyle w:val="ListParagraph"/>
        <w:numPr>
          <w:ilvl w:val="0"/>
          <w:numId w:val="2"/>
        </w:numPr>
        <w:spacing w:before="40" w:after="40" w:line="340"/>
      </w:pPr>
      <w:r>
        <w:rPr>
          <w:rFonts w:ascii="Microsoft YaHei" w:cs="Microsoft YaHei" w:eastAsia="Microsoft YaHei" w:hAnsi="Microsoft YaHei"/>
          <w:b/>
          <w:bCs/>
          <w:color w:val="222222"/>
          <w:sz w:val="21"/>
          <w:szCs w:val="21"/>
        </w:rPr>
        <w:t xml:space="preserve">政策窗口叠加：</w:t>
      </w:r>
      <w:r>
        <w:rPr>
          <w:rFonts w:ascii="Microsoft YaHei" w:cs="Microsoft YaHei" w:eastAsia="Microsoft YaHei" w:hAnsi="Microsoft YaHei"/>
          <w:color w:val="222222"/>
          <w:sz w:val="21"/>
          <w:szCs w:val="21"/>
        </w:rPr>
        <w:t xml:space="preserve">数字孪生灌区强制要求、关键信息基础设施本地化、信创国产替代、政府采购优先、“卡脖子”技术自主可控五大政策力量汇聚，为国产自主控制系统创造刚性需求</w:t>
      </w:r>
    </w:p>
    <w:p>
      <w:pPr>
        <w:pStyle w:val="ListParagraph"/>
        <w:numPr>
          <w:ilvl w:val="0"/>
          <w:numId w:val="2"/>
        </w:numPr>
        <w:spacing w:before="40" w:after="40" w:line="340"/>
      </w:pPr>
      <w:r>
        <w:rPr>
          <w:rFonts w:ascii="Microsoft YaHei" w:cs="Microsoft YaHei" w:eastAsia="Microsoft YaHei" w:hAnsi="Microsoft YaHei"/>
          <w:b/>
          <w:bCs/>
          <w:color w:val="222222"/>
          <w:sz w:val="21"/>
          <w:szCs w:val="21"/>
        </w:rPr>
        <w:t xml:space="preserve">竞争窗口期：</w:t>
      </w:r>
      <w:r>
        <w:rPr>
          <w:rFonts w:ascii="Microsoft YaHei" w:cs="Microsoft YaHei" w:eastAsia="Microsoft YaHei" w:hAnsi="Microsoft YaHei"/>
          <w:color w:val="222222"/>
          <w:sz w:val="21"/>
          <w:szCs w:val="21"/>
        </w:rPr>
        <w:t xml:space="preserve">Rubicon中国合资企业于2024-25年解散（计提260万澳元减值），新合作伙伴关系尚在重组阶段，12-24个月战略窗口期已经打开</w:t>
      </w:r>
    </w:p>
    <w:p>
      <w:pPr>
        <w:spacing w:before="60" w:after="0"/>
      </w:pPr>
    </w:p>
    <w:p>
      <w:pPr>
        <w:pStyle w:val="Heading2"/>
        <w:spacing w:before="300" w:after="150"/>
      </w:pPr>
      <w:r>
        <w:rPr>
          <w:rFonts w:ascii="Microsoft YaHei" w:cs="Microsoft YaHei" w:eastAsia="Microsoft YaHei" w:hAnsi="Microsoft YaHei"/>
          <w:b/>
          <w:bCs/>
          <w:color w:val="2E75B6"/>
          <w:sz w:val="26"/>
          <w:szCs w:val="26"/>
        </w:rPr>
        <w:t xml:space="preserve">1.2 战略建议概要</w:t>
      </w:r>
    </w:p>
    <w:p>
      <w:pPr>
        <w:spacing w:before="80" w:after="80" w:line="360"/>
        <w:jc w:val="both"/>
      </w:pPr>
      <w:r>
        <w:rPr>
          <w:rFonts w:ascii="Microsoft YaHei" w:cs="Microsoft YaHei" w:eastAsia="Microsoft YaHei" w:hAnsi="Microsoft YaHei"/>
          <w:color w:val="222222"/>
          <w:sz w:val="21"/>
          <w:szCs w:val="21"/>
        </w:rPr>
        <w:t xml:space="preserve">采取“算法灯塔”策略：以一级灌区（位山/都江堰）自主控制示范项目建立技术公信力，通过水利部数字孪生推荐模型纳入获得市场准入通道，以“HydroOS提供大脑、国产闸门制造商提供身体”的轻资产合作模式快速规模化，通过标准制定锁定长期竞争壁垒。</w:t>
      </w:r>
    </w:p>
    <w:p>
      <w:pPr>
        <w:pStyle w:val="Heading1"/>
        <w:pageBreakBefore/>
        <w:spacing w:before="400" w:after="200"/>
      </w:pPr>
      <w:r>
        <w:rPr>
          <w:rFonts w:ascii="Microsoft YaHei" w:cs="Microsoft YaHei" w:eastAsia="Microsoft YaHei" w:hAnsi="Microsoft YaHei"/>
          <w:b/>
          <w:bCs/>
          <w:color w:val="1B3A5C"/>
          <w:sz w:val="32"/>
          <w:szCs w:val="32"/>
        </w:rPr>
        <w:t xml:space="preserve">二、竞争对手深度画像：Rubicon Water</w:t>
      </w:r>
    </w:p>
    <w:p>
      <w:pPr>
        <w:pStyle w:val="Heading2"/>
        <w:spacing w:before="300" w:after="150"/>
      </w:pPr>
      <w:r>
        <w:rPr>
          <w:rFonts w:ascii="Microsoft YaHei" w:cs="Microsoft YaHei" w:eastAsia="Microsoft YaHei" w:hAnsi="Microsoft YaHei"/>
          <w:b/>
          <w:bCs/>
          <w:color w:val="2E75B6"/>
          <w:sz w:val="26"/>
          <w:szCs w:val="26"/>
        </w:rPr>
        <w:t xml:space="preserve">2.1 公司概况与财务状况</w:t>
      </w:r>
    </w:p>
    <w:p>
      <w:pPr>
        <w:spacing w:before="80" w:after="80" w:line="360"/>
        <w:jc w:val="both"/>
      </w:pPr>
      <w:r>
        <w:rPr>
          <w:rFonts w:ascii="Microsoft YaHei" w:cs="Microsoft YaHei" w:eastAsia="Microsoft YaHei" w:hAnsi="Microsoft YaHei"/>
          <w:color w:val="222222"/>
          <w:sz w:val="21"/>
          <w:szCs w:val="21"/>
        </w:rPr>
        <w:t xml:space="preserve">Rubicon Water（ASX: RWL）总部位于澳大利亚维多利亚州谢帕顿，是全球渠道灌溉自动化领域的技术领导者。公司成立于2006年，2021年以每股1.75澳元IPO上市，但股价已暴跌约90%至0.17-0.21澳元区间，反映出市场对其盈利能力的严重担忧。</w:t>
      </w:r>
    </w:p>
    <w:p>
      <w:pPr>
        <w:spacing w:before="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26"/>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18"/>
                <w:szCs w:val="18"/>
              </w:rPr>
              <w:t xml:space="preserve">财务指标</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18"/>
                <w:szCs w:val="18"/>
              </w:rPr>
              <w:t xml:space="preserve">数据</w:t>
            </w:r>
          </w:p>
        </w:tc>
        <w:tc>
          <w:tcPr>
            <w:tcW w:type="dxa" w:w="33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18"/>
                <w:szCs w:val="18"/>
              </w:rPr>
              <w:t xml:space="preserve">备注</w:t>
            </w:r>
          </w:p>
        </w:tc>
      </w:tr>
      <w:tr>
        <w:tc>
          <w:tcPr>
            <w:tcW w:type="dxa" w:w="25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val="false"/>
                <w:bCs w:val="false"/>
                <w:color w:val="222222"/>
                <w:sz w:val="18"/>
                <w:szCs w:val="18"/>
              </w:rPr>
              <w:t xml:space="preserve">FY2025营收</w:t>
            </w:r>
          </w:p>
        </w:tc>
        <w:tc>
          <w:tcPr>
            <w:tcW w:type="dxa" w:w="3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6,910万澳元</w:t>
            </w:r>
          </w:p>
        </w:tc>
        <w:tc>
          <w:tcPr>
            <w:tcW w:type="dxa" w:w="33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同比增长18%</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val="false"/>
                <w:bCs w:val="false"/>
                <w:color w:val="222222"/>
                <w:sz w:val="18"/>
                <w:szCs w:val="18"/>
              </w:rPr>
              <w:t xml:space="preserve">净利润</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亏损700万澳元</w:t>
            </w:r>
          </w:p>
        </w:tc>
        <w:tc>
          <w:tcPr>
            <w:tcW w:type="dxa" w:w="3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持续亏损状态</w:t>
            </w:r>
          </w:p>
        </w:tc>
      </w:tr>
      <w:tr>
        <w:tc>
          <w:tcPr>
            <w:tcW w:type="dxa" w:w="25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val="false"/>
                <w:bCs w:val="false"/>
                <w:color w:val="222222"/>
                <w:sz w:val="18"/>
                <w:szCs w:val="18"/>
              </w:rPr>
              <w:t xml:space="preserve">毛利率</w:t>
            </w:r>
          </w:p>
        </w:tc>
        <w:tc>
          <w:tcPr>
            <w:tcW w:type="dxa" w:w="3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41%</w:t>
            </w:r>
          </w:p>
        </w:tc>
        <w:tc>
          <w:tcPr>
            <w:tcW w:type="dxa" w:w="33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硬件+软件混合</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val="false"/>
                <w:bCs w:val="false"/>
                <w:color w:val="222222"/>
                <w:sz w:val="18"/>
                <w:szCs w:val="18"/>
              </w:rPr>
              <w:t xml:space="preserve">市值</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4,000-4,500万澳元</w:t>
            </w:r>
          </w:p>
        </w:tc>
        <w:tc>
          <w:tcPr>
            <w:tcW w:type="dxa" w:w="3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远低于IPO估值</w:t>
            </w:r>
          </w:p>
        </w:tc>
      </w:tr>
      <w:tr>
        <w:tc>
          <w:tcPr>
            <w:tcW w:type="dxa" w:w="25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val="false"/>
                <w:bCs w:val="false"/>
                <w:color w:val="222222"/>
                <w:sz w:val="18"/>
                <w:szCs w:val="18"/>
              </w:rPr>
              <w:t xml:space="preserve">签约管道</w:t>
            </w:r>
          </w:p>
        </w:tc>
        <w:tc>
          <w:tcPr>
            <w:tcW w:type="dxa" w:w="3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1.84亿澳元</w:t>
            </w:r>
          </w:p>
        </w:tc>
        <w:tc>
          <w:tcPr>
            <w:tcW w:type="dxa" w:w="33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22个项目</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val="false"/>
                <w:bCs w:val="false"/>
                <w:color w:val="222222"/>
                <w:sz w:val="18"/>
                <w:szCs w:val="18"/>
              </w:rPr>
              <w:t xml:space="preserve">全球装机</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35,000+设备</w:t>
            </w:r>
          </w:p>
        </w:tc>
        <w:tc>
          <w:tcPr>
            <w:tcW w:type="dxa" w:w="3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20国180+客户</w:t>
            </w:r>
          </w:p>
        </w:tc>
      </w:tr>
      <w:tr>
        <w:tc>
          <w:tcPr>
            <w:tcW w:type="dxa" w:w="25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val="false"/>
                <w:bCs w:val="false"/>
                <w:color w:val="222222"/>
                <w:sz w:val="18"/>
                <w:szCs w:val="18"/>
              </w:rPr>
              <w:t xml:space="preserve">专利组合</w:t>
            </w:r>
          </w:p>
        </w:tc>
        <w:tc>
          <w:tcPr>
            <w:tcW w:type="dxa" w:w="3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218项专利</w:t>
            </w:r>
          </w:p>
        </w:tc>
        <w:tc>
          <w:tcPr>
            <w:tcW w:type="dxa" w:w="33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覆盖21个司法管辖区</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val="false"/>
                <w:bCs w:val="false"/>
                <w:color w:val="222222"/>
                <w:sz w:val="18"/>
                <w:szCs w:val="18"/>
              </w:rPr>
              <w:t xml:space="preserve">员工数</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230人</w:t>
            </w:r>
          </w:p>
        </w:tc>
        <w:tc>
          <w:tcPr>
            <w:tcW w:type="dxa" w:w="3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全球</w:t>
            </w:r>
          </w:p>
        </w:tc>
      </w:tr>
    </w:tbl>
    <w:p>
      <w:pPr>
        <w:spacing w:before="60" w:after="0"/>
      </w:pPr>
    </w:p>
    <w:p>
      <w:pPr>
        <w:pStyle w:val="Heading2"/>
        <w:spacing w:before="300" w:after="150"/>
      </w:pPr>
      <w:r>
        <w:rPr>
          <w:rFonts w:ascii="Microsoft YaHei" w:cs="Microsoft YaHei" w:eastAsia="Microsoft YaHei" w:hAnsi="Microsoft YaHei"/>
          <w:b/>
          <w:bCs/>
          <w:color w:val="2E75B6"/>
          <w:sz w:val="26"/>
          <w:szCs w:val="26"/>
        </w:rPr>
        <w:t xml:space="preserve">2.2 商业模式与定价体系</w:t>
      </w:r>
    </w:p>
    <w:p>
      <w:pPr>
        <w:spacing w:before="80" w:after="80" w:line="360"/>
        <w:jc w:val="both"/>
      </w:pPr>
      <w:r>
        <w:rPr>
          <w:rFonts w:ascii="Microsoft YaHei" w:cs="Microsoft YaHei" w:eastAsia="Microsoft YaHei" w:hAnsi="Microsoft YaHei"/>
          <w:color w:val="222222"/>
          <w:sz w:val="21"/>
          <w:szCs w:val="21"/>
        </w:rPr>
        <w:t xml:space="preserve">Rubicon采用重资产垂直整合模式：自主研发制造FlumeGate/SlipGate闸门硬件、SolarDrive嵌入式控制器、MicronLevel超声波水位传感器，搭配NeuroFlo网络控制软件和SCADAConnect/Confluent数据平台，通过大额前期资本支出+多年维护合同实现收入。非SaaS模式，基于项目的一次性硬件销售为主。</w:t>
      </w:r>
    </w:p>
    <w:p>
      <w:pPr>
        <w:spacing w:before="40" w:after="0"/>
      </w:pPr>
    </w:p>
    <w:p>
      <w:pPr>
        <w:pStyle w:val="Heading3"/>
        <w:spacing w:before="200" w:after="100"/>
      </w:pPr>
      <w:r>
        <w:rPr>
          <w:rFonts w:ascii="Microsoft YaHei" w:cs="Microsoft YaHei" w:eastAsia="Microsoft YaHei" w:hAnsi="Microsoft YaHei"/>
          <w:b/>
          <w:bCs/>
          <w:color w:val="1B3A5C"/>
          <w:sz w:val="22"/>
          <w:szCs w:val="22"/>
        </w:rPr>
        <w:t xml:space="preserve">逆向工程定价结构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18"/>
                <w:szCs w:val="18"/>
              </w:rPr>
              <w:t xml:space="preserve">项目/产品</w:t>
            </w:r>
          </w:p>
        </w:tc>
        <w:tc>
          <w:tcPr>
            <w:tcW w:type="dxa" w:w="30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18"/>
                <w:szCs w:val="18"/>
              </w:rPr>
              <w:t xml:space="preserve">单价（估算）</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18"/>
                <w:szCs w:val="18"/>
              </w:rPr>
              <w:t xml:space="preserve">来源</w:t>
            </w:r>
          </w:p>
        </w:tc>
      </w:tr>
      <w:tr>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val="false"/>
                <w:bCs w:val="false"/>
                <w:color w:val="222222"/>
                <w:sz w:val="18"/>
                <w:szCs w:val="18"/>
              </w:rPr>
              <w:t xml:space="preserve">印度Karnataka项目每闸</w:t>
            </w:r>
          </w:p>
        </w:tc>
        <w:tc>
          <w:tcPr>
            <w:tcW w:type="dxa" w:w="30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~47,000澳元</w:t>
            </w:r>
          </w:p>
        </w:tc>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2亿澳元/4,200闸门</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val="false"/>
                <w:bCs w:val="false"/>
                <w:color w:val="222222"/>
                <w:sz w:val="18"/>
                <w:szCs w:val="18"/>
              </w:rPr>
              <w:t xml:space="preserve">美国SlipMeter单台安装</w:t>
            </w:r>
          </w:p>
        </w:tc>
        <w:tc>
          <w:tcPr>
            <w:tcW w:type="dxa" w:w="3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~51,053美元</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公开采购记录</w:t>
            </w:r>
          </w:p>
        </w:tc>
      </w:tr>
      <w:tr>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val="false"/>
                <w:bCs w:val="false"/>
                <w:color w:val="222222"/>
                <w:sz w:val="18"/>
                <w:szCs w:val="18"/>
              </w:rPr>
              <w:t xml:space="preserve">中型灌区35闸总成本</w:t>
            </w:r>
          </w:p>
        </w:tc>
        <w:tc>
          <w:tcPr>
            <w:tcW w:type="dxa" w:w="30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~280万美元</w:t>
            </w:r>
          </w:p>
        </w:tc>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综合估算</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val="false"/>
                <w:bCs w:val="false"/>
                <w:color w:val="222222"/>
                <w:sz w:val="18"/>
                <w:szCs w:val="18"/>
              </w:rPr>
              <w:t xml:space="preserve">35闸系统10年TCO</w:t>
            </w:r>
          </w:p>
        </w:tc>
        <w:tc>
          <w:tcPr>
            <w:tcW w:type="dxa" w:w="3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~460万美元</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含维护+软件许可</w:t>
            </w:r>
          </w:p>
        </w:tc>
      </w:tr>
      <w:tr>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val="false"/>
                <w:bCs w:val="false"/>
                <w:color w:val="222222"/>
                <w:sz w:val="18"/>
                <w:szCs w:val="18"/>
              </w:rPr>
              <w:t xml:space="preserve">NeuroFlo软件年费</w:t>
            </w:r>
          </w:p>
        </w:tc>
        <w:tc>
          <w:tcPr>
            <w:tcW w:type="dxa" w:w="30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12-25万美元</w:t>
            </w:r>
          </w:p>
        </w:tc>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35闸系统估算</w:t>
            </w:r>
          </w:p>
        </w:tc>
      </w:tr>
    </w:tbl>
    <w:p>
      <w:pPr>
        <w:spacing w:before="60" w:after="0"/>
      </w:pPr>
    </w:p>
    <w:p>
      <w:pPr>
        <w:pStyle w:val="Heading2"/>
        <w:spacing w:before="300" w:after="150"/>
      </w:pPr>
      <w:r>
        <w:rPr>
          <w:rFonts w:ascii="Microsoft YaHei" w:cs="Microsoft YaHei" w:eastAsia="Microsoft YaHei" w:hAnsi="Microsoft YaHei"/>
          <w:b/>
          <w:bCs/>
          <w:color w:val="2E75B6"/>
          <w:sz w:val="26"/>
          <w:szCs w:val="26"/>
        </w:rPr>
        <w:t xml:space="preserve">2.3 全球标杆项目</w:t>
      </w:r>
    </w:p>
    <w:p>
      <w:pPr>
        <w:pStyle w:val="ListParagraph"/>
        <w:numPr>
          <w:ilvl w:val="0"/>
          <w:numId w:val="2"/>
        </w:numPr>
        <w:spacing w:before="40" w:after="40" w:line="340"/>
      </w:pPr>
      <w:r>
        <w:rPr>
          <w:rFonts w:ascii="Microsoft YaHei" w:cs="Microsoft YaHei" w:eastAsia="Microsoft YaHei" w:hAnsi="Microsoft YaHei"/>
          <w:b/>
          <w:bCs/>
          <w:color w:val="222222"/>
          <w:sz w:val="21"/>
          <w:szCs w:val="21"/>
        </w:rPr>
        <w:t xml:space="preserve">澳大利亚Goulburn-Murray Water：</w:t>
      </w:r>
      <w:r>
        <w:rPr>
          <w:rFonts w:ascii="Microsoft YaHei" w:cs="Microsoft YaHei" w:eastAsia="Microsoft YaHei" w:hAnsi="Microsoft YaHei"/>
          <w:color w:val="222222"/>
          <w:sz w:val="21"/>
          <w:szCs w:val="21"/>
        </w:rPr>
        <w:t xml:space="preserve">总投资20亿澳元，其中自动化投资3亿澳元，覆盖2,900公里渠道，年节水429GL（相当于墨尔本全年用水量），是全球最大、最成功的渠道自动化项目</w:t>
      </w:r>
    </w:p>
    <w:p>
      <w:pPr>
        <w:pStyle w:val="ListParagraph"/>
        <w:numPr>
          <w:ilvl w:val="0"/>
          <w:numId w:val="2"/>
        </w:numPr>
        <w:spacing w:before="40" w:after="40" w:line="340"/>
      </w:pPr>
      <w:r>
        <w:rPr>
          <w:rFonts w:ascii="Microsoft YaHei" w:cs="Microsoft YaHei" w:eastAsia="Microsoft YaHei" w:hAnsi="Microsoft YaHei"/>
          <w:b/>
          <w:bCs/>
          <w:color w:val="222222"/>
          <w:sz w:val="21"/>
          <w:szCs w:val="21"/>
        </w:rPr>
        <w:t xml:space="preserve">印度Karnataka NLBC：</w:t>
      </w:r>
      <w:r>
        <w:rPr>
          <w:rFonts w:ascii="Microsoft YaHei" w:cs="Microsoft YaHei" w:eastAsia="Microsoft YaHei" w:hAnsi="Microsoft YaHei"/>
          <w:color w:val="222222"/>
          <w:sz w:val="21"/>
          <w:szCs w:val="21"/>
        </w:rPr>
        <w:t xml:space="preserve">4,200+太阳能闸门，3,000公里渠道，覆盖40万公顷农田，全球最大单一渠道自动化合同</w:t>
      </w:r>
    </w:p>
    <w:p>
      <w:pPr>
        <w:pStyle w:val="ListParagraph"/>
        <w:numPr>
          <w:ilvl w:val="0"/>
          <w:numId w:val="2"/>
        </w:numPr>
        <w:spacing w:before="40" w:after="40" w:line="340"/>
      </w:pPr>
      <w:r>
        <w:rPr>
          <w:rFonts w:ascii="Microsoft YaHei" w:cs="Microsoft YaHei" w:eastAsia="Microsoft YaHei" w:hAnsi="Microsoft YaHei"/>
          <w:b/>
          <w:bCs/>
          <w:color w:val="222222"/>
          <w:sz w:val="21"/>
          <w:szCs w:val="21"/>
        </w:rPr>
        <w:t xml:space="preserve">美国市场：</w:t>
      </w:r>
      <w:r>
        <w:rPr>
          <w:rFonts w:ascii="Microsoft YaHei" w:cs="Microsoft YaHei" w:eastAsia="Microsoft YaHei" w:hAnsi="Microsoft YaHei"/>
          <w:color w:val="222222"/>
          <w:sz w:val="21"/>
          <w:szCs w:val="21"/>
        </w:rPr>
        <w:t xml:space="preserve">Turlock灌区（20年合作关系）、RD108、East Columbia Basin等多个项目，通过帮助灌区撰写联邦WaterSMART拨款申请获取市场</w:t>
      </w:r>
    </w:p>
    <w:p>
      <w:pPr>
        <w:pStyle w:val="ListParagraph"/>
        <w:numPr>
          <w:ilvl w:val="0"/>
          <w:numId w:val="2"/>
        </w:numPr>
        <w:spacing w:before="40" w:after="40" w:line="340"/>
      </w:pPr>
      <w:r>
        <w:rPr>
          <w:rFonts w:ascii="Microsoft YaHei" w:cs="Microsoft YaHei" w:eastAsia="Microsoft YaHei" w:hAnsi="Microsoft YaHei"/>
          <w:b/>
          <w:bCs/>
          <w:color w:val="222222"/>
          <w:sz w:val="21"/>
          <w:szCs w:val="21"/>
        </w:rPr>
        <w:t xml:space="preserve">拉丁美洲：</w:t>
      </w:r>
      <w:r>
        <w:rPr>
          <w:rFonts w:ascii="Microsoft YaHei" w:cs="Microsoft YaHei" w:eastAsia="Microsoft YaHei" w:hAnsi="Microsoft YaHei"/>
          <w:color w:val="222222"/>
          <w:sz w:val="21"/>
          <w:szCs w:val="21"/>
        </w:rPr>
        <w:t xml:space="preserve">智利及周边35+客户，年装机250+闸门，依靠用户组织口碑传播</w:t>
      </w:r>
    </w:p>
    <w:p>
      <w:pPr>
        <w:spacing w:before="60" w:after="0"/>
      </w:pPr>
    </w:p>
    <w:p>
      <w:pPr>
        <w:pStyle w:val="Heading2"/>
        <w:spacing w:before="300" w:after="150"/>
      </w:pPr>
      <w:r>
        <w:rPr>
          <w:rFonts w:ascii="Microsoft YaHei" w:cs="Microsoft YaHei" w:eastAsia="Microsoft YaHei" w:hAnsi="Microsoft YaHei"/>
          <w:b/>
          <w:bCs/>
          <w:color w:val="2E75B6"/>
          <w:sz w:val="26"/>
          <w:szCs w:val="26"/>
        </w:rPr>
        <w:t xml:space="preserve">2.4 技术架构深度解析</w:t>
      </w:r>
    </w:p>
    <w:p>
      <w:pPr>
        <w:pStyle w:val="Heading3"/>
        <w:spacing w:before="200" w:after="100"/>
      </w:pPr>
      <w:r>
        <w:rPr>
          <w:rFonts w:ascii="Microsoft YaHei" w:cs="Microsoft YaHei" w:eastAsia="Microsoft YaHei" w:hAnsi="Microsoft YaHei"/>
          <w:b/>
          <w:bCs/>
          <w:color w:val="1B3A5C"/>
          <w:sz w:val="22"/>
          <w:szCs w:val="22"/>
        </w:rPr>
        <w:t xml:space="preserve">学术基础：墨尔本大学20年合作</w:t>
      </w:r>
    </w:p>
    <w:p>
      <w:pPr>
        <w:spacing w:before="80" w:after="80" w:line="360"/>
        <w:jc w:val="both"/>
      </w:pPr>
      <w:r>
        <w:rPr>
          <w:rFonts w:ascii="Microsoft YaHei" w:cs="Microsoft YaHei" w:eastAsia="Microsoft YaHei" w:hAnsi="Microsoft YaHei"/>
          <w:color w:val="222222"/>
          <w:sz w:val="21"/>
          <w:szCs w:val="21"/>
        </w:rPr>
        <w:t xml:space="preserve">Rubicon核心控制算法源自与墨尔本大学长达20年的深度合作，累计6项ARC Linkage资助、11名博士后、8名PhD、70+联合专利。核心学术团队包括Iven Mareels、Erik Weyer、Michael Cantoni教授。2007年IEEE Proceedings论文“Control of large-scale irrigation networks”奠定了理论基础，使用基于Saint-Venant方程的分布参数传递函数模型，解决串级不稳定性、波传播和传输延迟等标准PID无法处理的多池段渠道系统问题。</w:t>
      </w:r>
    </w:p>
    <w:p>
      <w:pPr>
        <w:spacing w:before="40" w:after="0"/>
      </w:pPr>
    </w:p>
    <w:p>
      <w:pPr>
        <w:pStyle w:val="Heading3"/>
        <w:spacing w:before="200" w:after="100"/>
      </w:pPr>
      <w:r>
        <w:rPr>
          <w:rFonts w:ascii="Microsoft YaHei" w:cs="Microsoft YaHei" w:eastAsia="Microsoft YaHei" w:hAnsi="Microsoft YaHei"/>
          <w:b/>
          <w:bCs/>
          <w:color w:val="1B3A5C"/>
          <w:sz w:val="22"/>
          <w:szCs w:val="22"/>
        </w:rPr>
        <w:t xml:space="preserve">三层控制架构（TCC）</w:t>
      </w:r>
    </w:p>
    <w:p>
      <w:pPr>
        <w:spacing w:before="80" w:after="80" w:line="360"/>
        <w:jc w:val="both"/>
      </w:pPr>
      <w:r>
        <w:rPr>
          <w:rFonts w:ascii="Microsoft YaHei" w:cs="Microsoft YaHei" w:eastAsia="Microsoft YaHei" w:hAnsi="Microsoft YaHei"/>
          <w:color w:val="222222"/>
          <w:sz w:val="21"/>
          <w:szCs w:val="21"/>
        </w:rPr>
        <w:t xml:space="preserve">NeuroFlo实施三层总渠道控制（Total Channel Control）架构，支持上游水位控制、远程下游需求控制和混合控制三种运行策略：</w:t>
      </w:r>
    </w:p>
    <w:p>
      <w:pPr>
        <w:pStyle w:val="ListParagraph"/>
        <w:numPr>
          <w:ilvl w:val="0"/>
          <w:numId w:val="2"/>
        </w:numPr>
        <w:spacing w:before="40" w:after="40" w:line="340"/>
      </w:pPr>
      <w:r>
        <w:rPr>
          <w:rFonts w:ascii="Microsoft YaHei" w:cs="Microsoft YaHei" w:eastAsia="Microsoft YaHei" w:hAnsi="Microsoft YaHei"/>
          <w:b/>
          <w:bCs/>
          <w:color w:val="222222"/>
          <w:sz w:val="21"/>
          <w:szCs w:val="21"/>
        </w:rPr>
        <w:t xml:space="preserve">第1层——本地闸门调节：</w:t>
      </w:r>
      <w:r>
        <w:rPr>
          <w:rFonts w:ascii="Microsoft YaHei" w:cs="Microsoft YaHei" w:eastAsia="Microsoft YaHei" w:hAnsi="Microsoft YaHei"/>
          <w:color w:val="222222"/>
          <w:sz w:val="21"/>
          <w:szCs w:val="21"/>
        </w:rPr>
        <w:t xml:space="preserve">数据采集与闸门位置控制，SolarDrive嵌入式控制器管理闸门定位（精度±0.5mm），本地控制可独立运行</w:t>
      </w:r>
    </w:p>
    <w:p>
      <w:pPr>
        <w:pStyle w:val="ListParagraph"/>
        <w:numPr>
          <w:ilvl w:val="0"/>
          <w:numId w:val="2"/>
        </w:numPr>
        <w:spacing w:before="40" w:after="40" w:line="340"/>
      </w:pPr>
      <w:r>
        <w:rPr>
          <w:rFonts w:ascii="Microsoft YaHei" w:cs="Microsoft YaHei" w:eastAsia="Microsoft YaHei" w:hAnsi="Microsoft YaHei"/>
          <w:b/>
          <w:bCs/>
          <w:color w:val="222222"/>
          <w:sz w:val="21"/>
          <w:szCs w:val="21"/>
        </w:rPr>
        <w:t xml:space="preserve">第2层——监督调整层：</w:t>
      </w:r>
      <w:r>
        <w:rPr>
          <w:rFonts w:ascii="Microsoft YaHei" w:cs="Microsoft YaHei" w:eastAsia="Microsoft YaHei" w:hAnsi="Microsoft YaHei"/>
          <w:color w:val="222222"/>
          <w:sz w:val="21"/>
          <w:szCs w:val="21"/>
        </w:rPr>
        <w:t xml:space="preserve">基于约束和未来流量负荷的前馈调整，解决瞬态流量峰值放大和执行器饱和问题，这是纯反应式控制的致命缺陷</w:t>
      </w:r>
    </w:p>
    <w:p>
      <w:pPr>
        <w:pStyle w:val="ListParagraph"/>
        <w:numPr>
          <w:ilvl w:val="0"/>
          <w:numId w:val="2"/>
        </w:numPr>
        <w:spacing w:before="40" w:after="40" w:line="340"/>
      </w:pPr>
      <w:r>
        <w:rPr>
          <w:rFonts w:ascii="Microsoft YaHei" w:cs="Microsoft YaHei" w:eastAsia="Microsoft YaHei" w:hAnsi="Microsoft YaHei"/>
          <w:b/>
          <w:bCs/>
          <w:color w:val="222222"/>
          <w:sz w:val="21"/>
          <w:szCs w:val="21"/>
        </w:rPr>
        <w:t xml:space="preserve">第3层——需求调度层：</w:t>
      </w:r>
      <w:r>
        <w:rPr>
          <w:rFonts w:ascii="Microsoft YaHei" w:cs="Microsoft YaHei" w:eastAsia="Microsoft YaHei" w:hAnsi="Microsoft YaHei"/>
          <w:color w:val="222222"/>
          <w:sz w:val="21"/>
          <w:szCs w:val="21"/>
        </w:rPr>
        <w:t xml:space="preserve">网络级需求调度与水力容量管理，NeuroFlo协调全网闸门实现反馈+前馈控制</w:t>
      </w:r>
    </w:p>
    <w:p>
      <w:pPr>
        <w:spacing w:before="40" w:after="0"/>
      </w:pPr>
    </w:p>
    <w:p>
      <w:pPr>
        <w:pStyle w:val="Heading3"/>
        <w:spacing w:before="200" w:after="100"/>
      </w:pPr>
      <w:r>
        <w:rPr>
          <w:rFonts w:ascii="Microsoft YaHei" w:cs="Microsoft YaHei" w:eastAsia="Microsoft YaHei" w:hAnsi="Microsoft YaHei"/>
          <w:b/>
          <w:bCs/>
          <w:color w:val="1B3A5C"/>
          <w:sz w:val="22"/>
          <w:szCs w:val="22"/>
        </w:rPr>
        <w:t xml:space="preserve">已知技术局限</w:t>
      </w:r>
    </w:p>
    <w:p>
      <w:pPr>
        <w:pStyle w:val="ListParagraph"/>
        <w:numPr>
          <w:ilvl w:val="0"/>
          <w:numId w:val="2"/>
        </w:numPr>
        <w:spacing w:before="40" w:after="40" w:line="340"/>
      </w:pPr>
      <w:r>
        <w:rPr>
          <w:rFonts w:ascii="Microsoft YaHei" w:cs="Microsoft YaHei" w:eastAsia="Microsoft YaHei" w:hAnsi="Microsoft YaHei"/>
          <w:b/>
          <w:bCs/>
          <w:color w:val="222222"/>
          <w:sz w:val="21"/>
          <w:szCs w:val="21"/>
        </w:rPr>
        <w:t xml:space="preserve">瞬态流量峰值放大：</w:t>
      </w:r>
      <w:r>
        <w:rPr>
          <w:rFonts w:ascii="Microsoft YaHei" w:cs="Microsoft YaHei" w:eastAsia="Microsoft YaHei" w:hAnsi="Microsoft YaHei"/>
          <w:color w:val="222222"/>
          <w:sz w:val="21"/>
          <w:szCs w:val="21"/>
        </w:rPr>
        <w:t xml:space="preserve">负荷变化向上游传播时在每个闸门处放大，纯反应式模式下尤为严重</w:t>
      </w:r>
    </w:p>
    <w:p>
      <w:pPr>
        <w:pStyle w:val="ListParagraph"/>
        <w:numPr>
          <w:ilvl w:val="0"/>
          <w:numId w:val="2"/>
        </w:numPr>
        <w:spacing w:before="40" w:after="40" w:line="340"/>
      </w:pPr>
      <w:r>
        <w:rPr>
          <w:rFonts w:ascii="Microsoft YaHei" w:cs="Microsoft YaHei" w:eastAsia="Microsoft YaHei" w:hAnsi="Microsoft YaHei"/>
          <w:b/>
          <w:bCs/>
          <w:color w:val="222222"/>
          <w:sz w:val="21"/>
          <w:szCs w:val="21"/>
        </w:rPr>
        <w:t xml:space="preserve">长低蓄池段抗饱和不足：</w:t>
      </w:r>
      <w:r>
        <w:rPr>
          <w:rFonts w:ascii="Microsoft YaHei" w:cs="Microsoft YaHei" w:eastAsia="Microsoft YaHei" w:hAnsi="Microsoft YaHei"/>
          <w:color w:val="222222"/>
          <w:sz w:val="21"/>
          <w:szCs w:val="21"/>
        </w:rPr>
        <w:t xml:space="preserve">&gt;5km长池段中执行器饱和可触发级联故障</w:t>
      </w:r>
    </w:p>
    <w:p>
      <w:pPr>
        <w:pStyle w:val="ListParagraph"/>
        <w:numPr>
          <w:ilvl w:val="0"/>
          <w:numId w:val="2"/>
        </w:numPr>
        <w:spacing w:before="40" w:after="40" w:line="340"/>
      </w:pPr>
      <w:r>
        <w:rPr>
          <w:rFonts w:ascii="Microsoft YaHei" w:cs="Microsoft YaHei" w:eastAsia="Microsoft YaHei" w:hAnsi="Microsoft YaHei"/>
          <w:b/>
          <w:bCs/>
          <w:color w:val="222222"/>
          <w:sz w:val="21"/>
          <w:szCs w:val="21"/>
        </w:rPr>
        <w:t xml:space="preserve">现场特定调优需求：</w:t>
      </w:r>
      <w:r>
        <w:rPr>
          <w:rFonts w:ascii="Microsoft YaHei" w:cs="Microsoft YaHei" w:eastAsia="Microsoft YaHei" w:hAnsi="Microsoft YaHei"/>
          <w:color w:val="222222"/>
          <w:sz w:val="21"/>
          <w:szCs w:val="21"/>
        </w:rPr>
        <w:t xml:space="preserve">每个池段需要基于现场的系统辨识和模型校准，部署劳动密集、成本高昂</w:t>
      </w:r>
    </w:p>
    <w:p>
      <w:pPr>
        <w:pStyle w:val="ListParagraph"/>
        <w:numPr>
          <w:ilvl w:val="0"/>
          <w:numId w:val="2"/>
        </w:numPr>
        <w:spacing w:before="40" w:after="40" w:line="340"/>
      </w:pPr>
      <w:r>
        <w:rPr>
          <w:rFonts w:ascii="Microsoft YaHei" w:cs="Microsoft YaHei" w:eastAsia="Microsoft YaHei" w:hAnsi="Microsoft YaHei"/>
          <w:b/>
          <w:bCs/>
          <w:color w:val="222222"/>
          <w:sz w:val="21"/>
          <w:szCs w:val="21"/>
        </w:rPr>
        <w:t xml:space="preserve">专有锁定：</w:t>
      </w:r>
      <w:r>
        <w:rPr>
          <w:rFonts w:ascii="Microsoft YaHei" w:cs="Microsoft YaHei" w:eastAsia="Microsoft YaHei" w:hAnsi="Microsoft YaHei"/>
          <w:color w:val="222222"/>
          <w:sz w:val="21"/>
          <w:szCs w:val="21"/>
        </w:rPr>
        <w:t xml:space="preserve">NeuroFlo仅在Rubicon硬件上运行，所有软件按许可协议不可转让，形成深度厂商锁定</w:t>
      </w:r>
    </w:p>
    <w:p>
      <w:pPr>
        <w:spacing w:before="60" w:after="0"/>
      </w:pPr>
    </w:p>
    <w:p>
      <w:pPr>
        <w:pStyle w:val="Heading2"/>
        <w:spacing w:before="300" w:after="150"/>
      </w:pPr>
      <w:r>
        <w:rPr>
          <w:rFonts w:ascii="Microsoft YaHei" w:cs="Microsoft YaHei" w:eastAsia="Microsoft YaHei" w:hAnsi="Microsoft YaHei"/>
          <w:b/>
          <w:bCs/>
          <w:color w:val="2E75B6"/>
          <w:sz w:val="26"/>
          <w:szCs w:val="26"/>
        </w:rPr>
        <w:t xml:space="preserve">2.5 Rubicon中国战略：失败与重组</w:t>
      </w:r>
    </w:p>
    <w:p>
      <w:pPr>
        <w:spacing w:before="80" w:after="80" w:line="360"/>
        <w:jc w:val="both"/>
      </w:pPr>
      <w:r>
        <w:rPr>
          <w:rFonts w:ascii="Microsoft YaHei" w:cs="Microsoft YaHei" w:eastAsia="Microsoft YaHei" w:hAnsi="Microsoft YaHei"/>
          <w:color w:val="222222"/>
          <w:sz w:val="21"/>
          <w:szCs w:val="21"/>
        </w:rPr>
        <w:t xml:space="preserve">Rubicon于2009年进入中国市场，与清华大学和甘肃水投成立合资企业，在兰州建立FlumeGate组装厂，在昌马灌区（4,900公顷）完成了成功的3年试点项目。合资企业曾宣布潜在2亿澳元管道的甘肃“铲子就绪”项目。</w:t>
      </w:r>
    </w:p>
    <w:p>
      <w:pPr>
        <w:spacing w:before="80" w:after="80" w:line="360"/>
        <w:jc w:val="both"/>
      </w:pPr>
      <w:r>
        <w:rPr>
          <w:rFonts w:ascii="Microsoft YaHei" w:cs="Microsoft YaHei" w:eastAsia="Microsoft YaHei" w:hAnsi="Microsoft YaHei"/>
          <w:color w:val="222222"/>
          <w:sz w:val="21"/>
          <w:szCs w:val="21"/>
        </w:rPr>
        <w:t xml:space="preserve">然而，合作伙伴关系因紧张关系于2024-25年解散，导致260万澳元减值计提。Rubicon现正与新合作伙伴（“新华大学科技园和Glossing Runs”）重组中国业务，但亚洲收入“连续第二年令人失望”。这次重组创造了HydroOS进入市场的战略窗口。</w:t>
      </w:r>
    </w:p>
    <w:p>
      <w:pPr>
        <w:pStyle w:val="Heading1"/>
        <w:pageBreakBefore/>
        <w:spacing w:before="400" w:after="200"/>
      </w:pPr>
      <w:r>
        <w:rPr>
          <w:rFonts w:ascii="Microsoft YaHei" w:cs="Microsoft YaHei" w:eastAsia="Microsoft YaHei" w:hAnsi="Microsoft YaHei"/>
          <w:b/>
          <w:bCs/>
          <w:color w:val="1B3A5C"/>
          <w:sz w:val="32"/>
          <w:szCs w:val="32"/>
        </w:rPr>
        <w:t xml:space="preserve">三、中国灌区市场：7万亿投资遇到根本性自动化缺口</w:t>
      </w:r>
    </w:p>
    <w:p>
      <w:pPr>
        <w:pStyle w:val="Heading2"/>
        <w:spacing w:before="300" w:after="150"/>
      </w:pPr>
      <w:r>
        <w:rPr>
          <w:rFonts w:ascii="Microsoft YaHei" w:cs="Microsoft YaHei" w:eastAsia="Microsoft YaHei" w:hAnsi="Microsoft YaHei"/>
          <w:b/>
          <w:bCs/>
          <w:color w:val="2E75B6"/>
          <w:sz w:val="26"/>
          <w:szCs w:val="26"/>
        </w:rPr>
        <w:t xml:space="preserve">3.1 市场规模与效率差距</w:t>
      </w:r>
    </w:p>
    <w:p>
      <w:pPr>
        <w:spacing w:before="80" w:after="80" w:line="360"/>
        <w:jc w:val="both"/>
      </w:pPr>
      <w:r>
        <w:rPr>
          <w:rFonts w:ascii="Microsoft YaHei" w:cs="Microsoft YaHei" w:eastAsia="Microsoft YaHei" w:hAnsi="Microsoft YaHei"/>
          <w:color w:val="222222"/>
          <w:sz w:val="21"/>
          <w:szCs w:val="21"/>
        </w:rPr>
        <w:t xml:space="preserve">中国拥有462个大型灌区和7,000余个中型灌区，承担全国约50%的粮食产出任务。2023年全国灌溉水有效利用系数达到0.58（大型灌区历史上仅0.397），仍远低于发达国家0.7-0.8的水平，更远低于Rubicon在澳大利亚GMW项目实证的0.90+。农业用水占总用水量的62.2%，但仅13.5%灌溉面积使用高效滴灌/喷灌技术。</w:t>
      </w:r>
    </w:p>
    <w:p>
      <w:pPr>
        <w:spacing w:before="40" w:after="0"/>
      </w:pPr>
    </w:p>
    <w:p>
      <w:pPr>
        <w:pStyle w:val="Heading2"/>
        <w:spacing w:before="300" w:after="150"/>
      </w:pPr>
      <w:r>
        <w:rPr>
          <w:rFonts w:ascii="Microsoft YaHei" w:cs="Microsoft YaHei" w:eastAsia="Microsoft YaHei" w:hAnsi="Microsoft YaHei"/>
          <w:b/>
          <w:bCs/>
          <w:color w:val="2E75B6"/>
          <w:sz w:val="26"/>
          <w:szCs w:val="26"/>
        </w:rPr>
        <w:t xml:space="preserve">3.2 投资规模与政策驱动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26"/>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18"/>
                <w:szCs w:val="18"/>
              </w:rPr>
              <w:t xml:space="preserve">规划期</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18"/>
                <w:szCs w:val="18"/>
              </w:rPr>
              <w:t xml:space="preserve">投资规模</w:t>
            </w:r>
          </w:p>
        </w:tc>
        <w:tc>
          <w:tcPr>
            <w:tcW w:type="dxa" w:w="33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18"/>
                <w:szCs w:val="18"/>
              </w:rPr>
              <w:t xml:space="preserve">核心目标</w:t>
            </w:r>
          </w:p>
        </w:tc>
      </w:tr>
      <w:tr>
        <w:tc>
          <w:tcPr>
            <w:tcW w:type="dxa" w:w="25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val="false"/>
                <w:bCs w:val="false"/>
                <w:color w:val="222222"/>
                <w:sz w:val="18"/>
                <w:szCs w:val="18"/>
              </w:rPr>
              <w:t xml:space="preserve">十四五（2021-2025）</w:t>
            </w:r>
          </w:p>
        </w:tc>
        <w:tc>
          <w:tcPr>
            <w:tcW w:type="dxa" w:w="3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超5.4万亿元</w:t>
            </w:r>
          </w:p>
        </w:tc>
        <w:tc>
          <w:tcPr>
            <w:tcW w:type="dxa" w:w="33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水利基础设施全面升级</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val="false"/>
                <w:bCs w:val="false"/>
                <w:color w:val="222222"/>
                <w:sz w:val="18"/>
                <w:szCs w:val="18"/>
              </w:rPr>
              <w:t xml:space="preserve">2024年年度投资</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1.35万亿元</w:t>
            </w:r>
          </w:p>
        </w:tc>
        <w:tc>
          <w:tcPr>
            <w:tcW w:type="dxa" w:w="3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历史新高</w:t>
            </w:r>
          </w:p>
        </w:tc>
      </w:tr>
      <w:tr>
        <w:tc>
          <w:tcPr>
            <w:tcW w:type="dxa" w:w="25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val="false"/>
                <w:bCs w:val="false"/>
                <w:color w:val="222222"/>
                <w:sz w:val="18"/>
                <w:szCs w:val="18"/>
              </w:rPr>
              <w:t xml:space="preserve">十五五（2026-2030）</w:t>
            </w:r>
          </w:p>
        </w:tc>
        <w:tc>
          <w:tcPr>
            <w:tcW w:type="dxa" w:w="3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预计超7万亿元</w:t>
            </w:r>
          </w:p>
        </w:tc>
        <w:tc>
          <w:tcPr>
            <w:tcW w:type="dxa" w:w="33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560个大型灌区改造+300个智慧灌区</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val="false"/>
                <w:bCs w:val="false"/>
                <w:color w:val="222222"/>
                <w:sz w:val="18"/>
                <w:szCs w:val="18"/>
              </w:rPr>
              <w:t xml:space="preserve">数字孪生灌区试点</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49个</w:t>
            </w:r>
          </w:p>
        </w:tc>
        <w:tc>
          <w:tcPr>
            <w:tcW w:type="dxa" w:w="3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投资完成率&gt;40%</w:t>
            </w:r>
          </w:p>
        </w:tc>
      </w:tr>
      <w:tr>
        <w:tc>
          <w:tcPr>
            <w:tcW w:type="dxa" w:w="25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val="false"/>
                <w:bCs w:val="false"/>
                <w:color w:val="222222"/>
                <w:sz w:val="18"/>
                <w:szCs w:val="18"/>
              </w:rPr>
              <w:t xml:space="preserve">超长期特别国债</w:t>
            </w:r>
          </w:p>
        </w:tc>
        <w:tc>
          <w:tcPr>
            <w:tcW w:type="dxa" w:w="3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持续增长</w:t>
            </w:r>
          </w:p>
        </w:tc>
        <w:tc>
          <w:tcPr>
            <w:tcW w:type="dxa" w:w="33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重大水利项目专项</w:t>
            </w:r>
          </w:p>
        </w:tc>
      </w:tr>
    </w:tbl>
    <w:p>
      <w:pPr>
        <w:spacing w:before="40" w:after="0"/>
      </w:pPr>
    </w:p>
    <w:p>
      <w:pPr>
        <w:spacing w:before="80" w:after="80" w:line="360"/>
        <w:jc w:val="both"/>
      </w:pPr>
      <w:r>
        <w:rPr>
          <w:rFonts w:ascii="Microsoft YaHei" w:cs="Microsoft YaHei" w:eastAsia="Microsoft YaHei" w:hAnsi="Microsoft YaHei"/>
          <w:color w:val="222222"/>
          <w:sz w:val="21"/>
          <w:szCs w:val="21"/>
        </w:rPr>
        <w:t xml:space="preserve">水利部已启动49个数字孪生灌区试点项目，发布13个数字孪生建设推荐模型，建立“四预”框架（预报、预警、预演、预案）。数字孪生水利、智慧水利、节水灌溉三大政策生态系统的交汇，为HydroOS类自主控制技术创造了强制性需求。</w:t>
      </w:r>
    </w:p>
    <w:p>
      <w:pPr>
        <w:spacing w:before="60" w:after="0"/>
      </w:pPr>
    </w:p>
    <w:p>
      <w:pPr>
        <w:pStyle w:val="Heading2"/>
        <w:spacing w:before="300" w:after="150"/>
      </w:pPr>
      <w:r>
        <w:rPr>
          <w:rFonts w:ascii="Microsoft YaHei" w:cs="Microsoft YaHei" w:eastAsia="Microsoft YaHei" w:hAnsi="Microsoft YaHei"/>
          <w:b/>
          <w:bCs/>
          <w:color w:val="2E75B6"/>
          <w:sz w:val="26"/>
          <w:szCs w:val="26"/>
        </w:rPr>
        <w:t xml:space="preserve">3.3 国内竞争格局：有遥控器，无自主大脑</w:t>
      </w:r>
    </w:p>
    <w:p>
      <w:pPr>
        <w:spacing w:before="80" w:after="80" w:line="360"/>
        <w:jc w:val="both"/>
      </w:pPr>
      <w:r>
        <w:rPr>
          <w:rFonts w:ascii="Microsoft YaHei" w:cs="Microsoft YaHei" w:eastAsia="Microsoft YaHei" w:hAnsi="Microsoft YaHei"/>
          <w:color w:val="222222"/>
          <w:sz w:val="21"/>
          <w:szCs w:val="21"/>
        </w:rPr>
        <w:t xml:space="preserve">中国灌溉自动化市场分散于数十家制造商，生产“测控一体化闸门”，但无一提供自主网络级渠道控制：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26"/>
        <w:gridCol w:w="300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18"/>
                <w:szCs w:val="18"/>
              </w:rPr>
              <w:t xml:space="preserve">企业</w:t>
            </w:r>
          </w:p>
        </w:tc>
        <w:tc>
          <w:tcPr>
            <w:tcW w:type="dxa" w:w="38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18"/>
                <w:szCs w:val="18"/>
              </w:rPr>
              <w:t xml:space="preserve">核心能力</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18"/>
                <w:szCs w:val="18"/>
              </w:rPr>
              <w:t xml:space="preserve">控制智能水平</w:t>
            </w:r>
          </w:p>
        </w:tc>
      </w:tr>
      <w:tr>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val="false"/>
                <w:bCs w:val="false"/>
                <w:color w:val="222222"/>
                <w:sz w:val="18"/>
                <w:szCs w:val="18"/>
              </w:rPr>
              <w:t xml:space="preserve">唐山平升电子</w:t>
            </w:r>
          </w:p>
        </w:tc>
        <w:tc>
          <w:tcPr>
            <w:tcW w:type="dxa" w:w="38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RTU终端和监控设备</w:t>
            </w:r>
          </w:p>
        </w:tc>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远程监控/SCADA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val="false"/>
                <w:bCs w:val="false"/>
                <w:color w:val="222222"/>
                <w:sz w:val="18"/>
                <w:szCs w:val="18"/>
              </w:rPr>
              <w:t xml:space="preserve">厦门四信</w:t>
            </w:r>
          </w:p>
        </w:tc>
        <w:tc>
          <w:tcPr>
            <w:tcW w:type="dxa" w:w="3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4G/5G/NB-IoT物联网闸门</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远程控制+基础自动</w:t>
            </w:r>
          </w:p>
        </w:tc>
      </w:tr>
      <w:tr>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bCs/>
                <w:color w:val="222222"/>
                <w:sz w:val="18"/>
                <w:szCs w:val="18"/>
              </w:rPr>
              <w:t xml:space="preserve">山东欧标</w:t>
            </w:r>
          </w:p>
        </w:tc>
        <w:tc>
          <w:tcPr>
            <w:tcW w:type="dxa" w:w="38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航空级铝闸门，±0.5mm精度</w:t>
            </w:r>
          </w:p>
        </w:tc>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单闸PID/阈值控制</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bCs/>
                <w:color w:val="2E75B6"/>
                <w:sz w:val="18"/>
                <w:szCs w:val="18"/>
              </w:rPr>
              <w:t xml:space="preserve">HydroOS定位</w:t>
            </w:r>
          </w:p>
        </w:tc>
        <w:tc>
          <w:tcPr>
            <w:tcW w:type="dxa" w:w="3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bCs/>
                <w:color w:val="2E75B6"/>
                <w:sz w:val="18"/>
                <w:szCs w:val="18"/>
              </w:rPr>
              <w:t xml:space="preserve">自主网络级渠道控制</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bCs/>
                <w:color w:val="2E75B6"/>
                <w:sz w:val="18"/>
                <w:szCs w:val="18"/>
              </w:rPr>
              <w:t xml:space="preserve">分布式AI+数字孪生</w:t>
            </w:r>
          </w:p>
        </w:tc>
      </w:tr>
    </w:tbl>
    <w:p>
      <w:pPr>
        <w:spacing w:before="40" w:after="0"/>
      </w:pPr>
    </w:p>
    <w:p>
      <w:pPr>
        <w:spacing w:before="80" w:after="80" w:line="360"/>
        <w:jc w:val="both"/>
      </w:pPr>
      <w:r>
        <w:rPr>
          <w:rFonts w:ascii="Microsoft YaHei" w:cs="Microsoft YaHei" w:eastAsia="Microsoft YaHei" w:hAnsi="Microsoft YaHei"/>
          <w:color w:val="222222"/>
          <w:sz w:val="21"/>
          <w:szCs w:val="21"/>
        </w:rPr>
        <w:t xml:space="preserve">关键差距在于：中国企业产品仅提供远程监控、手动远程控制、单闸设定点PID或阈值自动控制、基本定时操作。无中国企业商业部署自主多闸协同渠道控制。学术研究（模糊PID、PSO优化模糊PID、MPC）仍处于实验阶段。灌区运行仍以供给驱动的计划轮灌为主，而非按需配水。这正是HydroOS必须填补的空白。</w:t>
      </w:r>
    </w:p>
    <w:p>
      <w:pPr>
        <w:pStyle w:val="Heading1"/>
        <w:pageBreakBefore/>
        <w:spacing w:before="400" w:after="200"/>
      </w:pPr>
      <w:r>
        <w:rPr>
          <w:rFonts w:ascii="Microsoft YaHei" w:cs="Microsoft YaHei" w:eastAsia="Microsoft YaHei" w:hAnsi="Microsoft YaHei"/>
          <w:b/>
          <w:bCs/>
          <w:color w:val="1B3A5C"/>
          <w:sz w:val="32"/>
          <w:szCs w:val="32"/>
        </w:rPr>
        <w:t xml:space="preserve">四、全成本对比分析：72%成本优势</w:t>
      </w:r>
    </w:p>
    <w:p>
      <w:pPr>
        <w:spacing w:before="80" w:after="80" w:line="360"/>
        <w:jc w:val="both"/>
      </w:pPr>
      <w:r>
        <w:rPr>
          <w:rFonts w:ascii="Microsoft YaHei" w:cs="Microsoft YaHei" w:eastAsia="Microsoft YaHei" w:hAnsi="Microsoft YaHei"/>
          <w:color w:val="222222"/>
          <w:sz w:val="21"/>
          <w:szCs w:val="21"/>
        </w:rPr>
        <w:t xml:space="preserve">以代表性中型灌区（30公里主渠、35个自动化闸门）为基准，对三种方案进行全面成本对比：</w:t>
      </w:r>
    </w:p>
    <w:p>
      <w:pPr>
        <w:spacing w:before="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426"/>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18"/>
                <w:szCs w:val="18"/>
              </w:rPr>
              <w:t xml:space="preserve">对比指标</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18"/>
                <w:szCs w:val="18"/>
              </w:rPr>
              <w:t xml:space="preserve">Rubicon TCC</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18"/>
                <w:szCs w:val="18"/>
              </w:rPr>
              <w:t xml:space="preserve">国产基础（遥控）</w:t>
            </w:r>
          </w:p>
        </w:tc>
        <w:tc>
          <w:tcPr>
            <w:tcW w:type="dxa" w:w="24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18"/>
                <w:szCs w:val="18"/>
              </w:rPr>
              <w:t xml:space="preserve">国产闸门+HydroOS</w:t>
            </w:r>
          </w:p>
        </w:tc>
      </w:tr>
      <w:tr>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val="false"/>
                <w:bCs w:val="false"/>
                <w:color w:val="222222"/>
                <w:sz w:val="18"/>
                <w:szCs w:val="18"/>
              </w:rPr>
              <w:t xml:space="preserve">典型CAPEX</w:t>
            </w:r>
          </w:p>
        </w:tc>
        <w:tc>
          <w:tcPr>
            <w:tcW w:type="dxa" w:w="2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~$280万</w:t>
            </w:r>
          </w:p>
        </w:tc>
        <w:tc>
          <w:tcPr>
            <w:tcW w:type="dxa" w:w="2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~$48万</w:t>
            </w:r>
          </w:p>
        </w:tc>
        <w:tc>
          <w:tcPr>
            <w:tcW w:type="dxa" w:w="24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bCs/>
                <w:color w:val="222222"/>
                <w:sz w:val="18"/>
                <w:szCs w:val="18"/>
              </w:rPr>
              <w:t xml:space="preserve">~$78万</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val="false"/>
                <w:bCs w:val="false"/>
                <w:color w:val="222222"/>
                <w:sz w:val="18"/>
                <w:szCs w:val="18"/>
              </w:rPr>
              <w:t xml:space="preserve">10年TCO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~$460万</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~$75万</w:t>
            </w:r>
          </w:p>
        </w:tc>
        <w:tc>
          <w:tcPr>
            <w:tcW w:type="dxa" w:w="2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bCs/>
                <w:color w:val="222222"/>
                <w:sz w:val="18"/>
                <w:szCs w:val="18"/>
              </w:rPr>
              <w:t xml:space="preserve">~$120万</w:t>
            </w:r>
          </w:p>
        </w:tc>
      </w:tr>
      <w:tr>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val="false"/>
                <w:bCs w:val="false"/>
                <w:color w:val="222222"/>
                <w:sz w:val="18"/>
                <w:szCs w:val="18"/>
              </w:rPr>
              <w:t xml:space="preserve">每闸成本（已安装）</w:t>
            </w:r>
          </w:p>
        </w:tc>
        <w:tc>
          <w:tcPr>
            <w:tcW w:type="dxa" w:w="2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$4.7-11.7万</w:t>
            </w:r>
          </w:p>
        </w:tc>
        <w:tc>
          <w:tcPr>
            <w:tcW w:type="dxa" w:w="2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$0.42-1.12万</w:t>
            </w:r>
          </w:p>
        </w:tc>
        <w:tc>
          <w:tcPr>
            <w:tcW w:type="dxa" w:w="24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bCs/>
                <w:color w:val="222222"/>
                <w:sz w:val="18"/>
                <w:szCs w:val="18"/>
              </w:rPr>
              <w:t xml:space="preserve">$1.3-3.3万</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val="false"/>
                <w:bCs w:val="false"/>
                <w:color w:val="222222"/>
                <w:sz w:val="18"/>
                <w:szCs w:val="18"/>
              </w:rPr>
              <w:t xml:space="preserve">每公里渠道成本</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~$9.3万</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~$1.6万</w:t>
            </w:r>
          </w:p>
        </w:tc>
        <w:tc>
          <w:tcPr>
            <w:tcW w:type="dxa" w:w="2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bCs/>
                <w:color w:val="222222"/>
                <w:sz w:val="18"/>
                <w:szCs w:val="18"/>
              </w:rPr>
              <w:t xml:space="preserve">~$2.6万</w:t>
            </w:r>
          </w:p>
        </w:tc>
      </w:tr>
      <w:tr>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val="false"/>
                <w:bCs w:val="false"/>
                <w:color w:val="222222"/>
                <w:sz w:val="18"/>
                <w:szCs w:val="18"/>
              </w:rPr>
              <w:t xml:space="preserve">相对Rubicon成本比</w:t>
            </w:r>
          </w:p>
        </w:tc>
        <w:tc>
          <w:tcPr>
            <w:tcW w:type="dxa" w:w="2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1.0×</w:t>
            </w:r>
          </w:p>
        </w:tc>
        <w:tc>
          <w:tcPr>
            <w:tcW w:type="dxa" w:w="2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0.17×</w:t>
            </w:r>
          </w:p>
        </w:tc>
        <w:tc>
          <w:tcPr>
            <w:tcW w:type="dxa" w:w="24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bCs/>
                <w:color w:val="CC0000"/>
                <w:sz w:val="18"/>
                <w:szCs w:val="18"/>
              </w:rPr>
              <w:t xml:space="preserve">0.28×</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val="false"/>
                <w:bCs w:val="false"/>
                <w:color w:val="222222"/>
                <w:sz w:val="18"/>
                <w:szCs w:val="18"/>
              </w:rPr>
              <w:t xml:space="preserve">流量测量精度</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±2.5%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±5-8%</w:t>
            </w:r>
          </w:p>
        </w:tc>
        <w:tc>
          <w:tcPr>
            <w:tcW w:type="dxa" w:w="2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bCs/>
                <w:color w:val="222222"/>
                <w:sz w:val="18"/>
                <w:szCs w:val="18"/>
              </w:rPr>
              <w:t xml:space="preserve">±3-5%</w:t>
            </w:r>
          </w:p>
        </w:tc>
      </w:tr>
      <w:tr>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val="false"/>
                <w:bCs w:val="false"/>
                <w:color w:val="222222"/>
                <w:sz w:val="18"/>
                <w:szCs w:val="18"/>
              </w:rPr>
              <w:t xml:space="preserve">自主网络控制</w:t>
            </w:r>
          </w:p>
        </w:tc>
        <w:tc>
          <w:tcPr>
            <w:tcW w:type="dxa" w:w="2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是（NeuroFlo）</w:t>
            </w:r>
          </w:p>
        </w:tc>
        <w:tc>
          <w:tcPr>
            <w:tcW w:type="dxa" w:w="2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否</w:t>
            </w:r>
          </w:p>
        </w:tc>
        <w:tc>
          <w:tcPr>
            <w:tcW w:type="dxa" w:w="24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bCs/>
                <w:color w:val="2E75B6"/>
                <w:sz w:val="18"/>
                <w:szCs w:val="18"/>
              </w:rPr>
              <w:t xml:space="preserve">是（分布式边缘+数字孪生）</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val="false"/>
                <w:bCs w:val="false"/>
                <w:color w:val="222222"/>
                <w:sz w:val="18"/>
                <w:szCs w:val="18"/>
              </w:rPr>
              <w:t xml:space="preserve">供应商锁定</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高（专有）</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低</w:t>
            </w:r>
          </w:p>
        </w:tc>
        <w:tc>
          <w:tcPr>
            <w:tcW w:type="dxa" w:w="2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bCs/>
                <w:color w:val="222222"/>
                <w:sz w:val="18"/>
                <w:szCs w:val="18"/>
              </w:rPr>
              <w:t xml:space="preserve">低（开放架构）</w:t>
            </w:r>
          </w:p>
        </w:tc>
      </w:tr>
    </w:tbl>
    <w:p>
      <w:pPr>
        <w:spacing w:before="60" w:after="0"/>
      </w:pPr>
    </w:p>
    <w:p>
      <w:pPr>
        <w:pStyle w:val="Heading2"/>
        <w:spacing w:before="300" w:after="150"/>
      </w:pPr>
      <w:r>
        <w:rPr>
          <w:rFonts w:ascii="Microsoft YaHei" w:cs="Microsoft YaHei" w:eastAsia="Microsoft YaHei" w:hAnsi="Microsoft YaHei"/>
          <w:b/>
          <w:bCs/>
          <w:color w:val="2E75B6"/>
          <w:sz w:val="26"/>
          <w:szCs w:val="26"/>
        </w:rPr>
        <w:t xml:space="preserve">4.1 HydroOS边缘计算架构成本解析</w:t>
      </w:r>
    </w:p>
    <w:p>
      <w:pPr>
        <w:spacing w:before="80" w:after="80" w:line="360"/>
        <w:jc w:val="both"/>
      </w:pPr>
      <w:r>
        <w:rPr>
          <w:rFonts w:ascii="Microsoft YaHei" w:cs="Microsoft YaHei" w:eastAsia="Microsoft YaHei" w:hAnsi="Microsoft YaHei"/>
          <w:color w:val="222222"/>
          <w:sz w:val="21"/>
          <w:szCs w:val="21"/>
        </w:rPr>
        <w:t xml:space="preserve">HydroOS方案在现有国产智能闸门上叠加支持Docker的ARM边缘网关（$128-500/单元，增加3-10W太阳能负载），创建与运行水力模型和优化算法的中央数字孪生平台通信的分布式智能网络。</w:t>
      </w:r>
    </w:p>
    <w:p>
      <w:pPr>
        <w:spacing w:before="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26"/>
        <w:gridCol w:w="300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18"/>
                <w:szCs w:val="18"/>
              </w:rPr>
              <w:t xml:space="preserve">成本项</w:t>
            </w:r>
          </w:p>
        </w:tc>
        <w:tc>
          <w:tcPr>
            <w:tcW w:type="dxa" w:w="25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18"/>
                <w:szCs w:val="18"/>
              </w:rPr>
              <w:t xml:space="preserve">单价区间</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18"/>
                <w:szCs w:val="18"/>
              </w:rPr>
              <w:t xml:space="preserve">35闸系统合计</w:t>
            </w:r>
          </w:p>
        </w:tc>
      </w:tr>
      <w:tr>
        <w:tc>
          <w:tcPr>
            <w:tcW w:type="dxa" w:w="35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val="false"/>
                <w:bCs w:val="false"/>
                <w:color w:val="222222"/>
                <w:sz w:val="18"/>
                <w:szCs w:val="18"/>
              </w:rPr>
              <w:t xml:space="preserve">边缘网关硬件</w:t>
            </w:r>
          </w:p>
        </w:tc>
        <w:tc>
          <w:tcPr>
            <w:tcW w:type="dxa" w:w="25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$128-500/台</w:t>
            </w:r>
          </w:p>
        </w:tc>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$4,500-17,500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val="false"/>
                <w:bCs w:val="false"/>
                <w:color w:val="222222"/>
                <w:sz w:val="18"/>
                <w:szCs w:val="18"/>
              </w:rPr>
              <w:t xml:space="preserve">太阳能面板升级</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$80-200/台</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$2,800-7,000</w:t>
            </w:r>
          </w:p>
        </w:tc>
      </w:tr>
      <w:tr>
        <w:tc>
          <w:tcPr>
            <w:tcW w:type="dxa" w:w="35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val="false"/>
                <w:bCs w:val="false"/>
                <w:color w:val="222222"/>
                <w:sz w:val="18"/>
                <w:szCs w:val="18"/>
              </w:rPr>
              <w:t xml:space="preserve">电池扩展</w:t>
            </w:r>
          </w:p>
        </w:tc>
        <w:tc>
          <w:tcPr>
            <w:tcW w:type="dxa" w:w="25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$50-150/台</w:t>
            </w:r>
          </w:p>
        </w:tc>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$1,750-5,250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val="false"/>
                <w:bCs w:val="false"/>
                <w:color w:val="222222"/>
                <w:sz w:val="18"/>
                <w:szCs w:val="18"/>
              </w:rPr>
              <w:t xml:space="preserve">工业外壳+安装</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$220-280/台</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$7,700-9,800</w:t>
            </w:r>
          </w:p>
        </w:tc>
      </w:tr>
      <w:tr>
        <w:tc>
          <w:tcPr>
            <w:tcW w:type="dxa" w:w="35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bCs/>
                <w:color w:val="222222"/>
                <w:sz w:val="18"/>
                <w:szCs w:val="18"/>
              </w:rPr>
              <w:t xml:space="preserve">边缘硬件小计</w:t>
            </w:r>
          </w:p>
        </w:tc>
        <w:tc>
          <w:tcPr>
            <w:tcW w:type="dxa" w:w="25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bCs/>
                <w:color w:val="222222"/>
                <w:sz w:val="18"/>
                <w:szCs w:val="18"/>
              </w:rPr>
              <w:t xml:space="preserve">$480-1,130/闸</w:t>
            </w:r>
          </w:p>
        </w:tc>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bCs/>
                <w:color w:val="222222"/>
                <w:sz w:val="18"/>
                <w:szCs w:val="18"/>
              </w:rPr>
              <w:t xml:space="preserve">$16,800-39,550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val="false"/>
                <w:bCs w:val="false"/>
                <w:color w:val="222222"/>
                <w:sz w:val="18"/>
                <w:szCs w:val="18"/>
              </w:rPr>
              <w:t xml:space="preserve">软件开发（一次性）</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$110,000-270,000</w:t>
            </w:r>
          </w:p>
        </w:tc>
      </w:tr>
      <w:tr>
        <w:tc>
          <w:tcPr>
            <w:tcW w:type="dxa" w:w="35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bCs/>
                <w:color w:val="222222"/>
                <w:sz w:val="18"/>
                <w:szCs w:val="18"/>
              </w:rPr>
              <w:t xml:space="preserve">NeuroFlo年费对标</w:t>
            </w:r>
          </w:p>
        </w:tc>
        <w:tc>
          <w:tcPr>
            <w:tcW w:type="dxa" w:w="25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bCs/>
                <w:color w:val="222222"/>
                <w:sz w:val="18"/>
                <w:szCs w:val="18"/>
              </w:rPr>
              <w:t xml:space="preserve">—</w:t>
            </w:r>
          </w:p>
        </w:tc>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bCs/>
                <w:color w:val="CC0000"/>
                <w:sz w:val="18"/>
                <w:szCs w:val="18"/>
              </w:rPr>
              <w:t xml:space="preserve">$120,000-250,000/年</w:t>
            </w:r>
          </w:p>
        </w:tc>
      </w:tr>
    </w:tbl>
    <w:p>
      <w:pPr>
        <w:spacing w:before="40" w:after="0"/>
      </w:pPr>
    </w:p>
    <w:p>
      <w:pPr>
        <w:spacing w:before="80" w:after="80" w:line="360"/>
        <w:jc w:val="both"/>
      </w:pPr>
      <w:r>
        <w:rPr>
          <w:rFonts w:ascii="Microsoft YaHei" w:cs="Microsoft YaHei" w:eastAsia="Microsoft YaHei" w:hAnsi="Microsoft YaHei"/>
          <w:color w:val="222222"/>
          <w:sz w:val="21"/>
          <w:szCs w:val="21"/>
        </w:rPr>
        <w:t xml:space="preserve">边缘硬件成本仅占总系统成本的2-5%，真正投资在于软件开发，可在多项目部署中快速摊销。采用开源水力引擎（HEC-RAS、EPA SWMM）消除Rubicon专有软件许可负担。</w:t>
      </w:r>
    </w:p>
    <w:p>
      <w:pPr>
        <w:pStyle w:val="Heading1"/>
        <w:pageBreakBefore/>
        <w:spacing w:before="400" w:after="200"/>
      </w:pPr>
      <w:r>
        <w:rPr>
          <w:rFonts w:ascii="Microsoft YaHei" w:cs="Microsoft YaHei" w:eastAsia="Microsoft YaHei" w:hAnsi="Microsoft YaHei"/>
          <w:b/>
          <w:bCs/>
          <w:color w:val="1B3A5C"/>
          <w:sz w:val="32"/>
          <w:szCs w:val="32"/>
        </w:rPr>
        <w:t xml:space="preserve">五、算法优势：水系统控制论（CHS）理论基础</w:t>
      </w:r>
    </w:p>
    <w:p>
      <w:pPr>
        <w:pStyle w:val="Heading2"/>
        <w:spacing w:before="300" w:after="150"/>
      </w:pPr>
      <w:r>
        <w:rPr>
          <w:rFonts w:ascii="Microsoft YaHei" w:cs="Microsoft YaHei" w:eastAsia="Microsoft YaHei" w:hAnsi="Microsoft YaHei"/>
          <w:b/>
          <w:bCs/>
          <w:color w:val="2E75B6"/>
          <w:sz w:val="26"/>
          <w:szCs w:val="26"/>
        </w:rPr>
        <w:t xml:space="preserve">5.1 理论对比：两条根本不同的技术路线</w:t>
      </w:r>
    </w:p>
    <w:p>
      <w:pPr>
        <w:spacing w:before="80" w:after="80" w:line="360"/>
        <w:jc w:val="both"/>
      </w:pPr>
      <w:r>
        <w:rPr>
          <w:rFonts w:ascii="Microsoft YaHei" w:cs="Microsoft YaHei" w:eastAsia="Microsoft YaHei" w:hAnsi="Microsoft YaHei"/>
          <w:color w:val="222222"/>
          <w:sz w:val="21"/>
          <w:szCs w:val="21"/>
        </w:rPr>
        <w:t xml:space="preserve">Rubicon的控制算法基于墨尔本大学20年积累的分布参数传递函数模型和顺序SISO环路整形方法，需要基于Saint-Venant方程对每个池段进行现场系统辨识和模型校准。HydroOS的CHS理论则追求根本不同的算法路径：</w:t>
      </w:r>
    </w:p>
    <w:p>
      <w:pPr>
        <w:spacing w:before="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18"/>
                <w:szCs w:val="18"/>
              </w:rPr>
              <w:t xml:space="preserve">维度</w:t>
            </w:r>
          </w:p>
        </w:tc>
        <w:tc>
          <w:tcPr>
            <w:tcW w:type="dxa" w:w="361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18"/>
                <w:szCs w:val="18"/>
              </w:rPr>
              <w:t xml:space="preserve">Rubicon（墨尔本大学）</w:t>
            </w:r>
          </w:p>
        </w:tc>
        <w:tc>
          <w:tcPr>
            <w:tcW w:type="dxa" w:w="361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18"/>
                <w:szCs w:val="18"/>
              </w:rPr>
              <w:t xml:space="preserve">HydroOS（CHS理论）</w:t>
            </w:r>
          </w:p>
        </w:tc>
      </w:tr>
      <w:tr>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val="false"/>
                <w:bCs w:val="false"/>
                <w:color w:val="222222"/>
                <w:sz w:val="18"/>
                <w:szCs w:val="18"/>
              </w:rPr>
              <w:t xml:space="preserve">建模方法</w:t>
            </w:r>
          </w:p>
        </w:tc>
        <w:tc>
          <w:tcPr>
            <w:tcW w:type="dxa" w:w="3613"/>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分布参数传递函数</w:t>
            </w:r>
          </w:p>
        </w:tc>
        <w:tc>
          <w:tcPr>
            <w:tcW w:type="dxa" w:w="3613"/>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无模型强化学习+多目标MPC</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val="false"/>
                <w:bCs w:val="false"/>
                <w:color w:val="222222"/>
                <w:sz w:val="18"/>
                <w:szCs w:val="18"/>
              </w:rPr>
              <w:t xml:space="preserve">数学基础</w:t>
            </w:r>
          </w:p>
        </w:tc>
        <w:tc>
          <w:tcPr>
            <w:tcW w:type="dxa" w:w="36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Saint-Venant方程线性化</w:t>
            </w:r>
          </w:p>
        </w:tc>
        <w:tc>
          <w:tcPr>
            <w:tcW w:type="dxa" w:w="36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数据驱动+物理信息融合</w:t>
            </w:r>
          </w:p>
        </w:tc>
      </w:tr>
      <w:tr>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val="false"/>
                <w:bCs w:val="false"/>
                <w:color w:val="222222"/>
                <w:sz w:val="18"/>
                <w:szCs w:val="18"/>
              </w:rPr>
              <w:t xml:space="preserve">现场需求</w:t>
            </w:r>
          </w:p>
        </w:tc>
        <w:tc>
          <w:tcPr>
            <w:tcW w:type="dxa" w:w="3613"/>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每段需系统辨识与校准</w:t>
            </w:r>
          </w:p>
        </w:tc>
        <w:tc>
          <w:tcPr>
            <w:tcW w:type="dxa" w:w="3613"/>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交互学习自适应，降低现场需求</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val="false"/>
                <w:bCs w:val="false"/>
                <w:color w:val="222222"/>
                <w:sz w:val="18"/>
                <w:szCs w:val="18"/>
              </w:rPr>
              <w:t xml:space="preserve">专利风险</w:t>
            </w:r>
          </w:p>
        </w:tc>
        <w:tc>
          <w:tcPr>
            <w:tcW w:type="dxa" w:w="36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218项专利，21个司法管辖区</w:t>
            </w:r>
          </w:p>
        </w:tc>
        <w:tc>
          <w:tcPr>
            <w:tcW w:type="dxa" w:w="36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技术路线根本不同，自然绕开</w:t>
            </w:r>
          </w:p>
        </w:tc>
      </w:tr>
      <w:tr>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val="false"/>
                <w:bCs w:val="false"/>
                <w:color w:val="222222"/>
                <w:sz w:val="18"/>
                <w:szCs w:val="18"/>
              </w:rPr>
              <w:t xml:space="preserve">扩展性</w:t>
            </w:r>
          </w:p>
        </w:tc>
        <w:tc>
          <w:tcPr>
            <w:tcW w:type="dxa" w:w="3613"/>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每段独立建模，线性增长</w:t>
            </w:r>
          </w:p>
        </w:tc>
        <w:tc>
          <w:tcPr>
            <w:tcW w:type="dxa" w:w="3613"/>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共享知识迁移，边际成本递减</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val="false"/>
                <w:bCs w:val="false"/>
                <w:color w:val="222222"/>
                <w:sz w:val="18"/>
                <w:szCs w:val="18"/>
              </w:rPr>
              <w:t xml:space="preserve">AI政策契合</w:t>
            </w:r>
          </w:p>
        </w:tc>
        <w:tc>
          <w:tcPr>
            <w:tcW w:type="dxa" w:w="36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传统控制理论</w:t>
            </w:r>
          </w:p>
        </w:tc>
        <w:tc>
          <w:tcPr>
            <w:tcW w:type="dxa" w:w="36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bCs/>
                <w:color w:val="222222"/>
                <w:sz w:val="18"/>
                <w:szCs w:val="18"/>
              </w:rPr>
              <w:t xml:space="preserve">契合“算据算法算力”三大支柱</w:t>
            </w:r>
          </w:p>
        </w:tc>
      </w:tr>
    </w:tbl>
    <w:p>
      <w:pPr>
        <w:spacing w:before="60" w:after="0"/>
      </w:pPr>
    </w:p>
    <w:p>
      <w:pPr>
        <w:pStyle w:val="Heading2"/>
        <w:spacing w:before="300" w:after="150"/>
      </w:pPr>
      <w:r>
        <w:rPr>
          <w:rFonts w:ascii="Microsoft YaHei" w:cs="Microsoft YaHei" w:eastAsia="Microsoft YaHei" w:hAnsi="Microsoft YaHei"/>
          <w:b/>
          <w:bCs/>
          <w:color w:val="2E75B6"/>
          <w:sz w:val="26"/>
          <w:szCs w:val="26"/>
        </w:rPr>
        <w:t xml:space="preserve">5.2 三大战略优势</w:t>
      </w:r>
    </w:p>
    <w:p>
      <w:pPr>
        <w:pStyle w:val="Heading3"/>
        <w:spacing w:before="200" w:after="100"/>
      </w:pPr>
      <w:r>
        <w:rPr>
          <w:rFonts w:ascii="Microsoft YaHei" w:cs="Microsoft YaHei" w:eastAsia="Microsoft YaHei" w:hAnsi="Microsoft YaHei"/>
          <w:b/>
          <w:bCs/>
          <w:color w:val="1B3A5C"/>
          <w:sz w:val="22"/>
          <w:szCs w:val="22"/>
        </w:rPr>
        <w:t xml:space="preserve">优势一：绕开Rubicon专利组合</w:t>
      </w:r>
    </w:p>
    <w:p>
      <w:pPr>
        <w:spacing w:before="80" w:after="80" w:line="360"/>
        <w:jc w:val="both"/>
      </w:pPr>
      <w:r>
        <w:rPr>
          <w:rFonts w:ascii="Microsoft YaHei" w:cs="Microsoft YaHei" w:eastAsia="Microsoft YaHei" w:hAnsi="Microsoft YaHei"/>
          <w:color w:val="222222"/>
          <w:sz w:val="21"/>
          <w:szCs w:val="21"/>
        </w:rPr>
        <w:t xml:space="preserve">Rubicon 218项专利集中于特定基于模型的预测控制架构。CHS理论采用无模型分层强化学习（PARL——策略与动作强化学习，发表于2020年IEEE Transactions on Industrial Informatics）和多目标MPC与遗传算法优化方法，从算法本质上构成不同的技术实现路径，不触及Rubicon专利保护范围。</w:t>
      </w:r>
    </w:p>
    <w:p>
      <w:pPr>
        <w:spacing w:before="40" w:after="0"/>
      </w:pPr>
    </w:p>
    <w:p>
      <w:pPr>
        <w:pStyle w:val="Heading3"/>
        <w:spacing w:before="200" w:after="100"/>
      </w:pPr>
      <w:r>
        <w:rPr>
          <w:rFonts w:ascii="Microsoft YaHei" w:cs="Microsoft YaHei" w:eastAsia="Microsoft YaHei" w:hAnsi="Microsoft YaHei"/>
          <w:b/>
          <w:bCs/>
          <w:color w:val="1B3A5C"/>
          <w:sz w:val="22"/>
          <w:szCs w:val="22"/>
        </w:rPr>
        <w:t xml:space="preserve">优势二：降低现场部署门槛</w:t>
      </w:r>
    </w:p>
    <w:p>
      <w:pPr>
        <w:spacing w:before="80" w:after="80" w:line="360"/>
        <w:jc w:val="both"/>
      </w:pPr>
      <w:r>
        <w:rPr>
          <w:rFonts w:ascii="Microsoft YaHei" w:cs="Microsoft YaHei" w:eastAsia="Microsoft YaHei" w:hAnsi="Microsoft YaHei"/>
          <w:color w:val="222222"/>
          <w:sz w:val="21"/>
          <w:szCs w:val="21"/>
        </w:rPr>
        <w:t xml:space="preserve">Rubicon方法需要对每个池段进行基于Saint-Venant方程的分布参数模型辨识和校准，是部署劳动密集、成本高昂的关键瓶颈。CHS理论的无模型RL方法通过与环境交互自适应学习，潜在大幅减少现场特定系统辨识需求，降低部署门槛，加速规模化推广。</w:t>
      </w:r>
    </w:p>
    <w:p>
      <w:pPr>
        <w:spacing w:before="40" w:after="0"/>
      </w:pPr>
    </w:p>
    <w:p>
      <w:pPr>
        <w:pStyle w:val="Heading3"/>
        <w:spacing w:before="200" w:after="100"/>
      </w:pPr>
      <w:r>
        <w:rPr>
          <w:rFonts w:ascii="Microsoft YaHei" w:cs="Microsoft YaHei" w:eastAsia="Microsoft YaHei" w:hAnsi="Microsoft YaHei"/>
          <w:b/>
          <w:bCs/>
          <w:color w:val="1B3A5C"/>
          <w:sz w:val="22"/>
          <w:szCs w:val="22"/>
        </w:rPr>
        <w:t xml:space="preserve">优势三：SIL/HIL虚拟调试能力</w:t>
      </w:r>
    </w:p>
    <w:p>
      <w:pPr>
        <w:spacing w:before="80" w:after="80" w:line="360"/>
        <w:jc w:val="both"/>
      </w:pPr>
      <w:r>
        <w:rPr>
          <w:rFonts w:ascii="Microsoft YaHei" w:cs="Microsoft YaHei" w:eastAsia="Microsoft YaHei" w:hAnsi="Microsoft YaHei"/>
          <w:color w:val="222222"/>
          <w:sz w:val="21"/>
          <w:szCs w:val="21"/>
        </w:rPr>
        <w:t xml:space="preserve">Rubicon在谢帕顿维护大型水力流测试实验室，但不公开将SIL/HIL作为面向客户的功能营销。HydroOS可提供虚拟调试——在物理部署前针对模拟渠道水力学测试完整控制系统，验证数千场景（干旱、洪水、设备故障、需求激增）而无真实基础设施风险。这直接解决保守灌区管理者的采用阻力，通过在采购决策前展示系统行为降低决策风险。</w:t>
      </w:r>
    </w:p>
    <w:p>
      <w:pPr>
        <w:pStyle w:val="Heading1"/>
        <w:pageBreakBefore/>
        <w:spacing w:before="400" w:after="200"/>
      </w:pPr>
      <w:r>
        <w:rPr>
          <w:rFonts w:ascii="Microsoft YaHei" w:cs="Microsoft YaHei" w:eastAsia="Microsoft YaHei" w:hAnsi="Microsoft YaHei"/>
          <w:b/>
          <w:bCs/>
          <w:color w:val="1B3A5C"/>
          <w:sz w:val="32"/>
          <w:szCs w:val="32"/>
        </w:rPr>
        <w:t xml:space="preserve">六、“算法灯塔”市场进入策略</w:t>
      </w:r>
    </w:p>
    <w:p>
      <w:pPr>
        <w:pStyle w:val="Heading2"/>
        <w:spacing w:before="300" w:after="150"/>
      </w:pPr>
      <w:r>
        <w:rPr>
          <w:rFonts w:ascii="Microsoft YaHei" w:cs="Microsoft YaHei" w:eastAsia="Microsoft YaHei" w:hAnsi="Microsoft YaHei"/>
          <w:b/>
          <w:bCs/>
          <w:color w:val="2E75B6"/>
          <w:sz w:val="26"/>
          <w:szCs w:val="26"/>
        </w:rPr>
        <w:t xml:space="preserve">6.1 五大政策顺风</w:t>
      </w:r>
    </w:p>
    <w:p>
      <w:pPr>
        <w:pStyle w:val="ListParagraph"/>
        <w:numPr>
          <w:ilvl w:val="0"/>
          <w:numId w:val="2"/>
        </w:numPr>
        <w:spacing w:before="40" w:after="40" w:line="340"/>
      </w:pPr>
      <w:r>
        <w:rPr>
          <w:rFonts w:ascii="Microsoft YaHei" w:cs="Microsoft YaHei" w:eastAsia="Microsoft YaHei" w:hAnsi="Microsoft YaHei"/>
          <w:b/>
          <w:bCs/>
          <w:color w:val="222222"/>
          <w:sz w:val="21"/>
          <w:szCs w:val="21"/>
        </w:rPr>
        <w:t xml:space="preserve">数字孪生强制要求：</w:t>
      </w:r>
      <w:r>
        <w:rPr>
          <w:rFonts w:ascii="Microsoft YaHei" w:cs="Microsoft YaHei" w:eastAsia="Microsoft YaHei" w:hAnsi="Microsoft YaHei"/>
          <w:color w:val="222222"/>
          <w:sz w:val="21"/>
          <w:szCs w:val="21"/>
        </w:rPr>
        <w:t xml:space="preserve">49个试点灌区、13个推荐模型，HydroOS直接对接需求</w:t>
      </w:r>
    </w:p>
    <w:p>
      <w:pPr>
        <w:pStyle w:val="ListParagraph"/>
        <w:numPr>
          <w:ilvl w:val="0"/>
          <w:numId w:val="2"/>
        </w:numPr>
        <w:spacing w:before="40" w:after="40" w:line="340"/>
      </w:pPr>
      <w:r>
        <w:rPr>
          <w:rFonts w:ascii="Microsoft YaHei" w:cs="Microsoft YaHei" w:eastAsia="Microsoft YaHei" w:hAnsi="Microsoft YaHei"/>
          <w:b/>
          <w:bCs/>
          <w:color w:val="222222"/>
          <w:sz w:val="21"/>
          <w:szCs w:val="21"/>
        </w:rPr>
        <w:t xml:space="preserve">关键信息基础设施本地化：</w:t>
      </w:r>
      <w:r>
        <w:rPr>
          <w:rFonts w:ascii="Microsoft YaHei" w:cs="Microsoft YaHei" w:eastAsia="Microsoft YaHei" w:hAnsi="Microsoft YaHei"/>
          <w:color w:val="222222"/>
          <w:sz w:val="21"/>
          <w:szCs w:val="21"/>
        </w:rPr>
        <w:t xml:space="preserve">水利系统明确归类为CII，国务院745号令要求“安全可信”国产产品</w:t>
      </w:r>
    </w:p>
    <w:p>
      <w:pPr>
        <w:pStyle w:val="ListParagraph"/>
        <w:numPr>
          <w:ilvl w:val="0"/>
          <w:numId w:val="2"/>
        </w:numPr>
        <w:spacing w:before="40" w:after="40" w:line="340"/>
      </w:pPr>
      <w:r>
        <w:rPr>
          <w:rFonts w:ascii="Microsoft YaHei" w:cs="Microsoft YaHei" w:eastAsia="Microsoft YaHei" w:hAnsi="Microsoft YaHei"/>
          <w:b/>
          <w:bCs/>
          <w:color w:val="222222"/>
          <w:sz w:val="21"/>
          <w:szCs w:val="21"/>
        </w:rPr>
        <w:t xml:space="preserve">信创国产替代：</w:t>
      </w:r>
      <w:r>
        <w:rPr>
          <w:rFonts w:ascii="Microsoft YaHei" w:cs="Microsoft YaHei" w:eastAsia="Microsoft YaHei" w:hAnsi="Microsoft YaHei"/>
          <w:color w:val="222222"/>
          <w:sz w:val="21"/>
          <w:szCs w:val="21"/>
        </w:rPr>
        <w:t xml:space="preserve">国资委79号文要求国有企业实施全面本地化</w:t>
      </w:r>
    </w:p>
    <w:p>
      <w:pPr>
        <w:pStyle w:val="ListParagraph"/>
        <w:numPr>
          <w:ilvl w:val="0"/>
          <w:numId w:val="2"/>
        </w:numPr>
        <w:spacing w:before="40" w:after="40" w:line="340"/>
      </w:pPr>
      <w:r>
        <w:rPr>
          <w:rFonts w:ascii="Microsoft YaHei" w:cs="Microsoft YaHei" w:eastAsia="Microsoft YaHei" w:hAnsi="Microsoft YaHei"/>
          <w:b/>
          <w:bCs/>
          <w:color w:val="222222"/>
          <w:sz w:val="21"/>
          <w:szCs w:val="21"/>
        </w:rPr>
        <w:t xml:space="preserve">政府采购优先：</w:t>
      </w:r>
      <w:r>
        <w:rPr>
          <w:rFonts w:ascii="Microsoft YaHei" w:cs="Microsoft YaHei" w:eastAsia="Microsoft YaHei" w:hAnsi="Microsoft YaHei"/>
          <w:color w:val="222222"/>
          <w:sz w:val="21"/>
          <w:szCs w:val="21"/>
        </w:rPr>
        <w:t xml:space="preserve">《政府采购法》强制优先采购国产货物和服务</w:t>
      </w:r>
    </w:p>
    <w:p>
      <w:pPr>
        <w:pStyle w:val="ListParagraph"/>
        <w:numPr>
          <w:ilvl w:val="0"/>
          <w:numId w:val="2"/>
        </w:numPr>
        <w:spacing w:before="40" w:after="40" w:line="340"/>
      </w:pPr>
      <w:r>
        <w:rPr>
          <w:rFonts w:ascii="Microsoft YaHei" w:cs="Microsoft YaHei" w:eastAsia="Microsoft YaHei" w:hAnsi="Microsoft YaHei"/>
          <w:b/>
          <w:bCs/>
          <w:color w:val="222222"/>
          <w:sz w:val="21"/>
          <w:szCs w:val="21"/>
        </w:rPr>
        <w:t xml:space="preserve">“卡脖子”紧迫性：</w:t>
      </w:r>
      <w:r>
        <w:rPr>
          <w:rFonts w:ascii="Microsoft YaHei" w:cs="Microsoft YaHei" w:eastAsia="Microsoft YaHei" w:hAnsi="Microsoft YaHei"/>
          <w:color w:val="222222"/>
          <w:sz w:val="21"/>
          <w:szCs w:val="21"/>
        </w:rPr>
        <w:t xml:space="preserve">南水北调东线&gt;90%外国设备、&gt;80%美国设备的教训强化了自主可控意志</w:t>
      </w:r>
    </w:p>
    <w:p>
      <w:pPr>
        <w:spacing w:before="60" w:after="0"/>
      </w:pPr>
    </w:p>
    <w:p>
      <w:pPr>
        <w:pStyle w:val="Heading2"/>
        <w:spacing w:before="300" w:after="150"/>
      </w:pPr>
      <w:r>
        <w:rPr>
          <w:rFonts w:ascii="Microsoft YaHei" w:cs="Microsoft YaHei" w:eastAsia="Microsoft YaHei" w:hAnsi="Microsoft YaHei"/>
          <w:b/>
          <w:bCs/>
          <w:color w:val="2E75B6"/>
          <w:sz w:val="26"/>
          <w:szCs w:val="26"/>
        </w:rPr>
        <w:t xml:space="preserve">6.2 六步实施路径</w:t>
      </w:r>
    </w:p>
    <w:p>
      <w:pPr>
        <w:spacing w:before="40" w:after="0"/>
      </w:pPr>
    </w:p>
    <w:p>
      <w:pPr>
        <w:pStyle w:val="Heading3"/>
        <w:spacing w:before="200" w:after="100"/>
      </w:pPr>
      <w:r>
        <w:rPr>
          <w:rFonts w:ascii="Microsoft YaHei" w:cs="Microsoft YaHei" w:eastAsia="Microsoft YaHei" w:hAnsi="Microsoft YaHei"/>
          <w:b/>
          <w:bCs/>
          <w:color w:val="1B3A5C"/>
          <w:sz w:val="22"/>
          <w:szCs w:val="22"/>
        </w:rPr>
        <w:t xml:space="preserve">第一步：立即专利申请</w:t>
      </w:r>
    </w:p>
    <w:p>
      <w:pPr>
        <w:spacing w:before="80" w:after="80" w:line="360"/>
        <w:jc w:val="both"/>
      </w:pPr>
      <w:r>
        <w:rPr>
          <w:rFonts w:ascii="Microsoft YaHei" w:cs="Microsoft YaHei" w:eastAsia="Microsoft YaHei" w:hAnsi="Microsoft YaHei"/>
          <w:color w:val="222222"/>
          <w:sz w:val="21"/>
          <w:szCs w:val="21"/>
        </w:rPr>
        <w:t xml:space="preserve">向CNIPA提交HydroOS AI/ML控制算法、边缘-云协同控制架构、数字孪生集成方法的全面专利申请，在Rubicon新合资企业获得动力前创建防御性IP组合。优先保护CHS四大基本原理（反馈、解耦、降阶、涌现）的工程实现方法。</w:t>
      </w:r>
    </w:p>
    <w:p>
      <w:pPr>
        <w:spacing w:before="40" w:after="0"/>
      </w:pPr>
    </w:p>
    <w:p>
      <w:pPr>
        <w:pStyle w:val="Heading3"/>
        <w:spacing w:before="200" w:after="100"/>
      </w:pPr>
      <w:r>
        <w:rPr>
          <w:rFonts w:ascii="Microsoft YaHei" w:cs="Microsoft YaHei" w:eastAsia="Microsoft YaHei" w:hAnsi="Microsoft YaHei"/>
          <w:b/>
          <w:bCs/>
          <w:color w:val="1B3A5C"/>
          <w:sz w:val="22"/>
          <w:szCs w:val="22"/>
        </w:rPr>
        <w:t xml:space="preserve">第二步：一级灌区灯塔试点</w:t>
      </w:r>
    </w:p>
    <w:p>
      <w:pPr>
        <w:spacing w:before="80" w:after="80" w:line="360"/>
        <w:jc w:val="both"/>
      </w:pPr>
      <w:r>
        <w:rPr>
          <w:rFonts w:ascii="Microsoft YaHei" w:cs="Microsoft YaHei" w:eastAsia="Microsoft YaHei" w:hAnsi="Microsoft YaHei"/>
          <w:color w:val="222222"/>
          <w:sz w:val="21"/>
          <w:szCs w:val="21"/>
        </w:rPr>
        <w:t xml:space="preserve">目标两个候选灌区：</w:t>
      </w:r>
    </w:p>
    <w:p>
      <w:pPr>
        <w:pStyle w:val="ListParagraph"/>
        <w:numPr>
          <w:ilvl w:val="0"/>
          <w:numId w:val="2"/>
        </w:numPr>
        <w:spacing w:before="40" w:after="40" w:line="340"/>
      </w:pPr>
      <w:r>
        <w:rPr>
          <w:rFonts w:ascii="Microsoft YaHei" w:cs="Microsoft YaHei" w:eastAsia="Microsoft YaHei" w:hAnsi="Microsoft YaHei"/>
          <w:b/>
          <w:bCs/>
          <w:color w:val="222222"/>
          <w:sz w:val="21"/>
          <w:szCs w:val="21"/>
        </w:rPr>
        <w:t xml:space="preserve">位山灌区（山东）：</w:t>
      </w:r>
      <w:r>
        <w:rPr>
          <w:rFonts w:ascii="Microsoft YaHei" w:cs="Microsoft YaHei" w:eastAsia="Microsoft YaHei" w:hAnsi="Microsoft YaHei"/>
          <w:color w:val="222222"/>
          <w:sz w:val="21"/>
          <w:szCs w:val="21"/>
        </w:rPr>
        <w:t xml:space="preserve">黄河第二大灌区，水利部全国数字孪生展示会举办地点，政策关注度极高</w:t>
      </w:r>
    </w:p>
    <w:p>
      <w:pPr>
        <w:pStyle w:val="ListParagraph"/>
        <w:numPr>
          <w:ilvl w:val="0"/>
          <w:numId w:val="2"/>
        </w:numPr>
        <w:spacing w:before="40" w:after="40" w:line="340"/>
      </w:pPr>
      <w:r>
        <w:rPr>
          <w:rFonts w:ascii="Microsoft YaHei" w:cs="Microsoft YaHei" w:eastAsia="Microsoft YaHei" w:hAnsi="Microsoft YaHei"/>
          <w:b/>
          <w:bCs/>
          <w:color w:val="222222"/>
          <w:sz w:val="21"/>
          <w:szCs w:val="21"/>
        </w:rPr>
        <w:t xml:space="preserve">都江堰灌区（四川）：</w:t>
      </w:r>
      <w:r>
        <w:rPr>
          <w:rFonts w:ascii="Microsoft YaHei" w:cs="Microsoft YaHei" w:eastAsia="Microsoft YaHei" w:hAnsi="Microsoft YaHei"/>
          <w:color w:val="222222"/>
          <w:sz w:val="21"/>
          <w:szCs w:val="21"/>
        </w:rPr>
        <w:t xml:space="preserve">中国最大灌区，已安装293个自动化闸门和先进数字孪生平台，基础设施成熟度最高</w:t>
      </w:r>
    </w:p>
    <w:p>
      <w:pPr>
        <w:spacing w:before="80" w:after="80" w:line="360"/>
        <w:jc w:val="both"/>
      </w:pPr>
      <w:r>
        <w:rPr>
          <w:rFonts w:ascii="Microsoft YaHei" w:cs="Microsoft YaHei" w:eastAsia="Microsoft YaHei" w:hAnsi="Microsoft YaHei"/>
          <w:color w:val="222222"/>
          <w:sz w:val="21"/>
          <w:szCs w:val="21"/>
        </w:rPr>
        <w:t xml:space="preserve">任一地点成功演示自主渠道控制，即成为中国灌区市场的“GMW等效”技术标杆。</w:t>
      </w:r>
    </w:p>
    <w:p>
      <w:pPr>
        <w:spacing w:before="40" w:after="0"/>
      </w:pPr>
    </w:p>
    <w:p>
      <w:pPr>
        <w:pStyle w:val="Heading3"/>
        <w:spacing w:before="200" w:after="100"/>
      </w:pPr>
      <w:r>
        <w:rPr>
          <w:rFonts w:ascii="Microsoft YaHei" w:cs="Microsoft YaHei" w:eastAsia="Microsoft YaHei" w:hAnsi="Microsoft YaHei"/>
          <w:b/>
          <w:bCs/>
          <w:color w:val="1B3A5C"/>
          <w:sz w:val="22"/>
          <w:szCs w:val="22"/>
        </w:rPr>
        <w:t xml:space="preserve">第三步：水利部推荐模型纳入</w:t>
      </w:r>
    </w:p>
    <w:p>
      <w:pPr>
        <w:spacing w:before="80" w:after="80" w:line="360"/>
        <w:jc w:val="both"/>
      </w:pPr>
      <w:r>
        <w:rPr>
          <w:rFonts w:ascii="Microsoft YaHei" w:cs="Microsoft YaHei" w:eastAsia="Microsoft YaHei" w:hAnsi="Microsoft YaHei"/>
          <w:color w:val="222222"/>
          <w:sz w:val="21"/>
          <w:szCs w:val="21"/>
        </w:rPr>
        <w:t xml:space="preserve">争取将HydroOS算法纳入水利部数字孪生灌区推荐模型列表（已发布13个推荐模型），一旦纳入即获得全部49个试点灌区及后续扩展项目的市场准入通道。</w:t>
      </w:r>
    </w:p>
    <w:p>
      <w:pPr>
        <w:spacing w:before="40" w:after="0"/>
      </w:pPr>
    </w:p>
    <w:p>
      <w:pPr>
        <w:pStyle w:val="Heading3"/>
        <w:spacing w:before="200" w:after="100"/>
      </w:pPr>
      <w:r>
        <w:rPr>
          <w:rFonts w:ascii="Microsoft YaHei" w:cs="Microsoft YaHei" w:eastAsia="Microsoft YaHei" w:hAnsi="Microsoft YaHei"/>
          <w:b/>
          <w:bCs/>
          <w:color w:val="1B3A5C"/>
          <w:sz w:val="22"/>
          <w:szCs w:val="22"/>
        </w:rPr>
        <w:t xml:space="preserve">第四步：硬件合作模式</w:t>
      </w:r>
    </w:p>
    <w:p>
      <w:pPr>
        <w:spacing w:before="80" w:after="80" w:line="360"/>
        <w:jc w:val="both"/>
      </w:pPr>
      <w:r>
        <w:rPr>
          <w:rFonts w:ascii="Microsoft YaHei" w:cs="Microsoft YaHei" w:eastAsia="Microsoft YaHei" w:hAnsi="Microsoft YaHei"/>
          <w:color w:val="222222"/>
          <w:sz w:val="21"/>
          <w:szCs w:val="21"/>
        </w:rPr>
        <w:t xml:space="preserve">“HydroOS提供大脑，合作伙伴提供身体”——与优质国产闸门制造商建立战略合作：优先与山东欧标合作求质量（航空级铝、±0.5mm精度、IP68、30+年寿命），与更广泛制造商合作求规模。避免Rubicon垂直整合模式需要的制造业巨额资本投资，走轻资产平台化路线。</w:t>
      </w:r>
    </w:p>
    <w:p>
      <w:pPr>
        <w:spacing w:before="40" w:after="0"/>
      </w:pPr>
    </w:p>
    <w:p>
      <w:pPr>
        <w:pStyle w:val="Heading3"/>
        <w:spacing w:before="200" w:after="100"/>
      </w:pPr>
      <w:r>
        <w:rPr>
          <w:rFonts w:ascii="Microsoft YaHei" w:cs="Microsoft YaHei" w:eastAsia="Microsoft YaHei" w:hAnsi="Microsoft YaHei"/>
          <w:b/>
          <w:bCs/>
          <w:color w:val="1B3A5C"/>
          <w:sz w:val="22"/>
          <w:szCs w:val="22"/>
        </w:rPr>
        <w:t xml:space="preserve">第五步：标准制定主导</w:t>
      </w:r>
    </w:p>
    <w:p>
      <w:pPr>
        <w:spacing w:before="80" w:after="80" w:line="360"/>
        <w:jc w:val="both"/>
      </w:pPr>
      <w:r>
        <w:rPr>
          <w:rFonts w:ascii="Microsoft YaHei" w:cs="Microsoft YaHei" w:eastAsia="Microsoft YaHei" w:hAnsi="Microsoft YaHei"/>
          <w:color w:val="222222"/>
          <w:sz w:val="21"/>
          <w:szCs w:val="21"/>
        </w:rPr>
        <w:t xml:space="preserve">积极参与中国灌溉排水发展中心标准制定（T/CIDA标准系列）和水利部技术标准，将HydroOS兼容要求嵌入行业规范。利用IAHR水系统运行工作组创始主席身份推动国际标准互认。</w:t>
      </w:r>
    </w:p>
    <w:p>
      <w:pPr>
        <w:spacing w:before="40" w:after="0"/>
      </w:pPr>
    </w:p>
    <w:p>
      <w:pPr>
        <w:pStyle w:val="Heading3"/>
        <w:spacing w:before="200" w:after="100"/>
      </w:pPr>
      <w:r>
        <w:rPr>
          <w:rFonts w:ascii="Microsoft YaHei" w:cs="Microsoft YaHei" w:eastAsia="Microsoft YaHei" w:hAnsi="Microsoft YaHei"/>
          <w:b/>
          <w:bCs/>
          <w:color w:val="1B3A5C"/>
          <w:sz w:val="22"/>
          <w:szCs w:val="22"/>
        </w:rPr>
        <w:t xml:space="preserve">第六步：甘肃真空利用</w:t>
      </w:r>
    </w:p>
    <w:p>
      <w:pPr>
        <w:spacing w:before="80" w:after="80" w:line="360"/>
        <w:jc w:val="both"/>
      </w:pPr>
      <w:r>
        <w:rPr>
          <w:rFonts w:ascii="Microsoft YaHei" w:cs="Microsoft YaHei" w:eastAsia="Microsoft YaHei" w:hAnsi="Microsoft YaHei"/>
          <w:color w:val="222222"/>
          <w:sz w:val="21"/>
          <w:szCs w:val="21"/>
        </w:rPr>
        <w:t xml:space="preserve">Rubicon解散的合资企业使昌马灌区和其他甘肃站点失去持续自主控制支持。景电灌区（甘肃提水灌溉系统）是展示泵站优化能力的理想场景，代表直接继承Rubicon前领地的机会。</w:t>
      </w:r>
    </w:p>
    <w:p>
      <w:pPr>
        <w:pStyle w:val="Heading1"/>
        <w:pageBreakBefore/>
        <w:spacing w:before="400" w:after="200"/>
      </w:pPr>
      <w:r>
        <w:rPr>
          <w:rFonts w:ascii="Microsoft YaHei" w:cs="Microsoft YaHei" w:eastAsia="Microsoft YaHei" w:hAnsi="Microsoft YaHei"/>
          <w:b/>
          <w:bCs/>
          <w:color w:val="1B3A5C"/>
          <w:sz w:val="32"/>
          <w:szCs w:val="32"/>
        </w:rPr>
        <w:t xml:space="preserve">七、风险分析与缓解策略</w:t>
      </w:r>
    </w:p>
    <w:p>
      <w:pPr>
        <w:spacing w:before="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226"/>
        <w:gridCol w:w="800"/>
        <w:gridCol w:w="3600"/>
      </w:tblGrid>
      <w:tr>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18"/>
                <w:szCs w:val="18"/>
              </w:rPr>
              <w:t xml:space="preserve">风险类别</w:t>
            </w:r>
          </w:p>
        </w:tc>
        <w:tc>
          <w:tcPr>
            <w:tcW w:type="dxa" w:w="32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18"/>
                <w:szCs w:val="18"/>
              </w:rPr>
              <w:t xml:space="preserve">风险描述</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18"/>
                <w:szCs w:val="18"/>
              </w:rPr>
              <w:t xml:space="preserve">等级</w:t>
            </w:r>
          </w:p>
        </w:tc>
        <w:tc>
          <w:tcPr>
            <w:tcW w:type="dxa" w:w="3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18"/>
                <w:szCs w:val="18"/>
              </w:rPr>
              <w:t xml:space="preserve">缓解措施</w:t>
            </w:r>
          </w:p>
        </w:tc>
      </w:tr>
      <w:tr>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val="false"/>
                <w:bCs w:val="false"/>
                <w:color w:val="222222"/>
                <w:sz w:val="18"/>
                <w:szCs w:val="18"/>
              </w:rPr>
              <w:t xml:space="preserve">执行速度</w:t>
            </w:r>
          </w:p>
        </w:tc>
        <w:tc>
          <w:tcPr>
            <w:tcW w:type="dxa" w:w="32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Rubicon新合资伙伴可能在18个月内加速中国市场重组</w:t>
            </w:r>
          </w:p>
        </w:tc>
        <w:tc>
          <w:tcPr>
            <w:tcW w:type="dxa" w:w="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bCs/>
                <w:color w:val="CC0000"/>
                <w:sz w:val="18"/>
                <w:szCs w:val="18"/>
              </w:rPr>
              <w:t xml:space="preserve">高</w:t>
            </w:r>
          </w:p>
        </w:tc>
        <w:tc>
          <w:tcPr>
            <w:tcW w:type="dxa" w:w="3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把握12-24个月窗口期，加速灯塔项目落地</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val="false"/>
                <w:bCs w:val="false"/>
                <w:color w:val="222222"/>
                <w:sz w:val="18"/>
                <w:szCs w:val="18"/>
              </w:rPr>
              <w:t xml:space="preserve">算法成熟度</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从学术研究到现场7×24自主运行需要广泛验证</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bCs/>
                <w:color w:val="CC0000"/>
                <w:sz w:val="18"/>
                <w:szCs w:val="18"/>
              </w:rPr>
              <w:t xml:space="preserve">高</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SIL/HIL充分验证+试点迭代，初期作为决策支持系统</w:t>
            </w:r>
          </w:p>
        </w:tc>
      </w:tr>
      <w:tr>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val="false"/>
                <w:bCs w:val="false"/>
                <w:color w:val="222222"/>
                <w:sz w:val="18"/>
                <w:szCs w:val="18"/>
              </w:rPr>
              <w:t xml:space="preserve">边缘计算可靠性</w:t>
            </w:r>
          </w:p>
        </w:tc>
        <w:tc>
          <w:tcPr>
            <w:tcW w:type="dxa" w:w="32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恶劣环境对ARM网关的挑战</w:t>
            </w:r>
          </w:p>
        </w:tc>
        <w:tc>
          <w:tcPr>
            <w:tcW w:type="dxa" w:w="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bCs/>
                <w:color w:val="E68A00"/>
                <w:sz w:val="18"/>
                <w:szCs w:val="18"/>
              </w:rPr>
              <w:t xml:space="preserve">中</w:t>
            </w:r>
          </w:p>
        </w:tc>
        <w:tc>
          <w:tcPr>
            <w:tcW w:type="dxa" w:w="3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工业级网关（-40°C至85°C），适当资源管理</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val="false"/>
                <w:bCs w:val="false"/>
                <w:color w:val="222222"/>
                <w:sz w:val="18"/>
                <w:szCs w:val="18"/>
              </w:rPr>
              <w:t xml:space="preserve">IP侵权风险</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Rubicon 218项专利组合</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bCs/>
                <w:color w:val="2E7D32"/>
                <w:sz w:val="18"/>
                <w:szCs w:val="18"/>
              </w:rPr>
              <w:t xml:space="preserve">低</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CHS理论从根本上不同于Rubicon的分布参数方法</w:t>
            </w:r>
          </w:p>
        </w:tc>
      </w:tr>
      <w:tr>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left"/>
            </w:pPr>
            <w:r>
              <w:rPr>
                <w:rFonts w:ascii="Microsoft YaHei" w:cs="Microsoft YaHei" w:eastAsia="Microsoft YaHei" w:hAnsi="Microsoft YaHei"/>
                <w:b w:val="false"/>
                <w:bCs w:val="false"/>
                <w:color w:val="222222"/>
                <w:sz w:val="18"/>
                <w:szCs w:val="18"/>
              </w:rPr>
              <w:t xml:space="preserve">采用阻力</w:t>
            </w:r>
          </w:p>
        </w:tc>
        <w:tc>
          <w:tcPr>
            <w:tcW w:type="dxa" w:w="3226"/>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灌区管理处习惯手动操作，对AI自主控制信任不足</w:t>
            </w:r>
          </w:p>
        </w:tc>
        <w:tc>
          <w:tcPr>
            <w:tcW w:type="dxa" w:w="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bCs/>
                <w:color w:val="CC0000"/>
                <w:sz w:val="18"/>
                <w:szCs w:val="18"/>
              </w:rPr>
              <w:t xml:space="preserve">高</w:t>
            </w:r>
          </w:p>
        </w:tc>
        <w:tc>
          <w:tcPr>
            <w:tcW w:type="dxa" w:w="3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pPr>
              <w:spacing w:before="20" w:after="20"/>
              <w:jc w:val="center"/>
            </w:pPr>
            <w:r>
              <w:rPr>
                <w:rFonts w:ascii="Microsoft YaHei" w:cs="Microsoft YaHei" w:eastAsia="Microsoft YaHei" w:hAnsi="Microsoft YaHei"/>
                <w:b w:val="false"/>
                <w:bCs w:val="false"/>
                <w:color w:val="222222"/>
                <w:sz w:val="18"/>
                <w:szCs w:val="18"/>
              </w:rPr>
              <w:t xml:space="preserve">渐进式信任构建：决策支持→监督自主→完全自主</w:t>
            </w:r>
          </w:p>
        </w:tc>
      </w:tr>
    </w:tbl>
    <w:p>
      <w:pPr>
        <w:spacing w:before="60" w:after="0"/>
      </w:pPr>
    </w:p>
    <w:p>
      <w:pPr>
        <w:pStyle w:val="Heading2"/>
        <w:spacing w:before="300" w:after="150"/>
      </w:pPr>
      <w:r>
        <w:rPr>
          <w:rFonts w:ascii="Microsoft YaHei" w:cs="Microsoft YaHei" w:eastAsia="Microsoft YaHei" w:hAnsi="Microsoft YaHei"/>
          <w:b/>
          <w:bCs/>
          <w:color w:val="2E75B6"/>
          <w:sz w:val="26"/>
          <w:szCs w:val="26"/>
        </w:rPr>
        <w:t xml:space="preserve">7.1 最关键风险：采用阻力</w:t>
      </w:r>
    </w:p>
    <w:p>
      <w:pPr>
        <w:spacing w:before="80" w:after="80" w:line="360"/>
        <w:jc w:val="both"/>
      </w:pPr>
      <w:r>
        <w:rPr>
          <w:rFonts w:ascii="Microsoft YaHei" w:cs="Microsoft YaHei" w:eastAsia="Microsoft YaHei" w:hAnsi="Microsoft YaHei"/>
          <w:color w:val="222222"/>
          <w:sz w:val="21"/>
          <w:szCs w:val="21"/>
        </w:rPr>
        <w:t xml:space="preserve">保守灌区管理处对AI自主控制的信任构建是最被低估的风险。Rubicon自身在GMW花了20年完成从辅助到自主的信任过渡。缓解策略：</w:t>
      </w:r>
    </w:p>
    <w:p>
      <w:pPr>
        <w:pStyle w:val="ListParagraph"/>
        <w:numPr>
          <w:ilvl w:val="0"/>
          <w:numId w:val="2"/>
        </w:numPr>
        <w:spacing w:before="40" w:after="40" w:line="340"/>
      </w:pPr>
      <w:r>
        <w:rPr>
          <w:rFonts w:ascii="Microsoft YaHei" w:cs="Microsoft YaHei" w:eastAsia="Microsoft YaHei" w:hAnsi="Microsoft YaHei"/>
          <w:b/>
          <w:bCs/>
          <w:color w:val="222222"/>
          <w:sz w:val="21"/>
          <w:szCs w:val="21"/>
        </w:rPr>
        <w:t xml:space="preserve">第一阶段——决策支持系统：</w:t>
      </w:r>
      <w:r>
        <w:rPr>
          <w:rFonts w:ascii="Microsoft YaHei" w:cs="Microsoft YaHei" w:eastAsia="Microsoft YaHei" w:hAnsi="Microsoft YaHei"/>
          <w:color w:val="222222"/>
          <w:sz w:val="21"/>
          <w:szCs w:val="21"/>
        </w:rPr>
        <w:t xml:space="preserve">HydroOS向操作员展示建议但保留人工确认，通过可解释AI可视化建立透明度</w:t>
      </w:r>
    </w:p>
    <w:p>
      <w:pPr>
        <w:pStyle w:val="ListParagraph"/>
        <w:numPr>
          <w:ilvl w:val="0"/>
          <w:numId w:val="2"/>
        </w:numPr>
        <w:spacing w:before="40" w:after="40" w:line="340"/>
      </w:pPr>
      <w:r>
        <w:rPr>
          <w:rFonts w:ascii="Microsoft YaHei" w:cs="Microsoft YaHei" w:eastAsia="Microsoft YaHei" w:hAnsi="Microsoft YaHei"/>
          <w:b/>
          <w:bCs/>
          <w:color w:val="222222"/>
          <w:sz w:val="21"/>
          <w:szCs w:val="21"/>
        </w:rPr>
        <w:t xml:space="preserve">第二阶段——监督自主：</w:t>
      </w:r>
      <w:r>
        <w:rPr>
          <w:rFonts w:ascii="Microsoft YaHei" w:cs="Microsoft YaHei" w:eastAsia="Microsoft YaHei" w:hAnsi="Microsoft YaHei"/>
          <w:color w:val="222222"/>
          <w:sz w:val="21"/>
          <w:szCs w:val="21"/>
        </w:rPr>
        <w:t xml:space="preserve">系统执行常规操作，操作员监控并保留否决权</w:t>
      </w:r>
    </w:p>
    <w:p>
      <w:pPr>
        <w:pStyle w:val="ListParagraph"/>
        <w:numPr>
          <w:ilvl w:val="0"/>
          <w:numId w:val="2"/>
        </w:numPr>
        <w:spacing w:before="40" w:after="40" w:line="340"/>
      </w:pPr>
      <w:r>
        <w:rPr>
          <w:rFonts w:ascii="Microsoft YaHei" w:cs="Microsoft YaHei" w:eastAsia="Microsoft YaHei" w:hAnsi="Microsoft YaHei"/>
          <w:b/>
          <w:bCs/>
          <w:color w:val="222222"/>
          <w:sz w:val="21"/>
          <w:szCs w:val="21"/>
        </w:rPr>
        <w:t xml:space="preserve">第三阶段——完全自主：</w:t>
      </w:r>
      <w:r>
        <w:rPr>
          <w:rFonts w:ascii="Microsoft YaHei" w:cs="Microsoft YaHei" w:eastAsia="Microsoft YaHei" w:hAnsi="Microsoft YaHei"/>
          <w:color w:val="222222"/>
          <w:sz w:val="21"/>
          <w:szCs w:val="21"/>
        </w:rPr>
        <w:t xml:space="preserve">系统全权管理渠道运行，人工仅处理异常情况</w:t>
      </w:r>
    </w:p>
    <w:p>
      <w:pPr>
        <w:spacing w:before="80" w:after="80" w:line="360"/>
        <w:jc w:val="both"/>
      </w:pPr>
      <w:r>
        <w:rPr>
          <w:rFonts w:ascii="Microsoft YaHei" w:cs="Microsoft YaHei" w:eastAsia="Microsoft YaHei" w:hAnsi="Microsoft YaHei"/>
          <w:color w:val="222222"/>
          <w:sz w:val="21"/>
          <w:szCs w:val="21"/>
        </w:rPr>
        <w:t xml:space="preserve">利用现代可解释AI、数字孪生3D可视化、SIL/HIL演示能力，目标将Rubicon 20年的信任构建路径压缩至2-3年。</w:t>
      </w:r>
    </w:p>
    <w:p>
      <w:pPr>
        <w:pStyle w:val="Heading1"/>
        <w:pageBreakBefore/>
        <w:spacing w:before="400" w:after="200"/>
      </w:pPr>
      <w:r>
        <w:rPr>
          <w:rFonts w:ascii="Microsoft YaHei" w:cs="Microsoft YaHei" w:eastAsia="Microsoft YaHei" w:hAnsi="Microsoft YaHei"/>
          <w:b/>
          <w:bCs/>
          <w:color w:val="1B3A5C"/>
          <w:sz w:val="32"/>
          <w:szCs w:val="32"/>
        </w:rPr>
        <w:t xml:space="preserve">八、结论与行动建议</w:t>
      </w:r>
    </w:p>
    <w:p>
      <w:pPr>
        <w:spacing w:before="80" w:after="80" w:line="360"/>
        <w:jc w:val="both"/>
      </w:pPr>
      <w:r>
        <w:rPr>
          <w:rFonts w:ascii="Microsoft YaHei" w:cs="Microsoft YaHei" w:eastAsia="Microsoft YaHei" w:hAnsi="Microsoft YaHei"/>
          <w:color w:val="222222"/>
          <w:sz w:val="21"/>
          <w:szCs w:val="21"/>
        </w:rPr>
        <w:t xml:space="preserve">HydroOS对Rubicon TCC的竞争定位归结为三个决定性因素的叠加：</w:t>
      </w:r>
    </w:p>
    <w:p>
      <w:pPr>
        <w:spacing w:before="40" w:after="0"/>
      </w:pPr>
    </w:p>
    <w:p>
      <w:pPr>
        <w:pStyle w:val="Heading2"/>
        <w:spacing w:before="300" w:after="150"/>
      </w:pPr>
      <w:r>
        <w:rPr>
          <w:rFonts w:ascii="Microsoft YaHei" w:cs="Microsoft YaHei" w:eastAsia="Microsoft YaHei" w:hAnsi="Microsoft YaHei"/>
          <w:b/>
          <w:bCs/>
          <w:color w:val="2E75B6"/>
          <w:sz w:val="26"/>
          <w:szCs w:val="26"/>
        </w:rPr>
        <w:t xml:space="preserve">8.1 成本决定性</w:t>
      </w:r>
    </w:p>
    <w:p>
      <w:pPr>
        <w:spacing w:before="80" w:after="80" w:line="360"/>
        <w:jc w:val="both"/>
      </w:pPr>
      <w:r>
        <w:rPr>
          <w:rFonts w:ascii="Microsoft YaHei" w:cs="Microsoft YaHei" w:eastAsia="Microsoft YaHei" w:hAnsi="Microsoft YaHei"/>
          <w:color w:val="222222"/>
          <w:sz w:val="21"/>
          <w:szCs w:val="21"/>
        </w:rPr>
        <w:t xml:space="preserve">HydroOS在国产硬件上以约Rubicon价格28%提供等效自主网络控制能力。该成本结构完全符合中国灌区每闸¥2-6万元的政府采购预算区间，而Rubicon每闸$4.7-11.7万（约¥33-82万）远超中国市场承受范围。</w:t>
      </w:r>
    </w:p>
    <w:p>
      <w:pPr>
        <w:spacing w:before="40" w:after="0"/>
      </w:pPr>
    </w:p>
    <w:p>
      <w:pPr>
        <w:pStyle w:val="Heading2"/>
        <w:spacing w:before="300" w:after="150"/>
      </w:pPr>
      <w:r>
        <w:rPr>
          <w:rFonts w:ascii="Microsoft YaHei" w:cs="Microsoft YaHei" w:eastAsia="Microsoft YaHei" w:hAnsi="Microsoft YaHei"/>
          <w:b/>
          <w:bCs/>
          <w:color w:val="2E75B6"/>
          <w:sz w:val="26"/>
          <w:szCs w:val="26"/>
        </w:rPr>
        <w:t xml:space="preserve">8.2 主权决定性</w:t>
      </w:r>
    </w:p>
    <w:p>
      <w:pPr>
        <w:spacing w:before="80" w:after="80" w:line="360"/>
        <w:jc w:val="both"/>
      </w:pPr>
      <w:r>
        <w:rPr>
          <w:rFonts w:ascii="Microsoft YaHei" w:cs="Microsoft YaHei" w:eastAsia="Microsoft YaHei" w:hAnsi="Microsoft YaHei"/>
          <w:color w:val="222222"/>
          <w:sz w:val="21"/>
          <w:szCs w:val="21"/>
        </w:rPr>
        <w:t xml:space="preserve">CII法规、信创政策、水利基础设施信息化中已记录的“卡脖子”脆弱性，创造的不仅是偏好，而是国产替代的监管必要性。Rubicon的澳大利亚起源和Motorola Solutions通信技术栈在此政策环境中是战略负债。</w:t>
      </w:r>
    </w:p>
    <w:p>
      <w:pPr>
        <w:spacing w:before="40" w:after="0"/>
      </w:pPr>
    </w:p>
    <w:p>
      <w:pPr>
        <w:pStyle w:val="Heading2"/>
        <w:spacing w:before="300" w:after="150"/>
      </w:pPr>
      <w:r>
        <w:rPr>
          <w:rFonts w:ascii="Microsoft YaHei" w:cs="Microsoft YaHei" w:eastAsia="Microsoft YaHei" w:hAnsi="Microsoft YaHei"/>
          <w:b/>
          <w:bCs/>
          <w:color w:val="2E75B6"/>
          <w:sz w:val="26"/>
          <w:szCs w:val="26"/>
        </w:rPr>
        <w:t xml:space="preserve">8.3 时机决定性</w:t>
      </w:r>
    </w:p>
    <w:p>
      <w:pPr>
        <w:spacing w:before="80" w:after="80" w:line="360"/>
        <w:jc w:val="both"/>
      </w:pPr>
      <w:r>
        <w:rPr>
          <w:rFonts w:ascii="Microsoft YaHei" w:cs="Microsoft YaHei" w:eastAsia="Microsoft YaHei" w:hAnsi="Microsoft YaHei"/>
          <w:color w:val="222222"/>
          <w:sz w:val="21"/>
          <w:szCs w:val="21"/>
        </w:rPr>
        <w:t xml:space="preserve">Rubicon中国合资解散（2024-25），叠加十五五7万亿+投资激增和数字孪生试点&gt;40%完成率，创造了市场需求、政策对齐、竞争弱点三维重叠的历史性汇聚窗口。</w:t>
      </w:r>
    </w:p>
    <w:p>
      <w:pPr>
        <w:spacing w:before="100" w:after="0"/>
      </w:pPr>
    </w:p>
    <w:p>
      <w:pPr>
        <w:pBdr>
          <w:bottom w:val="single" w:color="2E75B6" w:sz="4" w:space="1"/>
        </w:pBdr>
        <w:spacing w:before="200" w:after="200"/>
      </w:pPr>
    </w:p>
    <w:p>
      <w:pPr>
        <w:spacing w:before="40" w:after="0"/>
      </w:pPr>
    </w:p>
    <w:p>
      <w:pPr>
        <w:spacing w:before="100" w:after="40"/>
        <w:jc w:val="center"/>
      </w:pPr>
      <w:r>
        <w:rPr>
          <w:rFonts w:ascii="Microsoft YaHei" w:cs="Microsoft YaHei" w:eastAsia="Microsoft YaHei" w:hAnsi="Microsoft YaHei"/>
          <w:b/>
          <w:bCs/>
          <w:color w:val="1B3A5C"/>
          <w:sz w:val="28"/>
          <w:szCs w:val="28"/>
        </w:rPr>
        <w:t xml:space="preserve">执行路径清晰，窗口期有限</w:t>
      </w:r>
    </w:p>
    <w:p>
      <w:pPr>
        <w:spacing w:before="40" w:after="200"/>
        <w:jc w:val="center"/>
      </w:pPr>
      <w:r>
        <w:rPr>
          <w:rFonts w:ascii="Microsoft YaHei" w:cs="Microsoft YaHei" w:eastAsia="Microsoft YaHei" w:hAnsi="Microsoft YaHei"/>
          <w:color w:val="2E75B6"/>
          <w:sz w:val="21"/>
          <w:szCs w:val="21"/>
        </w:rPr>
        <w:t xml:space="preserve">12-24个月内：灯塔项目建立技术公信力 → 推荐模型纳入获得市场准入 → 轻资产合作模式快速规模化 → 标准制定锁定长期壁垒</w:t>
      </w:r>
    </w:p>
    <w:p>
      <w:pPr>
        <w:pBdr>
          <w:bottom w:val="single" w:color="2E75B6" w:sz="4" w:space="1"/>
        </w:pBdr>
        <w:spacing w:before="200" w:after="200"/>
      </w:pPr>
    </w:p>
    <w:p>
      <w:pPr>
        <w:spacing w:before="200" w:after="0"/>
      </w:pPr>
    </w:p>
    <w:p>
      <w:pPr>
        <w:jc w:val="right"/>
      </w:pPr>
      <w:r>
        <w:rPr>
          <w:rFonts w:ascii="Microsoft YaHei" w:cs="Microsoft YaHei" w:eastAsia="Microsoft YaHei" w:hAnsi="Microsoft YaHei"/>
          <w:i/>
          <w:iCs/>
          <w:color w:val="AAAAAA"/>
          <w:sz w:val="22"/>
          <w:szCs w:val="22"/>
        </w:rPr>
        <w:t xml:space="preserve">— 报告完 —</w:t>
      </w:r>
    </w:p>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AAAAAA"/>
        <w:sz w:val="16"/>
        <w:szCs w:val="16"/>
      </w:rPr>
      <w:t xml:space="preserve">第 </w:t>
    </w:r>
    <w:r>
      <w:rPr>
        <w:rFonts w:ascii="Microsoft YaHei" w:cs="Microsoft YaHei" w:eastAsia="Microsoft YaHei" w:hAnsi="Microsoft YaHei"/>
        <w:color w:val="AAAAAA"/>
        <w:sz w:val="16"/>
        <w:szCs w:val="16"/>
      </w:rPr>
      <w:fldChar w:fldCharType="begin"/>
      <w:instrText xml:space="preserve">PAGE</w:instrText>
      <w:fldChar w:fldCharType="separate"/>
      <w:fldChar w:fldCharType="end"/>
    </w:r>
    <w:r>
      <w:rPr>
        <w:rFonts w:ascii="Microsoft YaHei" w:cs="Microsoft YaHei" w:eastAsia="Microsoft YaHei" w:hAnsi="Microsoft YaHei"/>
        <w:color w:val="AAAAAA"/>
        <w:sz w:val="16"/>
        <w:szCs w:val="16"/>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AAAAAA"/>
        <w:sz w:val="16"/>
        <w:szCs w:val="16"/>
      </w:rPr>
      <w:t xml:space="preserve">第 </w:t>
    </w:r>
    <w:r>
      <w:rPr>
        <w:rFonts w:ascii="Microsoft YaHei" w:cs="Microsoft YaHei" w:eastAsia="Microsoft YaHei" w:hAnsi="Microsoft YaHei"/>
        <w:color w:val="AAAAAA"/>
        <w:sz w:val="16"/>
        <w:szCs w:val="16"/>
      </w:rPr>
      <w:fldChar w:fldCharType="begin"/>
      <w:instrText xml:space="preserve">PAGE</w:instrText>
      <w:fldChar w:fldCharType="separate"/>
      <w:fldChar w:fldCharType="end"/>
    </w:r>
    <w:r>
      <w:rPr>
        <w:rFonts w:ascii="Microsoft YaHei" w:cs="Microsoft YaHei" w:eastAsia="Microsoft YaHei" w:hAnsi="Microsoft YaHei"/>
        <w:color w:val="AAAAAA"/>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026"/>
      </w:tabs>
    </w:pPr>
    <w:r>
      <w:rPr>
        <w:rFonts w:ascii="Microsoft YaHei" w:cs="Microsoft YaHei" w:eastAsia="Microsoft YaHei" w:hAnsi="Microsoft YaHei"/>
        <w:color w:val="AAAAAA"/>
        <w:sz w:val="16"/>
        <w:szCs w:val="16"/>
      </w:rPr>
      <w:t xml:space="preserve">HydroOS竞争战略分析报告</w:t>
    </w:r>
    <w:r>
      <w:t xml:space="preserve">	</w:t>
    </w:r>
    <w:r>
      <w:rPr>
        <w:rFonts w:ascii="Microsoft YaHei" w:cs="Microsoft YaHei" w:eastAsia="Microsoft YaHei" w:hAnsi="Microsoft YaHei"/>
        <w:color w:val="CC0000"/>
        <w:sz w:val="16"/>
        <w:szCs w:val="16"/>
      </w:rPr>
      <w:t xml:space="preserve">商业机密</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026"/>
      </w:tabs>
    </w:pPr>
    <w:r>
      <w:rPr>
        <w:rFonts w:ascii="Microsoft YaHei" w:cs="Microsoft YaHei" w:eastAsia="Microsoft YaHei" w:hAnsi="Microsoft YaHei"/>
        <w:color w:val="AAAAAA"/>
        <w:sz w:val="16"/>
        <w:szCs w:val="16"/>
      </w:rPr>
      <w:t xml:space="preserve">HydroOS竞争战略分析报告</w:t>
    </w:r>
    <w:r>
      <w:t xml:space="preserve">	</w:t>
    </w:r>
    <w:r>
      <w:rPr>
        <w:rFonts w:ascii="Microsoft YaHei" w:cs="Microsoft YaHei" w:eastAsia="Microsoft YaHei" w:hAnsi="Microsoft YaHei"/>
        <w:color w:val="CC0000"/>
        <w:sz w:val="16"/>
        <w:szCs w:val="16"/>
      </w:rPr>
      <w:t xml:space="preserve">商业机密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Microsoft YaHei" w:cs="Microsoft YaHei" w:eastAsia="Microsoft YaHei" w:hAnsi="Microsoft YaHei"/>
      <w:b/>
      <w:bCs/>
      <w:color w:val="1B3A5C"/>
      <w:sz w:val="32"/>
      <w:szCs w:val="32"/>
    </w:rPr>
  </w:style>
  <w:style w:type="paragraph" w:styleId="Heading2">
    <w:name w:val="Heading 2"/>
    <w:basedOn w:val="Normal"/>
    <w:next w:val="Normal"/>
    <w:qFormat/>
    <w:pPr>
      <w:spacing w:before="300" w:after="150"/>
      <w:outlineLvl w:val="1"/>
    </w:pPr>
    <w:rPr>
      <w:rFonts w:ascii="Microsoft YaHei" w:cs="Microsoft YaHei" w:eastAsia="Microsoft YaHei" w:hAnsi="Microsoft YaHei"/>
      <w:b/>
      <w:bCs/>
      <w:color w:val="2E75B6"/>
      <w:sz w:val="26"/>
      <w:szCs w:val="26"/>
    </w:rPr>
  </w:style>
  <w:style w:type="paragraph" w:styleId="Heading3">
    <w:name w:val="Heading 3"/>
    <w:basedOn w:val="Normal"/>
    <w:next w:val="Normal"/>
    <w:qFormat/>
    <w:pPr>
      <w:spacing w:before="200" w:after="100"/>
      <w:outlineLvl w:val="2"/>
    </w:pPr>
    <w:rPr>
      <w:rFonts w:ascii="Microsoft YaHei" w:cs="Microsoft YaHei" w:eastAsia="Microsoft YaHei" w:hAnsi="Microsoft YaHei"/>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2026-02-15T08:06:23.409Z</dcterms:created>
  <dcterms:modified xsi:type="dcterms:W3CDTF">2026-02-15T08:06:23.409Z</dcterms:modified>
</cp:coreProperties>
</file>

<file path=docProps/custom.xml><?xml version="1.0" encoding="utf-8"?>
<Properties xmlns="http://schemas.openxmlformats.org/officeDocument/2006/custom-properties" xmlns:vt="http://schemas.openxmlformats.org/officeDocument/2006/docPropsVTypes"/>
</file>