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 ���������������</w:t>
      </w:r>
    </w:p>
    <w:p>
      <w:pPr>
        <w:pStyle w:val="Author"/>
      </w:pPr>
      <w:r>
        <w:t xml:space="preserve">���������������������T1-CN���</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48" w:name="第八章-结语与展望"/>
    <w:p>
      <w:pPr>
        <w:pStyle w:val="Heading1"/>
      </w:pPr>
      <w:r>
        <w:t xml:space="preserve">第八章 结语与展望</w:t>
      </w:r>
    </w:p>
    <w:p>
      <w:r>
        <w:pict>
          <v:rect style="width:0;height:1.5pt" o:hralign="center" o:hrstd="t" o:hr="t"/>
        </w:pict>
      </w:r>
    </w:p>
    <w:p>
      <w:pPr>
        <w:pStyle w:val="BlockText"/>
      </w:pPr>
      <w:r>
        <w:rPr>
          <w:bCs/>
          <w:b/>
        </w:rPr>
        <w:t xml:space="preserve">引导案例：</w:t>
      </w:r>
      <w:r>
        <w:rPr>
          <w:bCs/>
          <w:b/>
        </w:rPr>
        <w:t xml:space="preserve">“</w:t>
      </w:r>
      <w:r>
        <w:rPr>
          <w:bCs/>
          <w:b/>
        </w:rPr>
        <w:t xml:space="preserve">无人值守夜班</w:t>
      </w:r>
      <w:r>
        <w:rPr>
          <w:bCs/>
          <w:b/>
        </w:rPr>
        <w:t xml:space="preserve">”</w:t>
      </w:r>
      <w:r>
        <w:rPr>
          <w:bCs/>
          <w:b/>
        </w:rPr>
        <w:t xml:space="preserve">背后的范式转换</w:t>
      </w:r>
    </w:p>
    <w:p>
      <w:pPr>
        <w:pStyle w:val="BlockText"/>
      </w:pPr>
      <w:r>
        <w:t xml:space="preserve">2024年秋，某省级调水干线在汛后平稳期开展了为期一个月的夜间低人值守试运行。传统模式下，调度中心夜班需要6名值班人员：2名调度员监控水位和闸站状态、2名运维人员巡检设备、1名通信值班和1名带班调度长。试运行期间，值班人数降至2人——1名调度员和1名带班调度长，其余职能由系统在预设ODD范围内自动完成。</w:t>
      </w:r>
    </w:p>
    <w:p>
      <w:pPr>
        <w:pStyle w:val="BlockText"/>
      </w:pPr>
      <w:r>
        <w:t xml:space="preserve">一个月后的复盘数据令人印象深刻：系统自主处置了47次常规水位波动，平均响应时间比人工快3.2分钟；触发了3次黄区预警，均由值班调度员在5分钟内确认处置；四态机降级0次，审计链完整记录了全部1,247次控制动作。</w:t>
      </w:r>
    </w:p>
    <w:p>
      <w:pPr>
        <w:pStyle w:val="BlockText"/>
      </w:pPr>
      <w:r>
        <w:t xml:space="preserve">但最深刻的启示不在这些数字中。复盘会上，带班调度长说了一句话：</w:t>
      </w:r>
      <w:r>
        <w:t xml:space="preserve">“</w:t>
      </w:r>
      <w:r>
        <w:t xml:space="preserve">以前夜班的6个人大多数时间都在等——等异常发生然后反应。现在2个人做的事更有价值——审查系统的决策记录、分析可能的风险趋势、讨论ODD是否需要调整。</w:t>
      </w:r>
      <w:r>
        <w:t xml:space="preserve">”</w:t>
      </w:r>
    </w:p>
    <w:p>
      <w:pPr>
        <w:pStyle w:val="BlockText"/>
      </w:pPr>
      <w:r>
        <w:t xml:space="preserve">这段话揭示了CHS技术的真正意义：</w:t>
      </w:r>
      <w:r>
        <w:rPr>
          <w:bCs/>
          <w:b/>
        </w:rPr>
        <w:t xml:space="preserve">不是”用机器替代人”，而是”让人从重复劳动中解放出来，做只有人才能做的事——判断、预见和决策”。</w:t>
      </w:r>
      <w:r>
        <w:t xml:space="preserve"> </w:t>
      </w:r>
      <w:r>
        <w:t xml:space="preserve">这是从”经验驱动”到”规则+模型+治理协同驱动”的运行范式转换，也是本书八章内容最终指向的目标。</w:t>
      </w:r>
    </w:p>
    <w:p>
      <w:r>
        <w:pict>
          <v:rect style="width:0;height:1.5pt" o:hralign="center" o:hrstd="t" o:hr="t"/>
        </w:pict>
      </w:r>
    </w:p>
    <w:p>
      <w:pPr>
        <w:pStyle w:val="FirstParagraph"/>
      </w:pPr>
      <w:r>
        <w:t xml:space="preserve">本章作为全书的收尾，有三个任务：回望全书主线、展望未来方向、给出行动建议。</w:t>
      </w:r>
    </w:p>
    <w:bookmarkStart w:id="22" w:name="全书回顾从问题到方法的完整链条"/>
    <w:p>
      <w:pPr>
        <w:pStyle w:val="Heading2"/>
      </w:pPr>
      <w:r>
        <w:t xml:space="preserve">8.1 全书回顾：从问题到方法的完整链条</w:t>
      </w:r>
    </w:p>
    <w:bookmarkStart w:id="20" w:name="一条主线水系统如何走向可信自主"/>
    <w:p>
      <w:pPr>
        <w:pStyle w:val="Heading3"/>
      </w:pPr>
      <w:r>
        <w:t xml:space="preserve">8.1.1 一条主线：水系统如何走向可信自主</w:t>
      </w:r>
    </w:p>
    <w:p>
      <w:pPr>
        <w:pStyle w:val="FirstParagraph"/>
      </w:pPr>
      <w:r>
        <w:t xml:space="preserve">本书以”水系统如何从传统SCADA时代走向可信自主时代”为核心问题，沿”问题—原理—等级—架构—实践—人才”的逻辑链条逐章展开。回顾全书八章，每一章都回答了这条链条上的一个关键环节：</w:t>
      </w:r>
    </w:p>
    <w:p>
      <w:pPr>
        <w:pStyle w:val="BodyText"/>
      </w:pPr>
      <w:r>
        <w:rPr>
          <w:bCs/>
          <w:b/>
        </w:rPr>
        <w:t xml:space="preserve">第一章”为什么需要水系统控制论”</w:t>
      </w:r>
      <w:r>
        <w:t xml:space="preserve">回答了出发点——水利行业面临的挑战不是”缺少算法”而是”缺少系统性的运行能力建设框架”。传统SCADA系统提供了监控能力，但无法回答”在什么条件下系统可以自主运行”</w:t>
      </w:r>
      <w:r>
        <w:t xml:space="preserve">“</w:t>
      </w:r>
      <w:r>
        <w:t xml:space="preserve">出了问题如何安全降级</w:t>
      </w:r>
      <w:r>
        <w:t xml:space="preserve">”</w:t>
      </w:r>
      <w:r>
        <w:t xml:space="preserve">“</w:t>
      </w:r>
      <w:r>
        <w:t xml:space="preserve">长期运行如何保持效果</w:t>
      </w:r>
      <w:r>
        <w:t xml:space="preserve">”</w:t>
      </w:r>
      <w:r>
        <w:t xml:space="preserve">这些核心问题。</w:t>
      </w:r>
    </w:p>
    <w:p>
      <w:pPr>
        <w:pStyle w:val="BodyText"/>
      </w:pPr>
      <w:r>
        <w:rPr>
          <w:bCs/>
          <w:b/>
        </w:rPr>
        <w:t xml:space="preserve">第二章”水系统控制论的理论基础”</w:t>
      </w:r>
      <w:r>
        <w:t xml:space="preserve">回答了认识论——水利系统作为控制对象有什么独特性？水系统是一类特殊的信息物理社会系统（CPSS），其控制挑战源于物理层（大时滞、非线性、开放边界）、信息层（传感器稀疏、通信不可靠）和社会层（多利益方、多目标冲突）的深度耦合。这一认识奠定了CHS理论的基础。</w:t>
      </w:r>
    </w:p>
    <w:p>
      <w:pPr>
        <w:pStyle w:val="BodyText"/>
      </w:pPr>
      <w:r>
        <w:rPr>
          <w:bCs/>
          <w:b/>
        </w:rPr>
        <w:t xml:space="preserve">第三章”CHS八大原理”</w:t>
      </w:r>
      <w:r>
        <w:t xml:space="preserve">回答了方法论——用什么原则来指导水系统的控制设计？从可控可观性（原理一）到持续演进（原理八），八大原理构成了一个从”能不能控制”到”如何持续改进”的完整方法论框架。</w:t>
      </w:r>
    </w:p>
    <w:p>
      <w:pPr>
        <w:pStyle w:val="BodyText"/>
      </w:pPr>
      <w:r>
        <w:rPr>
          <w:bCs/>
          <w:b/>
        </w:rPr>
        <w:t xml:space="preserve">第四章”水网自主等级（WNAL）“</w:t>
      </w:r>
      <w:r>
        <w:t xml:space="preserve">回答了度量——如何衡量一个水利工程的智能化水平？WNAL L0—L5六级分类提供了统一的”标尺”，ODD定义了每个等级的”有效范围”，等级跃迁机制定义了”升级条件”。</w:t>
      </w:r>
    </w:p>
    <w:p>
      <w:pPr>
        <w:pStyle w:val="BodyText"/>
      </w:pPr>
      <w:r>
        <w:rPr>
          <w:bCs/>
          <w:b/>
        </w:rPr>
        <w:t xml:space="preserve">第五章”HydroOS：水网操作系统”</w:t>
      </w:r>
      <w:r>
        <w:t xml:space="preserve">回答了载体——用什么架构来实现CHS的理论要求？HydroOS的三层架构（数据保障层DAL、物理AI引擎PAI、认知AI引擎CAI）和运行时治理机制（策略门禁、四态机、审计链）提供了从理论到工程的转化平台。</w:t>
      </w:r>
    </w:p>
    <w:p>
      <w:pPr>
        <w:pStyle w:val="BodyText"/>
      </w:pPr>
      <w:r>
        <w:rPr>
          <w:bCs/>
          <w:b/>
        </w:rPr>
        <w:t xml:space="preserve">第六章”关键工程实践”</w:t>
      </w:r>
      <w:r>
        <w:t xml:space="preserve">回答了验证——CHS在真实工程中效果如何？胶东调水、沙坪水电站和南水北调中线三个案例从不同角度证明了CHS框架的工程可行性，失败案例则证明了每一道安全防线的必要性。</w:t>
      </w:r>
    </w:p>
    <w:p>
      <w:pPr>
        <w:pStyle w:val="BodyText"/>
      </w:pPr>
      <w:r>
        <w:rPr>
          <w:bCs/>
          <w:b/>
        </w:rPr>
        <w:t xml:space="preserve">第七章”学科前景与人才培养”</w:t>
      </w:r>
      <w:r>
        <w:t xml:space="preserve">回答了保障——谁来建设、谁来运维、谁来持续迭代？四类复合能力、四支柱课程体系、三级实践平台和十年路线图提供了人才和组织层面的系统方案。</w:t>
      </w:r>
    </w:p>
    <w:bookmarkEnd w:id="20"/>
    <w:bookmarkStart w:id="21" w:name="chs核心概念关系总图"/>
    <w:p>
      <w:pPr>
        <w:pStyle w:val="Heading3"/>
      </w:pPr>
      <w:r>
        <w:t xml:space="preserve">8.1.2 CHS核心概念关系总图</w:t>
      </w:r>
    </w:p>
    <w:p>
      <w:pPr>
        <w:pStyle w:val="FirstParagraph"/>
      </w:pPr>
      <w:r>
        <w:t xml:space="preserve">[图8-2: CHS核心概念关系总图]</w:t>
      </w:r>
    </w:p>
    <w:p>
      <w:pPr>
        <w:pStyle w:val="BodyText"/>
      </w:pPr>
      <w:r>
        <w:t xml:space="preserve">表8-1以矩阵形式展示了CHS核心概念在各章的分布和关联。</w:t>
      </w:r>
    </w:p>
    <w:p>
      <w:pPr>
        <w:pStyle w:val="BodyText"/>
      </w:pPr>
      <w:r>
        <w:t xml:space="preserve">表8-1 CHS核心概念跨章映射矩阵</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核心概念</w:t>
            </w:r>
          </w:p>
        </w:tc>
        <w:tc>
          <w:tcPr/>
          <w:p>
            <w:pPr>
              <w:pStyle w:val="Compact"/>
              <w:jc w:val="left"/>
            </w:pPr>
            <w:r>
              <w:t xml:space="preserve">理论定义</w:t>
            </w:r>
          </w:p>
        </w:tc>
        <w:tc>
          <w:tcPr/>
          <w:p>
            <w:pPr>
              <w:pStyle w:val="Compact"/>
              <w:jc w:val="left"/>
            </w:pPr>
            <w:r>
              <w:t xml:space="preserve">工程实现</w:t>
            </w:r>
          </w:p>
        </w:tc>
        <w:tc>
          <w:tcPr/>
          <w:p>
            <w:pPr>
              <w:pStyle w:val="Compact"/>
              <w:jc w:val="left"/>
            </w:pPr>
            <w:r>
              <w:t xml:space="preserve">实践验证</w:t>
            </w:r>
          </w:p>
        </w:tc>
        <w:tc>
          <w:tcPr/>
          <w:p>
            <w:pPr>
              <w:pStyle w:val="Compact"/>
              <w:jc w:val="left"/>
            </w:pPr>
            <w:r>
              <w:t xml:space="preserve">人才要求</w:t>
            </w:r>
          </w:p>
        </w:tc>
      </w:tr>
      <w:tr>
        <w:tc>
          <w:tcPr/>
          <w:p>
            <w:pPr>
              <w:pStyle w:val="Compact"/>
              <w:jc w:val="left"/>
            </w:pPr>
            <w:r>
              <w:t xml:space="preserve">八大原理</w:t>
            </w:r>
          </w:p>
        </w:tc>
        <w:tc>
          <w:tcPr/>
          <w:p>
            <w:pPr>
              <w:pStyle w:val="Compact"/>
              <w:jc w:val="left"/>
            </w:pPr>
            <w:r>
              <w:t xml:space="preserve">Ch3</w:t>
            </w:r>
          </w:p>
        </w:tc>
        <w:tc>
          <w:tcPr/>
          <w:p>
            <w:pPr>
              <w:pStyle w:val="Compact"/>
              <w:jc w:val="left"/>
            </w:pPr>
            <w:r>
              <w:t xml:space="preserve">Ch5（架构设计依据）</w:t>
            </w:r>
          </w:p>
        </w:tc>
        <w:tc>
          <w:tcPr/>
          <w:p>
            <w:pPr>
              <w:pStyle w:val="Compact"/>
              <w:jc w:val="left"/>
            </w:pPr>
            <w:r>
              <w:t xml:space="preserve">Ch6（每个案例映射）</w:t>
            </w:r>
          </w:p>
        </w:tc>
        <w:tc>
          <w:tcPr/>
          <w:p>
            <w:pPr>
              <w:pStyle w:val="Compact"/>
              <w:jc w:val="left"/>
            </w:pPr>
            <w:r>
              <w:t xml:space="preserve">Ch7（能力A/B）</w:t>
            </w:r>
          </w:p>
        </w:tc>
      </w:tr>
      <w:tr>
        <w:tc>
          <w:tcPr/>
          <w:p>
            <w:pPr>
              <w:pStyle w:val="Compact"/>
              <w:jc w:val="left"/>
            </w:pPr>
            <w:r>
              <w:t xml:space="preserve">WNAL L0-L5</w:t>
            </w:r>
          </w:p>
        </w:tc>
        <w:tc>
          <w:tcPr/>
          <w:p>
            <w:pPr>
              <w:pStyle w:val="Compact"/>
              <w:jc w:val="left"/>
            </w:pPr>
            <w:r>
              <w:t xml:space="preserve">Ch4</w:t>
            </w:r>
          </w:p>
        </w:tc>
        <w:tc>
          <w:tcPr/>
          <w:p>
            <w:pPr>
              <w:pStyle w:val="Compact"/>
              <w:jc w:val="left"/>
            </w:pPr>
            <w:r>
              <w:t xml:space="preserve">Ch5（运行时等级管理）</w:t>
            </w:r>
          </w:p>
        </w:tc>
        <w:tc>
          <w:tcPr/>
          <w:p>
            <w:pPr>
              <w:pStyle w:val="Compact"/>
              <w:jc w:val="left"/>
            </w:pPr>
            <w:r>
              <w:t xml:space="preserve">Ch6（三案例等级跃迁）</w:t>
            </w:r>
          </w:p>
        </w:tc>
        <w:tc>
          <w:tcPr/>
          <w:p>
            <w:pPr>
              <w:pStyle w:val="Compact"/>
              <w:jc w:val="left"/>
            </w:pPr>
            <w:r>
              <w:t xml:space="preserve">Ch7（CE认证挂钩）</w:t>
            </w:r>
          </w:p>
        </w:tc>
      </w:tr>
      <w:tr>
        <w:tc>
          <w:tcPr/>
          <w:p>
            <w:pPr>
              <w:pStyle w:val="Compact"/>
              <w:jc w:val="left"/>
            </w:pPr>
            <w:r>
              <w:t xml:space="preserve">ODD</w:t>
            </w:r>
          </w:p>
        </w:tc>
        <w:tc>
          <w:tcPr/>
          <w:p>
            <w:pPr>
              <w:pStyle w:val="Compact"/>
              <w:jc w:val="left"/>
            </w:pPr>
            <w:r>
              <w:t xml:space="preserve">Ch4§4.4</w:t>
            </w:r>
          </w:p>
        </w:tc>
        <w:tc>
          <w:tcPr/>
          <w:p>
            <w:pPr>
              <w:pStyle w:val="Compact"/>
              <w:jc w:val="left"/>
            </w:pPr>
            <w:r>
              <w:t xml:space="preserve">Ch5（ODD参数管理）</w:t>
            </w:r>
          </w:p>
        </w:tc>
        <w:tc>
          <w:tcPr/>
          <w:p>
            <w:pPr>
              <w:pStyle w:val="Compact"/>
              <w:jc w:val="left"/>
            </w:pPr>
            <w:r>
              <w:t xml:space="preserve">Ch6（胶东/沙坪/南水北调）</w:t>
            </w:r>
          </w:p>
        </w:tc>
        <w:tc>
          <w:tcPr/>
          <w:p>
            <w:pPr>
              <w:pStyle w:val="Compact"/>
              <w:jc w:val="left"/>
            </w:pPr>
            <w:r>
              <w:t xml:space="preserve">Ch7（D1课程）</w:t>
            </w:r>
          </w:p>
        </w:tc>
      </w:tr>
      <w:tr>
        <w:tc>
          <w:tcPr/>
          <w:p>
            <w:pPr>
              <w:pStyle w:val="Compact"/>
              <w:jc w:val="left"/>
            </w:pPr>
            <w:r>
              <w:t xml:space="preserve">安全包络</w:t>
            </w:r>
          </w:p>
        </w:tc>
        <w:tc>
          <w:tcPr/>
          <w:p>
            <w:pPr>
              <w:pStyle w:val="Compact"/>
              <w:jc w:val="left"/>
            </w:pPr>
            <w:r>
              <w:t xml:space="preserve">Ch3原理四</w:t>
            </w:r>
          </w:p>
        </w:tc>
        <w:tc>
          <w:tcPr/>
          <w:p>
            <w:pPr>
              <w:pStyle w:val="Compact"/>
              <w:jc w:val="left"/>
            </w:pPr>
            <w:r>
              <w:t xml:space="preserve">Ch5§5.6（三区边界）</w:t>
            </w:r>
          </w:p>
        </w:tc>
        <w:tc>
          <w:tcPr/>
          <w:p>
            <w:pPr>
              <w:pStyle w:val="Compact"/>
              <w:jc w:val="left"/>
            </w:pPr>
            <w:r>
              <w:t xml:space="preserve">Ch6§6.6（失败防线）</w:t>
            </w:r>
          </w:p>
        </w:tc>
        <w:tc>
          <w:tcPr/>
          <w:p>
            <w:pPr>
              <w:pStyle w:val="Compact"/>
              <w:jc w:val="left"/>
            </w:pPr>
            <w:r>
              <w:t xml:space="preserve">Ch7（D1课程）</w:t>
            </w:r>
          </w:p>
        </w:tc>
      </w:tr>
      <w:tr>
        <w:tc>
          <w:tcPr/>
          <w:p>
            <w:pPr>
              <w:pStyle w:val="Compact"/>
              <w:jc w:val="left"/>
            </w:pPr>
            <w:r>
              <w:t xml:space="preserve">HydroOS</w:t>
            </w:r>
          </w:p>
        </w:tc>
        <w:tc>
          <w:tcPr/>
          <w:p>
            <w:pPr>
              <w:pStyle w:val="Compact"/>
              <w:jc w:val="left"/>
            </w:pPr>
            <w:r>
              <w:t xml:space="preserve">Ch5</w:t>
            </w:r>
          </w:p>
        </w:tc>
        <w:tc>
          <w:tcPr/>
          <w:p>
            <w:pPr>
              <w:pStyle w:val="Compact"/>
              <w:jc w:val="left"/>
            </w:pPr>
            <w:r>
              <w:t xml:space="preserve">Ch5（完整架构）</w:t>
            </w:r>
          </w:p>
        </w:tc>
        <w:tc>
          <w:tcPr/>
          <w:p>
            <w:pPr>
              <w:pStyle w:val="Compact"/>
              <w:jc w:val="left"/>
            </w:pPr>
            <w:r>
              <w:t xml:space="preserve">Ch6（SCADA叠加部署）</w:t>
            </w:r>
          </w:p>
        </w:tc>
        <w:tc>
          <w:tcPr/>
          <w:p>
            <w:pPr>
              <w:pStyle w:val="Compact"/>
              <w:jc w:val="left"/>
            </w:pPr>
            <w:r>
              <w:t xml:space="preserve">Ch7（C1课程）</w:t>
            </w:r>
          </w:p>
        </w:tc>
      </w:tr>
      <w:tr>
        <w:tc>
          <w:tcPr/>
          <w:p>
            <w:pPr>
              <w:pStyle w:val="Compact"/>
              <w:jc w:val="left"/>
            </w:pPr>
            <w:r>
              <w:t xml:space="preserve">在环测试</w:t>
            </w:r>
          </w:p>
        </w:tc>
        <w:tc>
          <w:tcPr/>
          <w:p>
            <w:pPr>
              <w:pStyle w:val="Compact"/>
              <w:jc w:val="left"/>
            </w:pPr>
            <w:r>
              <w:t xml:space="preserve">Ch3原理五</w:t>
            </w:r>
          </w:p>
        </w:tc>
        <w:tc>
          <w:tcPr/>
          <w:p>
            <w:pPr>
              <w:pStyle w:val="Compact"/>
              <w:jc w:val="left"/>
            </w:pPr>
            <w:r>
              <w:t xml:space="preserve">Ch5§5.7（MIL/SIL/HIL）</w:t>
            </w:r>
          </w:p>
        </w:tc>
        <w:tc>
          <w:tcPr/>
          <w:p>
            <w:pPr>
              <w:pStyle w:val="Compact"/>
              <w:jc w:val="left"/>
            </w:pPr>
            <w:r>
              <w:t xml:space="preserve">Ch6§6.2.5（胶东实证）</w:t>
            </w:r>
          </w:p>
        </w:tc>
        <w:tc>
          <w:tcPr/>
          <w:p>
            <w:pPr>
              <w:pStyle w:val="Compact"/>
              <w:jc w:val="left"/>
            </w:pPr>
            <w:r>
              <w:t xml:space="preserve">Ch7（C3课程）</w:t>
            </w:r>
          </w:p>
        </w:tc>
      </w:tr>
      <w:tr>
        <w:tc>
          <w:tcPr/>
          <w:p>
            <w:pPr>
              <w:pStyle w:val="Compact"/>
              <w:jc w:val="left"/>
            </w:pPr>
            <w:r>
              <w:t xml:space="preserve">审计链</w:t>
            </w:r>
          </w:p>
        </w:tc>
        <w:tc>
          <w:tcPr/>
          <w:p>
            <w:pPr>
              <w:pStyle w:val="Compact"/>
              <w:jc w:val="left"/>
            </w:pPr>
            <w:r>
              <w:t xml:space="preserve">Ch3原理六</w:t>
            </w:r>
          </w:p>
        </w:tc>
        <w:tc>
          <w:tcPr/>
          <w:p>
            <w:pPr>
              <w:pStyle w:val="Compact"/>
              <w:jc w:val="left"/>
            </w:pPr>
            <w:r>
              <w:t xml:space="preserve">Ch5§5.6（审计记录）</w:t>
            </w:r>
          </w:p>
        </w:tc>
        <w:tc>
          <w:tcPr/>
          <w:p>
            <w:pPr>
              <w:pStyle w:val="Compact"/>
              <w:jc w:val="left"/>
            </w:pPr>
            <w:r>
              <w:t xml:space="preserve">Ch6（全案例贯穿）</w:t>
            </w:r>
          </w:p>
        </w:tc>
        <w:tc>
          <w:tcPr/>
          <w:p>
            <w:pPr>
              <w:pStyle w:val="Compact"/>
              <w:jc w:val="left"/>
            </w:pPr>
            <w:r>
              <w:t xml:space="preserve">Ch7（D3课程）</w:t>
            </w:r>
          </w:p>
        </w:tc>
      </w:tr>
      <w:tr>
        <w:tc>
          <w:tcPr/>
          <w:p>
            <w:pPr>
              <w:pStyle w:val="Compact"/>
              <w:jc w:val="left"/>
            </w:pPr>
            <w:r>
              <w:t xml:space="preserve">四态机</w:t>
            </w:r>
          </w:p>
        </w:tc>
        <w:tc>
          <w:tcPr/>
          <w:p>
            <w:pPr>
              <w:pStyle w:val="Compact"/>
              <w:jc w:val="left"/>
            </w:pPr>
            <w:r>
              <w:t xml:space="preserve">Ch3原理四</w:t>
            </w:r>
          </w:p>
        </w:tc>
        <w:tc>
          <w:tcPr/>
          <w:p>
            <w:pPr>
              <w:pStyle w:val="Compact"/>
              <w:jc w:val="left"/>
            </w:pPr>
            <w:r>
              <w:t xml:space="preserve">Ch5§5.6（状态转换）</w:t>
            </w:r>
          </w:p>
        </w:tc>
        <w:tc>
          <w:tcPr/>
          <w:p>
            <w:pPr>
              <w:pStyle w:val="Compact"/>
              <w:jc w:val="left"/>
            </w:pPr>
            <w:r>
              <w:t xml:space="preserve">Ch6§6.2.5（降级统计）</w:t>
            </w:r>
          </w:p>
        </w:tc>
        <w:tc>
          <w:tcPr/>
          <w:p>
            <w:pPr>
              <w:pStyle w:val="Compact"/>
              <w:jc w:val="left"/>
            </w:pPr>
            <w:r>
              <w:t xml:space="preserve">Ch7（CE4培训）</w:t>
            </w:r>
          </w:p>
        </w:tc>
      </w:tr>
    </w:tbl>
    <w:p>
      <w:pPr>
        <w:pStyle w:val="BodyText"/>
      </w:pPr>
      <w:r>
        <w:t xml:space="preserve">这张矩阵揭示了一个重要的结构特征：</w:t>
      </w:r>
      <w:r>
        <w:rPr>
          <w:bCs/>
          <w:b/>
        </w:rPr>
        <w:t xml:space="preserve">CHS不是一组独立概念的集合，而是一个高度关联的概念网络</w:t>
      </w:r>
      <w:r>
        <w:t xml:space="preserve">——每个概念都在多个章节中出现，每次出现都带来更深一层的理解。例如，ODD在第四章是”定义”，在第五章是”工程实现”，在第六章是”实践中的扩展与失败”，在第七章是”教学内容”。</w:t>
      </w:r>
    </w:p>
    <w:p>
      <w:pPr>
        <w:pStyle w:val="BodyText"/>
      </w:pPr>
      <w:r>
        <w:t xml:space="preserve">全书回顾建立了”我们已经走了多远”的坐标，接下来讨论”我们还要走多远、走向哪里”。</w:t>
      </w:r>
    </w:p>
    <w:p>
      <w:r>
        <w:pict>
          <v:rect style="width:0;height:1.5pt" o:hralign="center" o:hrstd="t" o:hr="t"/>
        </w:pict>
      </w:r>
    </w:p>
    <w:bookmarkEnd w:id="21"/>
    <w:bookmarkEnd w:id="22"/>
    <w:bookmarkStart w:id="27" w:name="技术前沿未来十年的关键方向"/>
    <w:p>
      <w:pPr>
        <w:pStyle w:val="Heading2"/>
      </w:pPr>
      <w:r>
        <w:t xml:space="preserve">8.2 技术前沿：未来十年的关键方向</w:t>
      </w:r>
    </w:p>
    <w:bookmarkStart w:id="23" w:name="从确定性控制到不确定性管理"/>
    <w:p>
      <w:pPr>
        <w:pStyle w:val="Heading3"/>
      </w:pPr>
      <w:r>
        <w:t xml:space="preserve">8.2.1 从确定性控制到不确定性管理</w:t>
      </w:r>
    </w:p>
    <w:p>
      <w:pPr>
        <w:pStyle w:val="FirstParagraph"/>
      </w:pPr>
      <w:r>
        <w:t xml:space="preserve">CHS目前的核心控制工具——MPC——建立在”模型基本准确、扰动基本可预测”的假设之上。但水利系统面临的不确定性正在加剧：极端气候事件的频率和强度增加、城镇化改变了流域的产汇流特性、跨流域调水使得系统边界更加开放和动态。</w:t>
      </w:r>
    </w:p>
    <w:p>
      <w:pPr>
        <w:pStyle w:val="BodyText"/>
      </w:pPr>
      <w:r>
        <w:t xml:space="preserve">未来十年，CHS的控制理论需要从”确定性最优”向”不确定性鲁棒”演进。具体的技术方向包括：</w:t>
      </w:r>
    </w:p>
    <w:p>
      <w:pPr>
        <w:pStyle w:val="BodyText"/>
      </w:pPr>
      <w:r>
        <w:rPr>
          <w:bCs/>
          <w:b/>
        </w:rPr>
        <w:t xml:space="preserve">随机MPC与场景优化。</w:t>
      </w:r>
      <w:r>
        <w:t xml:space="preserve"> </w:t>
      </w:r>
      <w:r>
        <w:t xml:space="preserve">将来水预报的不确定性（通常以集合预报的形式表达）直接纳入MPC的优化框架，在多个可能的未来场景中寻找”最不坏”的控制策略，而非在单一预报下寻找”最优”策略 [8-1]。第六章沙坪水电站的实践已经表明，在来水预报不确定性较大时，确定性MPC的决策可能误导调度员。</w:t>
      </w:r>
    </w:p>
    <w:p>
      <w:pPr>
        <w:pStyle w:val="BodyText"/>
      </w:pPr>
      <w:r>
        <w:rPr>
          <w:bCs/>
          <w:b/>
        </w:rPr>
        <w:t xml:space="preserve">分布式鲁棒优化。</w:t>
      </w:r>
      <w:r>
        <w:t xml:space="preserve"> </w:t>
      </w:r>
      <w:r>
        <w:t xml:space="preserve">对于南水北调中线这样的超大规模系统，集中式MPC面临”维数灾难”——状态变量超过500维、约束数千个。分布式MPC将全局问题分解为多个子问题，各子问题在本地求解后通过协商机制达成全局一致 [8-2]。这一方向的挑战不在算法本身，而在如何保证分布式求解的收敛性和全局安全性。</w:t>
      </w:r>
    </w:p>
    <w:p>
      <w:pPr>
        <w:pStyle w:val="BodyText"/>
      </w:pPr>
      <w:r>
        <w:rPr>
          <w:bCs/>
          <w:b/>
        </w:rPr>
        <w:t xml:space="preserve">自适应ODD管理。</w:t>
      </w:r>
      <w:r>
        <w:t xml:space="preserve"> </w:t>
      </w:r>
      <w:r>
        <w:t xml:space="preserve">当前ODD是”静态定义、人工扩展”——每次扩展都需要完整的SIL/HIL验证。未来的方向是”动态ODD”——系统根据实时状态和历史数据，自动评估当前工况是否仍在ODD范围内，并在检测到ODD边界趋近时提前预警或自动收缩自主权限 [8-3]。这需要高可靠的在线状态估计和ODD边界检测算法。</w:t>
      </w:r>
    </w:p>
    <w:bookmarkEnd w:id="23"/>
    <w:bookmarkStart w:id="24" w:name="从物理ai到认知ai的深化"/>
    <w:p>
      <w:pPr>
        <w:pStyle w:val="Heading3"/>
      </w:pPr>
      <w:r>
        <w:t xml:space="preserve">8.2.2 从物理AI到认知AI的深化</w:t>
      </w:r>
    </w:p>
    <w:p>
      <w:pPr>
        <w:pStyle w:val="FirstParagraph"/>
      </w:pPr>
      <w:r>
        <w:t xml:space="preserve">第五章引入的PAI-CAI双引擎架构，目前PAI（物理AI）引擎的技术成熟度显著高于CAI（认知AI）引擎。PAI的核心——基于物理模型的数值优化——已有半个世纪的理论积累和工程实践。而CAI的核心功能——态势感知、方案解释、人机对话——仍处于早期探索阶段。</w:t>
      </w:r>
    </w:p>
    <w:tbl>
      <w:tblPr>
        <w:tblStyle w:val="Table"/>
        <w:tblW w:type="auto" w:w="0"/>
        <w:tblLook w:firstRow="0" w:lastRow="0" w:firstColumn="0" w:lastColumn="0" w:noHBand="0" w:noVBand="0" w:val="0000"/>
        <w:jc w:val="start"/>
      </w:tblPr>
      <w:tblGrid>
        <w:gridCol w:w="7920"/>
      </w:tblGrid>
      <w:tr>
        <w:tc>
          <w:tcPr/>
          <w:p>
            <w:pPr>
              <w:pStyle w:val="Compact"/>
              <w:jc w:val="left"/>
            </w:pPr>
            <w:r>
              <w:t xml:space="preserve">📖 给水利工程师的速览：CAI能做什么、不能做什么？</w:t>
            </w:r>
          </w:p>
        </w:tc>
      </w:tr>
      <w:tr>
        <w:tc>
          <w:tcPr/>
          <w:p>
            <w:pPr>
              <w:pStyle w:val="Compact"/>
              <w:jc w:val="left"/>
            </w:pPr>
            <w:r>
              <w:t xml:space="preserve">当前CAI引擎能做的：将多源信息（SCADA数据、预报、设备状态）整合为结构化态势报告、为PAI生成的优化方案附加自然语言解释、在多方案中按调度员偏好推荐最适方案。当前CAI不能做的：独立做出超出PAI计算范围的创造性决策、理解和预测人类调度员的心理状态（如疲劳、注意力分散）、在完全未知的工况下提供可靠的安全判断。简言之，CAI是”高级参谋”而不是”决策者”。</w:t>
            </w:r>
          </w:p>
        </w:tc>
      </w:tr>
    </w:tbl>
    <w:p>
      <w:pPr>
        <w:pStyle w:val="FirstParagraph"/>
      </w:pPr>
      <w:r>
        <w:t xml:space="preserve">未来十年CAI发展的关键方向包括：</w:t>
      </w:r>
    </w:p>
    <w:p>
      <w:pPr>
        <w:pStyle w:val="BodyText"/>
      </w:pPr>
      <w:r>
        <w:rPr>
          <w:bCs/>
          <w:b/>
        </w:rPr>
        <w:t xml:space="preserve">多模态态势感知。</w:t>
      </w:r>
      <w:r>
        <w:t xml:space="preserve"> </w:t>
      </w:r>
      <w:r>
        <w:t xml:space="preserve">目前CAI的输入主要是SCADA数据（结构化数值）。未来应扩展到图像（水面状态、设备外观）、声音（泵站和闸门的运行噪声异常检测）和自然语言（调度员的口头报告和日志）。多模态信息的融合将显著提升CAI的态势感知覆盖面和鲁棒性 [8-4]。</w:t>
      </w:r>
    </w:p>
    <w:p>
      <w:pPr>
        <w:pStyle w:val="BodyText"/>
      </w:pPr>
      <w:r>
        <w:rPr>
          <w:bCs/>
          <w:b/>
        </w:rPr>
        <w:t xml:space="preserve">可解释性的深化。</w:t>
      </w:r>
      <w:r>
        <w:t xml:space="preserve"> </w:t>
      </w:r>
      <w:r>
        <w:t xml:space="preserve">当前CAI的”解释”主要是对PAI优化结果的文字描述。更深层的可解释性意味着：CAI能够回答”为什么不选方案B”（反事实解释）、</w:t>
      </w:r>
      <w:r>
        <w:t xml:space="preserve">“</w:t>
      </w:r>
      <w:r>
        <w:t xml:space="preserve">如果来水预报变了会怎样</w:t>
      </w:r>
      <w:r>
        <w:t xml:space="preserve">”</w:t>
      </w:r>
      <w:r>
        <w:t xml:space="preserve">（敏感性分析）、以及”这个建议的置信度有多高”（不确定性量化）。这些能力对于建立调度员对系统的信任至关重要 [8-5]。</w:t>
      </w:r>
    </w:p>
    <w:p>
      <w:pPr>
        <w:pStyle w:val="BodyText"/>
      </w:pPr>
      <w:r>
        <w:rPr>
          <w:bCs/>
          <w:b/>
        </w:rPr>
        <w:t xml:space="preserve">人机协作模式的演进。</w:t>
      </w:r>
      <w:r>
        <w:t xml:space="preserve"> </w:t>
      </w:r>
      <w:r>
        <w:t xml:space="preserve">从”系统建议→人工确认”的单向模式，向”系统建议↔人工反馈→系统学习”的双向模式演进。CAI应能从调度员的决策偏好中学习——例如，某位调度长在暴雨工况下倾向于更保守的策略——并在后续类似工况中自动调整推荐方案的风格。这涉及强化学习和偏好建模的交叉领域 [8-6]。</w:t>
      </w:r>
    </w:p>
    <w:bookmarkEnd w:id="24"/>
    <w:bookmarkStart w:id="25" w:name="从单一水系统到水-能-食纽带"/>
    <w:p>
      <w:pPr>
        <w:pStyle w:val="Heading3"/>
      </w:pPr>
      <w:r>
        <w:t xml:space="preserve">8.2.3 从单一水系统到水-能-食纽带</w:t>
      </w:r>
    </w:p>
    <w:p>
      <w:pPr>
        <w:pStyle w:val="FirstParagraph"/>
      </w:pPr>
      <w:r>
        <w:t xml:space="preserve">水利系统从来不是孤立的。水电站的运行与电网调度直接关联，灌区的供水与粮食生产直接关联，城市供水与能源消耗（泵站用电）直接关联。这种”水-能-食纽带”（Water-Energy-Food Nexus）关系意味着，水系统的最优运行不能只在水利系统内部寻找，而需要考虑与其他基础设施系统的协同优化 [8-7]。</w:t>
      </w:r>
    </w:p>
    <w:p>
      <w:pPr>
        <w:pStyle w:val="BodyText"/>
      </w:pPr>
      <w:r>
        <w:t xml:space="preserve">对CHS框架而言，这提出了一个深层的理论挑战：</w:t>
      </w:r>
      <w:r>
        <w:rPr>
          <w:bCs/>
          <w:b/>
        </w:rPr>
        <w:t xml:space="preserve">当控制边界从单一水系统扩展到水-能-食纽带时，ODD如何定义？安全包络如何设计？责任如何划分？</w:t>
      </w:r>
      <w:r>
        <w:t xml:space="preserve"> </w:t>
      </w:r>
      <w:r>
        <w:t xml:space="preserve">一个水电站的泄洪决策可能影响电网的频率稳定性，一个灌区的供水决策可能影响下游城市的供水安全——在这种跨系统耦合下，</w:t>
      </w:r>
      <w:r>
        <w:t xml:space="preserve">“</w:t>
      </w:r>
      <w:r>
        <w:t xml:space="preserve">谁有权做决策</w:t>
      </w:r>
      <w:r>
        <w:t xml:space="preserve">”</w:t>
      </w:r>
      <w:r>
        <w:t xml:space="preserve">和”谁承担后果”的问题变得更加复杂。</w:t>
      </w:r>
    </w:p>
    <w:p>
      <w:pPr>
        <w:pStyle w:val="BlockText"/>
      </w:pPr>
      <w:r>
        <w:rPr>
          <w:bCs/>
          <w:b/>
        </w:rPr>
        <w:t xml:space="preserve">概念辨析框：系统边界（System Boundary） vs 控制边界（Control Boundary）</w:t>
      </w:r>
      <w:r>
        <w:t xml:space="preserve"> </w:t>
      </w:r>
      <w:r>
        <w:t xml:space="preserve">系统边界是物理意义上的——水从哪里来、到哪里去，涉及哪些工程设施。控制边界是管理意义上的——谁有权调整哪些设备，谁对哪些后果负责。在传统水利管理中，两者大致重合——一个管理段就是一个控制边界。但在水-能-食纽带的视角下，系统边界扩大了（需要考虑电网和农业的约束），而控制边界可能保持不变（水利部门仍然只管水利设施）。这种”系统边界＞控制边界”的不匹配是未来CHS理论需要解决的核心问题之一。</w:t>
      </w:r>
    </w:p>
    <w:bookmarkEnd w:id="25"/>
    <w:bookmarkStart w:id="26" w:name="从工程智能到标准智能"/>
    <w:p>
      <w:pPr>
        <w:pStyle w:val="Heading3"/>
      </w:pPr>
      <w:r>
        <w:t xml:space="preserve">8.2.4 从工程智能到标准智能</w:t>
      </w:r>
    </w:p>
    <w:p>
      <w:pPr>
        <w:pStyle w:val="FirstParagraph"/>
      </w:pPr>
      <w:r>
        <w:t xml:space="preserve">目前CHS的工程实践高度依赖”定制化”——每个工程的模型需要单独建立、控制器需要单独调试、ODD需要单独定义。这种”一事一议”的模式成本高、周期长，是CHS技术大规模推广的主要障碍。</w:t>
      </w:r>
    </w:p>
    <w:p>
      <w:pPr>
        <w:pStyle w:val="BodyText"/>
      </w:pPr>
      <w:r>
        <w:t xml:space="preserve">未来的方向是”标准化”——建立一套标准化的工程模板，让新工程能够以”配置”而非”开发”的方式接入CHS能力。具体包括：</w:t>
      </w:r>
    </w:p>
    <w:p>
      <w:pPr>
        <w:pStyle w:val="BodyText"/>
      </w:pPr>
      <w:r>
        <w:rPr>
          <w:bCs/>
          <w:b/>
        </w:rPr>
        <w:t xml:space="preserve">标准化的模型库。</w:t>
      </w:r>
      <w:r>
        <w:t xml:space="preserve"> </w:t>
      </w:r>
      <w:r>
        <w:t xml:space="preserve">为常见的水利工程类型（明渠、管网、水库、泵站、闸门）建立参数化的标准模型。新工程只需提供几何参数和运行参数，就能自动生成控制导向的水力模型——而不是每次都从Saint-Venant方程开始推导 [8-8]。</w:t>
      </w:r>
    </w:p>
    <w:p>
      <w:pPr>
        <w:pStyle w:val="BodyText"/>
      </w:pPr>
      <w:r>
        <w:rPr>
          <w:bCs/>
          <w:b/>
        </w:rPr>
        <w:t xml:space="preserve">标准化的ODD模板。</w:t>
      </w:r>
      <w:r>
        <w:t xml:space="preserve"> </w:t>
      </w:r>
      <w:r>
        <w:t xml:space="preserve">为每种工程类型和WNAL等级定义标准的ODD维度和参考阈值。新工程的ODD定义从模板出发，根据本地条件微调——而不是每次都从空白开始设计。</w:t>
      </w:r>
    </w:p>
    <w:p>
      <w:pPr>
        <w:pStyle w:val="BodyText"/>
      </w:pPr>
      <w:r>
        <w:rPr>
          <w:bCs/>
          <w:b/>
        </w:rPr>
        <w:t xml:space="preserve">标准化的测试场景库。</w:t>
      </w:r>
      <w:r>
        <w:t xml:space="preserve"> </w:t>
      </w:r>
      <w:r>
        <w:t xml:space="preserve">第七章提到的基准测试库（benchmark），不仅用于学术研究，也用于工程验收——每个WNAL等级的跃迁都需要通过对应的标准测试场景集 [8-9]。</w:t>
      </w:r>
    </w:p>
    <w:p>
      <w:pPr>
        <w:pStyle w:val="BodyText"/>
      </w:pPr>
      <w:r>
        <w:t xml:space="preserve">技术前沿描绘了”方向”，但真正落地还需要产业生态和治理框架的支撑。</w:t>
      </w:r>
    </w:p>
    <w:p>
      <w:r>
        <w:pict>
          <v:rect style="width:0;height:1.5pt" o:hralign="center" o:hrstd="t" o:hr="t"/>
        </w:pict>
      </w:r>
    </w:p>
    <w:bookmarkEnd w:id="26"/>
    <w:bookmarkEnd w:id="27"/>
    <w:bookmarkStart w:id="31" w:name="产业生态从点状成功到系统能力"/>
    <w:p>
      <w:pPr>
        <w:pStyle w:val="Heading2"/>
      </w:pPr>
      <w:r>
        <w:t xml:space="preserve">8.3 产业生态：从点状成功到系统能力</w:t>
      </w:r>
    </w:p>
    <w:bookmarkStart w:id="28" w:name="十年路线图三阶段推进"/>
    <w:p>
      <w:pPr>
        <w:pStyle w:val="Heading3"/>
      </w:pPr>
      <w:r>
        <w:t xml:space="preserve">8.3.1 十年路线图：三阶段推进</w:t>
      </w:r>
    </w:p>
    <w:p>
      <w:pPr>
        <w:pStyle w:val="FirstParagraph"/>
      </w:pPr>
      <w:r>
        <w:t xml:space="preserve">[图8-1: 从SCADA到自主运行生态的十年路线图]</w:t>
      </w:r>
    </w:p>
    <w:p>
      <w:pPr>
        <w:pStyle w:val="BodyText"/>
      </w:pPr>
      <w:r>
        <w:t xml:space="preserve">表8-2 十年产业路线图三阶段里程碑</w:t>
      </w:r>
    </w:p>
    <w:tbl>
      <w:tblPr>
        <w:tblStyle w:val="Table"/>
        <w:tblW w:type="pct" w:w="5000"/>
        <w:tblLook w:firstRow="1" w:lastRow="0" w:firstColumn="0" w:lastColumn="0" w:noHBand="0" w:noVBand="0" w:val="0020"/>
        <w:jc w:val="start"/>
      </w:tblPr>
      <w:tblGrid>
        <w:gridCol w:w="990"/>
        <w:gridCol w:w="990"/>
        <w:gridCol w:w="1485"/>
        <w:gridCol w:w="1485"/>
        <w:gridCol w:w="1485"/>
        <w:gridCol w:w="1485"/>
      </w:tblGrid>
      <w:tr>
        <w:trPr>
          <w:tblHeader w:val="true"/>
        </w:trPr>
        <w:tc>
          <w:tcPr/>
          <w:p>
            <w:pPr>
              <w:pStyle w:val="Compact"/>
              <w:jc w:val="left"/>
            </w:pPr>
            <w:r>
              <w:t xml:space="preserve">阶段</w:t>
            </w:r>
          </w:p>
        </w:tc>
        <w:tc>
          <w:tcPr/>
          <w:p>
            <w:pPr>
              <w:pStyle w:val="Compact"/>
              <w:jc w:val="left"/>
            </w:pPr>
            <w:r>
              <w:t xml:space="preserve">时间</w:t>
            </w:r>
          </w:p>
        </w:tc>
        <w:tc>
          <w:tcPr/>
          <w:p>
            <w:pPr>
              <w:pStyle w:val="Compact"/>
              <w:jc w:val="left"/>
            </w:pPr>
            <w:r>
              <w:t xml:space="preserve">核心目标</w:t>
            </w:r>
          </w:p>
        </w:tc>
        <w:tc>
          <w:tcPr/>
          <w:p>
            <w:pPr>
              <w:pStyle w:val="Compact"/>
              <w:jc w:val="left"/>
            </w:pPr>
            <w:r>
              <w:t xml:space="preserve">技术维度</w:t>
            </w:r>
          </w:p>
        </w:tc>
        <w:tc>
          <w:tcPr/>
          <w:p>
            <w:pPr>
              <w:pStyle w:val="Compact"/>
              <w:jc w:val="left"/>
            </w:pPr>
            <w:r>
              <w:t xml:space="preserve">组织维度</w:t>
            </w:r>
          </w:p>
        </w:tc>
        <w:tc>
          <w:tcPr/>
          <w:p>
            <w:pPr>
              <w:pStyle w:val="Compact"/>
              <w:jc w:val="left"/>
            </w:pPr>
            <w:r>
              <w:t xml:space="preserve">治理维度</w:t>
            </w:r>
          </w:p>
        </w:tc>
      </w:tr>
      <w:tr>
        <w:tc>
          <w:tcPr/>
          <w:p>
            <w:pPr>
              <w:pStyle w:val="Compact"/>
              <w:jc w:val="left"/>
            </w:pPr>
            <w:r>
              <w:t xml:space="preserve">I: 标准化与试点</w:t>
            </w:r>
          </w:p>
        </w:tc>
        <w:tc>
          <w:tcPr/>
          <w:p>
            <w:pPr>
              <w:pStyle w:val="Compact"/>
              <w:jc w:val="left"/>
            </w:pPr>
            <w:r>
              <w:t xml:space="preserve">2026—2028</w:t>
            </w:r>
          </w:p>
        </w:tc>
        <w:tc>
          <w:tcPr/>
          <w:p>
            <w:pPr>
              <w:pStyle w:val="Compact"/>
              <w:jc w:val="left"/>
            </w:pPr>
            <w:r>
              <w:t xml:space="preserve">可复制样板</w:t>
            </w:r>
          </w:p>
        </w:tc>
        <w:tc>
          <w:tcPr/>
          <w:p>
            <w:pPr>
              <w:pStyle w:val="Compact"/>
              <w:jc w:val="left"/>
            </w:pPr>
            <w:r>
              <w:t xml:space="preserve">统一术语/分级/测试口径</w:t>
            </w:r>
          </w:p>
        </w:tc>
        <w:tc>
          <w:tcPr/>
          <w:p>
            <w:pPr>
              <w:pStyle w:val="Compact"/>
              <w:jc w:val="left"/>
            </w:pPr>
            <w:r>
              <w:t xml:space="preserve">首批产学研联合体</w:t>
            </w:r>
          </w:p>
        </w:tc>
        <w:tc>
          <w:tcPr/>
          <w:p>
            <w:pPr>
              <w:pStyle w:val="Compact"/>
              <w:jc w:val="left"/>
            </w:pPr>
            <w:r>
              <w:t xml:space="preserve">ODD标准+审计导则</w:t>
            </w:r>
          </w:p>
        </w:tc>
      </w:tr>
      <w:tr>
        <w:tc>
          <w:tcPr/>
          <w:p>
            <w:pPr>
              <w:pStyle w:val="Compact"/>
              <w:jc w:val="left"/>
            </w:pPr>
            <w:r>
              <w:t xml:space="preserve">II: 规模化与认证</w:t>
            </w:r>
          </w:p>
        </w:tc>
        <w:tc>
          <w:tcPr/>
          <w:p>
            <w:pPr>
              <w:pStyle w:val="Compact"/>
              <w:jc w:val="left"/>
            </w:pPr>
            <w:r>
              <w:t xml:space="preserve">2029—2031</w:t>
            </w:r>
          </w:p>
        </w:tc>
        <w:tc>
          <w:tcPr/>
          <w:p>
            <w:pPr>
              <w:pStyle w:val="Compact"/>
              <w:jc w:val="left"/>
            </w:pPr>
            <w:r>
              <w:t xml:space="preserve">行业常态</w:t>
            </w:r>
          </w:p>
        </w:tc>
        <w:tc>
          <w:tcPr/>
          <w:p>
            <w:pPr>
              <w:pStyle w:val="Compact"/>
              <w:jc w:val="left"/>
            </w:pPr>
            <w:r>
              <w:t xml:space="preserve">跨流域部署+标准模型库</w:t>
            </w:r>
          </w:p>
        </w:tc>
        <w:tc>
          <w:tcPr/>
          <w:p>
            <w:pPr>
              <w:pStyle w:val="Compact"/>
              <w:jc w:val="left"/>
            </w:pPr>
            <w:r>
              <w:t xml:space="preserve">认证体系+继续教育</w:t>
            </w:r>
          </w:p>
        </w:tc>
        <w:tc>
          <w:tcPr/>
          <w:p>
            <w:pPr>
              <w:pStyle w:val="Compact"/>
              <w:jc w:val="left"/>
            </w:pPr>
            <w:r>
              <w:t xml:space="preserve">WNAL准入制度</w:t>
            </w:r>
          </w:p>
        </w:tc>
      </w:tr>
      <w:tr>
        <w:tc>
          <w:tcPr/>
          <w:p>
            <w:pPr>
              <w:pStyle w:val="Compact"/>
              <w:jc w:val="left"/>
            </w:pPr>
            <w:r>
              <w:t xml:space="preserve">III: 生态化与国际协同</w:t>
            </w:r>
          </w:p>
        </w:tc>
        <w:tc>
          <w:tcPr/>
          <w:p>
            <w:pPr>
              <w:pStyle w:val="Compact"/>
              <w:jc w:val="left"/>
            </w:pPr>
            <w:r>
              <w:t xml:space="preserve">2032—2035</w:t>
            </w:r>
          </w:p>
        </w:tc>
        <w:tc>
          <w:tcPr/>
          <w:p>
            <w:pPr>
              <w:pStyle w:val="Compact"/>
              <w:jc w:val="left"/>
            </w:pPr>
            <w:r>
              <w:t xml:space="preserve">自主运行生态</w:t>
            </w:r>
          </w:p>
        </w:tc>
        <w:tc>
          <w:tcPr/>
          <w:p>
            <w:pPr>
              <w:pStyle w:val="Compact"/>
              <w:jc w:val="left"/>
            </w:pPr>
            <w:r>
              <w:t xml:space="preserve">平台互联+标准互认</w:t>
            </w:r>
          </w:p>
        </w:tc>
        <w:tc>
          <w:tcPr/>
          <w:p>
            <w:pPr>
              <w:pStyle w:val="Compact"/>
              <w:jc w:val="left"/>
            </w:pPr>
            <w:r>
              <w:t xml:space="preserve">国际人才流动</w:t>
            </w:r>
          </w:p>
        </w:tc>
        <w:tc>
          <w:tcPr/>
          <w:p>
            <w:pPr>
              <w:pStyle w:val="Compact"/>
              <w:jc w:val="left"/>
            </w:pPr>
            <w:r>
              <w:t xml:space="preserve">跨境水系统治理</w:t>
            </w:r>
          </w:p>
        </w:tc>
      </w:tr>
    </w:tbl>
    <w:p>
      <w:pPr>
        <w:pStyle w:val="BodyText"/>
      </w:pPr>
      <w:r>
        <w:rPr>
          <w:bCs/>
          <w:b/>
        </w:rPr>
        <w:t xml:space="preserve">阶段I（2026—2028）：标准化与试点。</w:t>
      </w:r>
      <w:r>
        <w:t xml:space="preserve"> </w:t>
      </w:r>
      <w:r>
        <w:t xml:space="preserve">这一阶段的关键不是”做更多试点”，而是”让已有的试点可复制”。胶东调水、沙坪水电站等工程积累了大量的工程经验，但这些经验目前仍以”隐性知识”的形式存在于核心团队的头脑中。阶段I的核心任务是将这些经验转化为”显性知识”——标准化的术语（CHS术语词典）、标准化的分级（WNAL评估导则）、标准化的测试（在环测试基准库）和标准化的培训（继续教育模块）。</w:t>
      </w:r>
    </w:p>
    <w:p>
      <w:pPr>
        <w:pStyle w:val="BodyText"/>
      </w:pPr>
      <w:r>
        <w:rPr>
          <w:bCs/>
          <w:b/>
        </w:rPr>
        <w:t xml:space="preserve">阶段II（2029—2031）：规模化与认证。</w:t>
      </w:r>
      <w:r>
        <w:t xml:space="preserve"> </w:t>
      </w:r>
      <w:r>
        <w:t xml:space="preserve">当标准化工具就绪后，新工程的CHS部署成本和周期将大幅下降。这一阶段的重点是从”3—5个示范工程”扩展到”30—50个常规工程”。扩展的关键不是技术，而是认证——建立WNAL等级的行业准入制度，让”达到WNAL L2/L3”成为水利工程智能化建设的标准要求，而不是”锦上添花”的加分项。</w:t>
      </w:r>
    </w:p>
    <w:p>
      <w:pPr>
        <w:pStyle w:val="BodyText"/>
      </w:pPr>
      <w:r>
        <w:rPr>
          <w:bCs/>
          <w:b/>
        </w:rPr>
        <w:t xml:space="preserve">阶段III（2032—2035）：生态化与国际协同。</w:t>
      </w:r>
      <w:r>
        <w:t xml:space="preserve"> </w:t>
      </w:r>
      <w:r>
        <w:t xml:space="preserve">当国内形成了30—50个WNAL L3+的工程群后，产业生态将自然形成——模型提供商、控制器厂商、在环测试服务商、运维外包公司——各环节分工协作，形成完整的产业链。国际协同方面，通过IAHR和SWAN等平台推动WNAL标准的国际互认，使CHS框架成为全球水利行业的共同语言。</w:t>
      </w:r>
    </w:p>
    <w:bookmarkEnd w:id="28"/>
    <w:bookmarkStart w:id="29" w:name="产业生态的关键角色"/>
    <w:p>
      <w:pPr>
        <w:pStyle w:val="Heading3"/>
      </w:pPr>
      <w:r>
        <w:t xml:space="preserve">8.3.2 产业生态的关键角色</w:t>
      </w:r>
    </w:p>
    <w:p>
      <w:pPr>
        <w:pStyle w:val="FirstParagraph"/>
      </w:pPr>
      <w:r>
        <w:t xml:space="preserve">表8-3 CHS产业生态的关键角色与价值</w:t>
      </w:r>
    </w:p>
    <w:tbl>
      <w:tblPr>
        <w:tblStyle w:val="Table"/>
        <w:tblW w:type="pct" w:w="5000"/>
        <w:tblLook w:firstRow="1" w:lastRow="0" w:firstColumn="0" w:lastColumn="0" w:noHBand="0" w:noVBand="0" w:val="0020"/>
        <w:jc w:val="start"/>
      </w:tblPr>
      <w:tblGrid>
        <w:gridCol w:w="1440"/>
        <w:gridCol w:w="2160"/>
        <w:gridCol w:w="2160"/>
        <w:gridCol w:w="2160"/>
      </w:tblGrid>
      <w:tr>
        <w:trPr>
          <w:tblHeader w:val="true"/>
        </w:trPr>
        <w:tc>
          <w:tcPr/>
          <w:p>
            <w:pPr>
              <w:pStyle w:val="Compact"/>
              <w:jc w:val="left"/>
            </w:pPr>
            <w:r>
              <w:t xml:space="preserve">角色</w:t>
            </w:r>
          </w:p>
        </w:tc>
        <w:tc>
          <w:tcPr/>
          <w:p>
            <w:pPr>
              <w:pStyle w:val="Compact"/>
              <w:jc w:val="left"/>
            </w:pPr>
            <w:r>
              <w:t xml:space="preserve">核心价值</w:t>
            </w:r>
          </w:p>
        </w:tc>
        <w:tc>
          <w:tcPr/>
          <w:p>
            <w:pPr>
              <w:pStyle w:val="Compact"/>
              <w:jc w:val="left"/>
            </w:pPr>
            <w:r>
              <w:t xml:space="preserve">当前状态</w:t>
            </w:r>
          </w:p>
        </w:tc>
        <w:tc>
          <w:tcPr/>
          <w:p>
            <w:pPr>
              <w:pStyle w:val="Compact"/>
              <w:jc w:val="left"/>
            </w:pPr>
            <w:r>
              <w:t xml:space="preserve">发展方向</w:t>
            </w:r>
          </w:p>
        </w:tc>
      </w:tr>
      <w:tr>
        <w:tc>
          <w:tcPr/>
          <w:p>
            <w:pPr>
              <w:pStyle w:val="Compact"/>
              <w:jc w:val="left"/>
            </w:pPr>
            <w:r>
              <w:t xml:space="preserve">流域管理机构</w:t>
            </w:r>
          </w:p>
        </w:tc>
        <w:tc>
          <w:tcPr/>
          <w:p>
            <w:pPr>
              <w:pStyle w:val="Compact"/>
              <w:jc w:val="left"/>
            </w:pPr>
            <w:r>
              <w:t xml:space="preserve">需求定义+应用验证</w:t>
            </w:r>
          </w:p>
        </w:tc>
        <w:tc>
          <w:tcPr/>
          <w:p>
            <w:pPr>
              <w:pStyle w:val="Compact"/>
              <w:jc w:val="left"/>
            </w:pPr>
            <w:r>
              <w:t xml:space="preserve">最终用户，被动接受技术</w:t>
            </w:r>
          </w:p>
        </w:tc>
        <w:tc>
          <w:tcPr/>
          <w:p>
            <w:pPr>
              <w:pStyle w:val="Compact"/>
              <w:jc w:val="left"/>
            </w:pPr>
            <w:r>
              <w:t xml:space="preserve">主动参与ODD定义和WNAL评估</w:t>
            </w:r>
          </w:p>
        </w:tc>
      </w:tr>
      <w:tr>
        <w:tc>
          <w:tcPr/>
          <w:p>
            <w:pPr>
              <w:pStyle w:val="Compact"/>
              <w:jc w:val="left"/>
            </w:pPr>
            <w:r>
              <w:t xml:space="preserve">设计院</w:t>
            </w:r>
          </w:p>
        </w:tc>
        <w:tc>
          <w:tcPr/>
          <w:p>
            <w:pPr>
              <w:pStyle w:val="Compact"/>
              <w:jc w:val="left"/>
            </w:pPr>
            <w:r>
              <w:t xml:space="preserve">工程设计+系统集成</w:t>
            </w:r>
          </w:p>
        </w:tc>
        <w:tc>
          <w:tcPr/>
          <w:p>
            <w:pPr>
              <w:pStyle w:val="Compact"/>
              <w:jc w:val="left"/>
            </w:pPr>
            <w:r>
              <w:t xml:space="preserve">传统水利设计为主</w:t>
            </w:r>
          </w:p>
        </w:tc>
        <w:tc>
          <w:tcPr/>
          <w:p>
            <w:pPr>
              <w:pStyle w:val="Compact"/>
              <w:jc w:val="left"/>
            </w:pPr>
            <w:r>
              <w:t xml:space="preserve">增加CHS控制设计能力</w:t>
            </w:r>
          </w:p>
        </w:tc>
      </w:tr>
      <w:tr>
        <w:tc>
          <w:tcPr/>
          <w:p>
            <w:pPr>
              <w:pStyle w:val="Compact"/>
              <w:jc w:val="left"/>
            </w:pPr>
            <w:r>
              <w:t xml:space="preserve">设备制造商</w:t>
            </w:r>
          </w:p>
        </w:tc>
        <w:tc>
          <w:tcPr/>
          <w:p>
            <w:pPr>
              <w:pStyle w:val="Compact"/>
              <w:jc w:val="left"/>
            </w:pPr>
            <w:r>
              <w:t xml:space="preserve">硬件供给（传感器/执行器）</w:t>
            </w:r>
          </w:p>
        </w:tc>
        <w:tc>
          <w:tcPr/>
          <w:p>
            <w:pPr>
              <w:pStyle w:val="Compact"/>
              <w:jc w:val="left"/>
            </w:pPr>
            <w:r>
              <w:t xml:space="preserve">单品供应</w:t>
            </w:r>
          </w:p>
        </w:tc>
        <w:tc>
          <w:tcPr/>
          <w:p>
            <w:pPr>
              <w:pStyle w:val="Compact"/>
              <w:jc w:val="left"/>
            </w:pPr>
            <w:r>
              <w:t xml:space="preserve">提供CHS兼容的智能设备</w:t>
            </w:r>
          </w:p>
        </w:tc>
      </w:tr>
      <w:tr>
        <w:tc>
          <w:tcPr/>
          <w:p>
            <w:pPr>
              <w:pStyle w:val="Compact"/>
              <w:jc w:val="left"/>
            </w:pPr>
            <w:r>
              <w:t xml:space="preserve">软件开发商</w:t>
            </w:r>
          </w:p>
        </w:tc>
        <w:tc>
          <w:tcPr/>
          <w:p>
            <w:pPr>
              <w:pStyle w:val="Compact"/>
              <w:jc w:val="left"/>
            </w:pPr>
            <w:r>
              <w:t xml:space="preserve">平台建设+算法服务</w:t>
            </w:r>
          </w:p>
        </w:tc>
        <w:tc>
          <w:tcPr/>
          <w:p>
            <w:pPr>
              <w:pStyle w:val="Compact"/>
              <w:jc w:val="left"/>
            </w:pPr>
            <w:r>
              <w:t xml:space="preserve">碎片化的项目定制</w:t>
            </w:r>
          </w:p>
        </w:tc>
        <w:tc>
          <w:tcPr/>
          <w:p>
            <w:pPr>
              <w:pStyle w:val="Compact"/>
              <w:jc w:val="left"/>
            </w:pPr>
            <w:r>
              <w:t xml:space="preserve">标准化的HydroOS平台产品</w:t>
            </w:r>
          </w:p>
        </w:tc>
      </w:tr>
      <w:tr>
        <w:tc>
          <w:tcPr/>
          <w:p>
            <w:pPr>
              <w:pStyle w:val="Compact"/>
              <w:jc w:val="left"/>
            </w:pPr>
            <w:r>
              <w:t xml:space="preserve">高校/研究机构</w:t>
            </w:r>
          </w:p>
        </w:tc>
        <w:tc>
          <w:tcPr/>
          <w:p>
            <w:pPr>
              <w:pStyle w:val="Compact"/>
              <w:jc w:val="left"/>
            </w:pPr>
            <w:r>
              <w:t xml:space="preserve">知识生产+人才培养</w:t>
            </w:r>
          </w:p>
        </w:tc>
        <w:tc>
          <w:tcPr/>
          <w:p>
            <w:pPr>
              <w:pStyle w:val="Compact"/>
              <w:jc w:val="left"/>
            </w:pPr>
            <w:r>
              <w:t xml:space="preserve">各自为政</w:t>
            </w:r>
          </w:p>
        </w:tc>
        <w:tc>
          <w:tcPr/>
          <w:p>
            <w:pPr>
              <w:pStyle w:val="Compact"/>
              <w:jc w:val="left"/>
            </w:pPr>
            <w:r>
              <w:t xml:space="preserve">共享平台+联合培养</w:t>
            </w:r>
          </w:p>
        </w:tc>
      </w:tr>
      <w:tr>
        <w:tc>
          <w:tcPr/>
          <w:p>
            <w:pPr>
              <w:pStyle w:val="Compact"/>
              <w:jc w:val="left"/>
            </w:pPr>
            <w:r>
              <w:t xml:space="preserve">标准化组织</w:t>
            </w:r>
          </w:p>
        </w:tc>
        <w:tc>
          <w:tcPr/>
          <w:p>
            <w:pPr>
              <w:pStyle w:val="Compact"/>
              <w:jc w:val="left"/>
            </w:pPr>
            <w:r>
              <w:t xml:space="preserve">规则制定+质量保障</w:t>
            </w:r>
          </w:p>
        </w:tc>
        <w:tc>
          <w:tcPr/>
          <w:p>
            <w:pPr>
              <w:pStyle w:val="Compact"/>
              <w:jc w:val="left"/>
            </w:pPr>
            <w:r>
              <w:t xml:space="preserve">水利标准与控制标准分离</w:t>
            </w:r>
          </w:p>
        </w:tc>
        <w:tc>
          <w:tcPr/>
          <w:p>
            <w:pPr>
              <w:pStyle w:val="Compact"/>
              <w:jc w:val="left"/>
            </w:pPr>
            <w:r>
              <w:t xml:space="preserve">融合性的CHS标准体系</w:t>
            </w:r>
          </w:p>
        </w:tc>
      </w:tr>
    </w:tbl>
    <w:bookmarkEnd w:id="29"/>
    <w:bookmarkStart w:id="30" w:name="中小型工程的普惠路径"/>
    <w:p>
      <w:pPr>
        <w:pStyle w:val="Heading3"/>
      </w:pPr>
      <w:r>
        <w:t xml:space="preserve">8.3.3 中小型工程的普惠路径</w:t>
      </w:r>
    </w:p>
    <w:tbl>
      <w:tblPr>
        <w:tblStyle w:val="Table"/>
        <w:tblW w:type="auto" w:w="0"/>
        <w:tblLook w:firstRow="0" w:lastRow="0" w:firstColumn="0" w:lastColumn="0" w:noHBand="0" w:noVBand="0" w:val="0000"/>
        <w:jc w:val="start"/>
      </w:tblPr>
      <w:tblGrid>
        <w:gridCol w:w="7920"/>
      </w:tblGrid>
      <w:tr>
        <w:tc>
          <w:tcPr/>
          <w:p>
            <w:pPr>
              <w:pStyle w:val="Compact"/>
              <w:jc w:val="left"/>
            </w:pPr>
            <w:r>
              <w:t xml:space="preserve">📖 给水利工程师的速览：中小型工程也能智能化吗？</w:t>
            </w:r>
          </w:p>
        </w:tc>
      </w:tr>
      <w:tr>
        <w:tc>
          <w:tcPr/>
          <w:p>
            <w:pPr>
              <w:pStyle w:val="Compact"/>
              <w:jc w:val="left"/>
            </w:pPr>
            <w:r>
              <w:t xml:space="preserve">CHS框架的设计不仅面向胶东调水、南水北调这样的大型工程。对于50 km以下的中小型灌区、单座水电站或城市泵站群，CHS同样适用——只是实现方式不同。大型工程可能需要定制化的MPC和全套HydroOS，中小型工程更适合”轻量级CHS”：标准化的PID/前馈控制+简化的ODD定义+基本的审计日志。关键是WNAL分级框架对所有规模的工程都适用——即使是L1到L2的跃迁，对中小型工程的安全性和效率也有显著提升。</w:t>
            </w:r>
          </w:p>
        </w:tc>
      </w:tr>
    </w:tbl>
    <w:p>
      <w:pPr>
        <w:pStyle w:val="FirstParagraph"/>
      </w:pPr>
      <w:r>
        <w:t xml:space="preserve">中小型工程（50 km以下的灌渠、50 MW以下的水电站、日供水量10万吨以下的城市供水系统）占全国水利工程总量的95%以上，但智能化程度普遍停留在L0—L1。对这些工程而言，CHS技术落地的主要障碍不是技术本身，而是成本和人才。</w:t>
      </w:r>
    </w:p>
    <w:p>
      <w:pPr>
        <w:pStyle w:val="BodyText"/>
      </w:pPr>
      <w:r>
        <w:t xml:space="preserve">解决路径包括三个方向。第一，</w:t>
      </w:r>
      <w:r>
        <w:rPr>
          <w:bCs/>
          <w:b/>
        </w:rPr>
        <w:t xml:space="preserve">云化部署</w:t>
      </w:r>
      <w:r>
        <w:t xml:space="preserve">——将HydroOS的核心功能以云服务的形式提供，中小型工程无需自建服务器和专业运维团队，通过订阅即可接入MPC计算和ODD管理功能。第二，</w:t>
      </w:r>
      <w:r>
        <w:rPr>
          <w:bCs/>
          <w:b/>
        </w:rPr>
        <w:t xml:space="preserve">标准化模板</w:t>
      </w:r>
      <w:r>
        <w:t xml:space="preserve">——为常见的工程类型提供”开箱即用”的配置模板，工程师只需填写基本参数即可生成控制方案和ODD文档。第三，</w:t>
      </w:r>
      <w:r>
        <w:rPr>
          <w:bCs/>
          <w:b/>
        </w:rPr>
        <w:t xml:space="preserve">远程运维</w:t>
      </w:r>
      <w:r>
        <w:t xml:space="preserve">——建立区域性的CHS运维中心，为辖区内的中小型工程提供集中的模型校正、在环测试和故障诊断服务 [8-10]。</w:t>
      </w:r>
    </w:p>
    <w:p>
      <w:pPr>
        <w:pStyle w:val="BodyText"/>
      </w:pPr>
      <w:r>
        <w:t xml:space="preserve">产业生态回答了”谁来做”的问题，但”怎么做不出事”同样重要。</w:t>
      </w:r>
    </w:p>
    <w:p>
      <w:r>
        <w:pict>
          <v:rect style="width:0;height:1.5pt" o:hralign="center" o:hrstd="t" o:hr="t"/>
        </w:pict>
      </w:r>
    </w:p>
    <w:bookmarkEnd w:id="30"/>
    <w:bookmarkEnd w:id="31"/>
    <w:bookmarkStart w:id="35" w:name="三条底线安全治理与工程"/>
    <w:p>
      <w:pPr>
        <w:pStyle w:val="Heading2"/>
      </w:pPr>
      <w:r>
        <w:t xml:space="preserve">8.4 三条底线：安全、治理与工程</w:t>
      </w:r>
    </w:p>
    <w:bookmarkStart w:id="32" w:name="安全底线"/>
    <w:p>
      <w:pPr>
        <w:pStyle w:val="Heading3"/>
      </w:pPr>
      <w:r>
        <w:t xml:space="preserve">8.4.1 安全底线</w:t>
      </w:r>
    </w:p>
    <w:p>
      <w:pPr>
        <w:pStyle w:val="FirstParagraph"/>
      </w:pPr>
      <w:r>
        <w:rPr>
          <w:bCs/>
          <w:b/>
        </w:rPr>
        <w:t xml:space="preserve">安全包络先于性能最优——任何优化不得越过安全红线。</w:t>
      </w:r>
    </w:p>
    <w:p>
      <w:pPr>
        <w:pStyle w:val="BodyText"/>
      </w:pPr>
      <w:r>
        <w:t xml:space="preserve">这条底线看似显而易见，但在工程实践中经常被违反。第六章的失败案例已经证明：当控制系统追求”更高的水位控制精度”或”更低的泵站能耗”时，如果没有安全包络的硬约束，优化算法可能将系统推向不安全的运行状态。</w:t>
      </w:r>
    </w:p>
    <w:p>
      <w:pPr>
        <w:pStyle w:val="BodyText"/>
      </w:pPr>
      <w:r>
        <w:t xml:space="preserve">安全底线的工程落地需要三层保障。第一层，</w:t>
      </w:r>
      <w:r>
        <w:rPr>
          <w:bCs/>
          <w:b/>
        </w:rPr>
        <w:t xml:space="preserve">安全包络的刚性定义</w:t>
      </w:r>
      <w:r>
        <w:t xml:space="preserve">——红区边界不可动态调整，不可被任何级别的控制策略覆盖，不可被任何人（包括系统管理员）临时取消。第二层，</w:t>
      </w:r>
      <w:r>
        <w:rPr>
          <w:bCs/>
          <w:b/>
        </w:rPr>
        <w:t xml:space="preserve">四态机的自动降级</w:t>
      </w:r>
      <w:r>
        <w:t xml:space="preserve">——当系统检测到安全包络边界趋近时，不等人工干预就自动降级到更保守的控制模式。第三层，</w:t>
      </w:r>
      <w:r>
        <w:rPr>
          <w:bCs/>
          <w:b/>
        </w:rPr>
        <w:t xml:space="preserve">审计链的事后追溯</w:t>
      </w:r>
      <w:r>
        <w:t xml:space="preserve">——每一次安全包络触发和四态机降级都有完整记录，支持事后分析和责任认定。</w:t>
      </w:r>
    </w:p>
    <w:bookmarkEnd w:id="32"/>
    <w:bookmarkStart w:id="33" w:name="治理底线"/>
    <w:p>
      <w:pPr>
        <w:pStyle w:val="Heading3"/>
      </w:pPr>
      <w:r>
        <w:t xml:space="preserve">8.4.2 治理底线</w:t>
      </w:r>
    </w:p>
    <w:p>
      <w:pPr>
        <w:pStyle w:val="FirstParagraph"/>
      </w:pPr>
      <w:r>
        <w:rPr>
          <w:bCs/>
          <w:b/>
        </w:rPr>
        <w:t xml:space="preserve">人机职责清晰、接管规则透明、审计链完整。</w:t>
      </w:r>
    </w:p>
    <w:p>
      <w:pPr>
        <w:pStyle w:val="BodyText"/>
      </w:pPr>
      <w:r>
        <w:t xml:space="preserve">WNAL等级越高，人机交互越少。但”交互越少”不意味着”责任越不清楚”——恰恰相反，自主程度越高，责任划分就越需要精确。当一个L3系统在ODD范围内自主做出了一个导致水位偏差的决策时，谁负责？是设计系统的算法工程师、是定义ODD的项目经理、还是监督系统运行的值班调度员？</w:t>
      </w:r>
    </w:p>
    <w:p>
      <w:pPr>
        <w:pStyle w:val="BodyText"/>
      </w:pPr>
      <w:r>
        <w:t xml:space="preserve">CHS框架对这个问题的回答是：</w:t>
      </w:r>
      <w:r>
        <w:rPr>
          <w:bCs/>
          <w:b/>
        </w:rPr>
        <w:t xml:space="preserve">责任跟着决策权走</w:t>
      </w:r>
      <w:r>
        <w:t xml:space="preserve">。在ODD范围内的自主决策，责任在于ODD的定义者和系统的验证者（他们保证系统在ODD范围内的决策是安全的）。在ODD之外的接管决策，责任在于执行接管的调度员。四态机和审计链的设计目的之一，就是确保”在任何时刻都能明确回答’谁在做决策’“这个问题 [8-11]。</w:t>
      </w:r>
    </w:p>
    <w:tbl>
      <w:tblPr>
        <w:tblStyle w:val="Table"/>
        <w:tblW w:type="auto" w:w="0"/>
        <w:tblLook w:firstRow="0" w:lastRow="0" w:firstColumn="0" w:lastColumn="0" w:noHBand="0" w:noVBand="0" w:val="0000"/>
        <w:jc w:val="start"/>
      </w:tblPr>
      <w:tblGrid>
        <w:gridCol w:w="7920"/>
      </w:tblGrid>
      <w:tr>
        <w:tc>
          <w:tcPr/>
          <w:p>
            <w:pPr>
              <w:pStyle w:val="Compact"/>
              <w:jc w:val="left"/>
            </w:pPr>
            <w:r>
              <w:t xml:space="preserve">📖 给水利工程师的速览：自动驾驶的责任争议对CHS有什么启示？</w:t>
            </w:r>
          </w:p>
        </w:tc>
      </w:tr>
      <w:tr>
        <w:tc>
          <w:tcPr/>
          <w:p>
            <w:pPr>
              <w:pStyle w:val="Compact"/>
              <w:jc w:val="left"/>
            </w:pPr>
            <w:r>
              <w:t xml:space="preserve">自动驾驶行业在”谁对事故负责”这个问题上已经争论了十年。特斯拉的Autopilot、Waymo的全自动驾驶在多起事故中引发了复杂的法律纠纷——驾驶员、车企和软件开发商各执一词。CHS可以从中汲取的教训是：</w:t>
            </w:r>
            <w:r>
              <w:rPr>
                <w:bCs/>
                <w:b/>
              </w:rPr>
              <w:t xml:space="preserve">在技术部署之前就解决责任划分问题，而不是等到事故发生后再争论</w:t>
            </w:r>
            <w:r>
              <w:t xml:space="preserve">。WNAL的每个等级都应该有明确的责任矩阵——这不是法律问题，而是工程设计问题。</w:t>
            </w:r>
          </w:p>
        </w:tc>
      </w:tr>
    </w:tbl>
    <w:bookmarkEnd w:id="33"/>
    <w:bookmarkStart w:id="34" w:name="工程底线"/>
    <w:p>
      <w:pPr>
        <w:pStyle w:val="Heading3"/>
      </w:pPr>
      <w:r>
        <w:t xml:space="preserve">8.4.3 工程底线</w:t>
      </w:r>
    </w:p>
    <w:p>
      <w:pPr>
        <w:pStyle w:val="FirstParagraph"/>
      </w:pPr>
      <w:r>
        <w:rPr>
          <w:bCs/>
          <w:b/>
        </w:rPr>
        <w:t xml:space="preserve">先可控可观，再高级智能；先灰度验证，再规模推广。</w:t>
      </w:r>
    </w:p>
    <w:p>
      <w:pPr>
        <w:pStyle w:val="BodyText"/>
      </w:pPr>
      <w:r>
        <w:t xml:space="preserve">这条底线是第六章四阶段实施路线图的精华浓缩。它强调两个”先后顺序”：</w:t>
      </w:r>
    </w:p>
    <w:p>
      <w:pPr>
        <w:pStyle w:val="BodyText"/>
      </w:pPr>
      <w:r>
        <w:t xml:space="preserve">第一个先后：</w:t>
      </w:r>
      <w:r>
        <w:rPr>
          <w:bCs/>
          <w:b/>
        </w:rPr>
        <w:t xml:space="preserve">先确保基础设施健全，再追求高级功能。</w:t>
      </w:r>
      <w:r>
        <w:t xml:space="preserve"> </w:t>
      </w:r>
      <w:r>
        <w:t xml:space="preserve">如果传感器覆盖率不足、执行器响应不可靠、通信链路不稳定，那么在这个基础上部署再先进的MPC或MAS都是徒劳的。</w:t>
      </w:r>
      <w:r>
        <w:t xml:space="preserve">“</w:t>
      </w:r>
      <w:r>
        <w:t xml:space="preserve">上来就装MPC</w:t>
      </w:r>
      <w:r>
        <w:t xml:space="preserve">”</w:t>
      </w:r>
      <w:r>
        <w:t xml:space="preserve">是最常见的工程错误，第六章的失败模式一（ODD缺失）和失败模式二（验证不足）本质上都源于这个错误。</w:t>
      </w:r>
    </w:p>
    <w:p>
      <w:pPr>
        <w:pStyle w:val="BodyText"/>
      </w:pPr>
      <w:r>
        <w:t xml:space="preserve">第二个先后：</w:t>
      </w:r>
      <w:r>
        <w:rPr>
          <w:bCs/>
          <w:b/>
        </w:rPr>
        <w:t xml:space="preserve">先在局部验证，再向全局推广。</w:t>
      </w:r>
      <w:r>
        <w:t xml:space="preserve"> </w:t>
      </w:r>
      <w:r>
        <w:t xml:space="preserve">灰度上线（Canary Deployment）不是”胆小”，而是”聪明”——在1—2个渠段或机组上先跑三个月，暴露所有模型与现实之间的差距，修复后再推广到全线。这比”一步到位全线上线然后修bug”的成本低两个数量级。</w:t>
      </w:r>
    </w:p>
    <w:p>
      <w:pPr>
        <w:pStyle w:val="BodyText"/>
      </w:pPr>
      <w:r>
        <w:t xml:space="preserve">三条底线共同定义了”负责任的技术创新”的边界。接下来，针对不同的读者群体给出差异化的行动建议。</w:t>
      </w:r>
    </w:p>
    <w:p>
      <w:r>
        <w:pict>
          <v:rect style="width:0;height:1.5pt" o:hralign="center" o:hrstd="t" o:hr="t"/>
        </w:pict>
      </w:r>
    </w:p>
    <w:bookmarkEnd w:id="34"/>
    <w:bookmarkEnd w:id="35"/>
    <w:bookmarkStart w:id="40" w:name="行业实施建议"/>
    <w:p>
      <w:pPr>
        <w:pStyle w:val="Heading2"/>
      </w:pPr>
      <w:r>
        <w:t xml:space="preserve">8.5 行业实施建议</w:t>
      </w:r>
    </w:p>
    <w:bookmarkStart w:id="36" w:name="给管理决策者的建议"/>
    <w:p>
      <w:pPr>
        <w:pStyle w:val="Heading3"/>
      </w:pPr>
      <w:r>
        <w:t xml:space="preserve">8.5.1 给管理决策者的建议</w:t>
      </w:r>
    </w:p>
    <w:p>
      <w:pPr>
        <w:pStyle w:val="FirstParagraph"/>
      </w:pPr>
      <w:r>
        <w:t xml:space="preserve">表8-4 管理决策者行动清单</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优先级</w:t>
            </w:r>
          </w:p>
        </w:tc>
        <w:tc>
          <w:tcPr/>
          <w:p>
            <w:pPr>
              <w:pStyle w:val="Compact"/>
              <w:jc w:val="left"/>
            </w:pPr>
            <w:r>
              <w:t xml:space="preserve">行动项</w:t>
            </w:r>
          </w:p>
        </w:tc>
        <w:tc>
          <w:tcPr/>
          <w:p>
            <w:pPr>
              <w:pStyle w:val="Compact"/>
              <w:jc w:val="left"/>
            </w:pPr>
            <w:r>
              <w:t xml:space="preserve">预期产出</w:t>
            </w:r>
          </w:p>
        </w:tc>
        <w:tc>
          <w:tcPr/>
          <w:p>
            <w:pPr>
              <w:pStyle w:val="Compact"/>
              <w:jc w:val="left"/>
            </w:pPr>
            <w:r>
              <w:t xml:space="preserve">时间框架</w:t>
            </w:r>
          </w:p>
        </w:tc>
      </w:tr>
      <w:tr>
        <w:tc>
          <w:tcPr/>
          <w:p>
            <w:pPr>
              <w:pStyle w:val="Compact"/>
              <w:jc w:val="left"/>
            </w:pPr>
            <w:r>
              <w:t xml:space="preserve">1</w:t>
            </w:r>
          </w:p>
        </w:tc>
        <w:tc>
          <w:tcPr/>
          <w:p>
            <w:pPr>
              <w:pStyle w:val="Compact"/>
              <w:jc w:val="left"/>
            </w:pPr>
            <w:r>
              <w:t xml:space="preserve">组织全员CHS概念培训</w:t>
            </w:r>
          </w:p>
        </w:tc>
        <w:tc>
          <w:tcPr/>
          <w:p>
            <w:pPr>
              <w:pStyle w:val="Compact"/>
              <w:jc w:val="left"/>
            </w:pPr>
            <w:r>
              <w:t xml:space="preserve">统一语言、消除认知差异</w:t>
            </w:r>
          </w:p>
        </w:tc>
        <w:tc>
          <w:tcPr/>
          <w:p>
            <w:pPr>
              <w:pStyle w:val="Compact"/>
              <w:jc w:val="left"/>
            </w:pPr>
            <w:r>
              <w:t xml:space="preserve">1—2个月</w:t>
            </w:r>
          </w:p>
        </w:tc>
      </w:tr>
      <w:tr>
        <w:tc>
          <w:tcPr/>
          <w:p>
            <w:pPr>
              <w:pStyle w:val="Compact"/>
              <w:jc w:val="left"/>
            </w:pPr>
            <w:r>
              <w:t xml:space="preserve">2</w:t>
            </w:r>
          </w:p>
        </w:tc>
        <w:tc>
          <w:tcPr/>
          <w:p>
            <w:pPr>
              <w:pStyle w:val="Compact"/>
              <w:jc w:val="left"/>
            </w:pPr>
            <w:r>
              <w:t xml:space="preserve">完成现有工程的WNAL等级评估</w:t>
            </w:r>
          </w:p>
        </w:tc>
        <w:tc>
          <w:tcPr/>
          <w:p>
            <w:pPr>
              <w:pStyle w:val="Compact"/>
              <w:jc w:val="left"/>
            </w:pPr>
            <w:r>
              <w:t xml:space="preserve">知道”我们在哪里”</w:t>
            </w:r>
          </w:p>
        </w:tc>
        <w:tc>
          <w:tcPr/>
          <w:p>
            <w:pPr>
              <w:pStyle w:val="Compact"/>
              <w:jc w:val="left"/>
            </w:pPr>
            <w:r>
              <w:t xml:space="preserve">2—3个月</w:t>
            </w:r>
          </w:p>
        </w:tc>
      </w:tr>
      <w:tr>
        <w:tc>
          <w:tcPr/>
          <w:p>
            <w:pPr>
              <w:pStyle w:val="Compact"/>
              <w:jc w:val="left"/>
            </w:pPr>
            <w:r>
              <w:t xml:space="preserve">3</w:t>
            </w:r>
          </w:p>
        </w:tc>
        <w:tc>
          <w:tcPr/>
          <w:p>
            <w:pPr>
              <w:pStyle w:val="Compact"/>
              <w:jc w:val="left"/>
            </w:pPr>
            <w:r>
              <w:t xml:space="preserve">制定WNAL目标等级和时间表</w:t>
            </w:r>
          </w:p>
        </w:tc>
        <w:tc>
          <w:tcPr/>
          <w:p>
            <w:pPr>
              <w:pStyle w:val="Compact"/>
              <w:jc w:val="left"/>
            </w:pPr>
            <w:r>
              <w:t xml:space="preserve">知道”我们要去哪里”</w:t>
            </w:r>
          </w:p>
        </w:tc>
        <w:tc>
          <w:tcPr/>
          <w:p>
            <w:pPr>
              <w:pStyle w:val="Compact"/>
              <w:jc w:val="left"/>
            </w:pPr>
            <w:r>
              <w:t xml:space="preserve">3—6个月</w:t>
            </w:r>
          </w:p>
        </w:tc>
      </w:tr>
      <w:tr>
        <w:tc>
          <w:tcPr/>
          <w:p>
            <w:pPr>
              <w:pStyle w:val="Compact"/>
              <w:jc w:val="left"/>
            </w:pPr>
            <w:r>
              <w:t xml:space="preserve">4</w:t>
            </w:r>
          </w:p>
        </w:tc>
        <w:tc>
          <w:tcPr/>
          <w:p>
            <w:pPr>
              <w:pStyle w:val="Compact"/>
              <w:jc w:val="left"/>
            </w:pPr>
            <w:r>
              <w:t xml:space="preserve">建立ODD和审计链的制度框架</w:t>
            </w:r>
          </w:p>
        </w:tc>
        <w:tc>
          <w:tcPr/>
          <w:p>
            <w:pPr>
              <w:pStyle w:val="Compact"/>
              <w:jc w:val="left"/>
            </w:pPr>
            <w:r>
              <w:t xml:space="preserve">安全和治理的制度保障</w:t>
            </w:r>
          </w:p>
        </w:tc>
        <w:tc>
          <w:tcPr/>
          <w:p>
            <w:pPr>
              <w:pStyle w:val="Compact"/>
              <w:jc w:val="left"/>
            </w:pPr>
            <w:r>
              <w:t xml:space="preserve">6—12个月</w:t>
            </w:r>
          </w:p>
        </w:tc>
      </w:tr>
      <w:tr>
        <w:tc>
          <w:tcPr/>
          <w:p>
            <w:pPr>
              <w:pStyle w:val="Compact"/>
              <w:jc w:val="left"/>
            </w:pPr>
            <w:r>
              <w:t xml:space="preserve">5</w:t>
            </w:r>
          </w:p>
        </w:tc>
        <w:tc>
          <w:tcPr/>
          <w:p>
            <w:pPr>
              <w:pStyle w:val="Compact"/>
              <w:jc w:val="left"/>
            </w:pPr>
            <w:r>
              <w:t xml:space="preserve">推动产学研合作建设实践平台</w:t>
            </w:r>
          </w:p>
        </w:tc>
        <w:tc>
          <w:tcPr/>
          <w:p>
            <w:pPr>
              <w:pStyle w:val="Compact"/>
              <w:jc w:val="left"/>
            </w:pPr>
            <w:r>
              <w:t xml:space="preserve">长期能力建设的基础</w:t>
            </w:r>
          </w:p>
        </w:tc>
        <w:tc>
          <w:tcPr/>
          <w:p>
            <w:pPr>
              <w:pStyle w:val="Compact"/>
              <w:jc w:val="left"/>
            </w:pPr>
            <w:r>
              <w:t xml:space="preserve">12—24个月</w:t>
            </w:r>
          </w:p>
        </w:tc>
      </w:tr>
    </w:tbl>
    <w:p>
      <w:pPr>
        <w:pStyle w:val="BodyText"/>
      </w:pPr>
      <w:r>
        <w:t xml:space="preserve">管理者最需要理解的一点是：</w:t>
      </w:r>
      <w:r>
        <w:rPr>
          <w:bCs/>
          <w:b/>
        </w:rPr>
        <w:t xml:space="preserve">CHS不是一次性的技术采购，而是持续的能力建设。</w:t>
      </w:r>
      <w:r>
        <w:t xml:space="preserve"> </w:t>
      </w:r>
      <w:r>
        <w:t xml:space="preserve">购买一套MPC系统只需要预算审批，但让这套系统持续有效地运行十年需要人才培养、制度建设和组织变革——后者的投入远大于前者，但也是投资回报率最高的部分。</w:t>
      </w:r>
    </w:p>
    <w:bookmarkEnd w:id="36"/>
    <w:bookmarkStart w:id="37" w:name="给调度运行团队的建议"/>
    <w:p>
      <w:pPr>
        <w:pStyle w:val="Heading3"/>
      </w:pPr>
      <w:r>
        <w:t xml:space="preserve">8.5.2 给调度运行团队的建议</w:t>
      </w:r>
    </w:p>
    <w:p>
      <w:pPr>
        <w:pStyle w:val="FirstParagraph"/>
      </w:pPr>
      <w:r>
        <w:t xml:space="preserve">调度团队是CHS技术的”最终用户”，其接受程度直接决定技术的落地效果。</w:t>
      </w:r>
    </w:p>
    <w:p>
      <w:pPr>
        <w:pStyle w:val="BodyText"/>
      </w:pPr>
      <w:r>
        <w:rPr>
          <w:bCs/>
          <w:b/>
        </w:rPr>
        <w:t xml:space="preserve">先做异常工况演练，再追求复杂优化。</w:t>
      </w:r>
      <w:r>
        <w:t xml:space="preserve"> </w:t>
      </w:r>
      <w:r>
        <w:t xml:space="preserve">调度团队最有价值的实践不是”学会按MPC的按钮”，而是”在MPC失效时知道怎么办”。建议每季度至少进行一次未预告的异常场景演练，覆盖四态机降级、手动接管和安全恢复的全流程。</w:t>
      </w:r>
    </w:p>
    <w:p>
      <w:pPr>
        <w:pStyle w:val="BodyText"/>
      </w:pPr>
      <w:r>
        <w:rPr>
          <w:bCs/>
          <w:b/>
        </w:rPr>
        <w:t xml:space="preserve">建立”运行日志”文化。</w:t>
      </w:r>
      <w:r>
        <w:t xml:space="preserve"> </w:t>
      </w:r>
      <w:r>
        <w:t xml:space="preserve">每一次非常规操作（如手动覆盖MPC建议、触发四态机降级、ODD边界事件）都应详细记录原因、过程和结果。这些记录不仅是审计链的一部分，更是模型校正和系统改进的宝贵数据来源。</w:t>
      </w:r>
    </w:p>
    <w:p>
      <w:pPr>
        <w:pStyle w:val="BodyText"/>
      </w:pPr>
      <w:r>
        <w:rPr>
          <w:bCs/>
          <w:b/>
        </w:rPr>
        <w:t xml:space="preserve">从”被动接受”到”主动参与”。</w:t>
      </w:r>
      <w:r>
        <w:t xml:space="preserve"> </w:t>
      </w:r>
      <w:r>
        <w:t xml:space="preserve">调度团队不应该是CHS技术的被动接受者。具有丰富运行经验的调度员，在ODD定义、安全包络设计和异常场景库建设中有不可替代的价值——他们知道”什么工况最危险”</w:t>
      </w:r>
      <w:r>
        <w:t xml:space="preserve">“</w:t>
      </w:r>
      <w:r>
        <w:t xml:space="preserve">系统在什么时候最容易出问题</w:t>
      </w:r>
      <w:r>
        <w:t xml:space="preserve">”</w:t>
      </w:r>
      <w:r>
        <w:t xml:space="preserve">。</w:t>
      </w:r>
    </w:p>
    <w:bookmarkEnd w:id="37"/>
    <w:bookmarkStart w:id="38" w:name="给技术研发团队的建议"/>
    <w:p>
      <w:pPr>
        <w:pStyle w:val="Heading3"/>
      </w:pPr>
      <w:r>
        <w:t xml:space="preserve">8.5.3 给技术研发团队的建议</w:t>
      </w:r>
    </w:p>
    <w:p>
      <w:pPr>
        <w:pStyle w:val="FirstParagraph"/>
      </w:pPr>
      <w:r>
        <w:rPr>
          <w:bCs/>
          <w:b/>
        </w:rPr>
        <w:t xml:space="preserve">“</w:t>
      </w:r>
      <w:r>
        <w:rPr>
          <w:bCs/>
          <w:b/>
        </w:rPr>
        <w:t xml:space="preserve">可解释、可审计、可运维</w:t>
      </w:r>
      <w:r>
        <w:rPr>
          <w:bCs/>
          <w:b/>
        </w:rPr>
        <w:t xml:space="preserve">”</w:t>
      </w:r>
      <w:r>
        <w:rPr>
          <w:bCs/>
          <w:b/>
        </w:rPr>
        <w:t xml:space="preserve">是上线门槛，不是加分项。</w:t>
      </w:r>
      <w:r>
        <w:t xml:space="preserve"> </w:t>
      </w:r>
      <w:r>
        <w:t xml:space="preserve">技术团队往往倾向于追求”更先进的算法”和”更高的控制精度”，但忽视了工程化的基本要求。一个控制精度达到±2 cm但无法解释决策理由的MPC系统，在工程上不如一个精度±5 cm但每个决策都有完整解释和审计记录的系统——因为后者才能获得调度员的信任，才能在出问题时定位原因并修复 [8-12]。</w:t>
      </w:r>
    </w:p>
    <w:p>
      <w:pPr>
        <w:pStyle w:val="BodyText"/>
      </w:pPr>
      <w:r>
        <w:rPr>
          <w:bCs/>
          <w:b/>
        </w:rPr>
        <w:t xml:space="preserve">测试覆盖率比算法创新更重要。</w:t>
      </w:r>
      <w:r>
        <w:t xml:space="preserve"> </w:t>
      </w:r>
      <w:r>
        <w:t xml:space="preserve">在工程上线前，MIL/SIL/HIL三级验证的场景覆盖率（而非算法的理论性能指标）才是决定系统可靠性的关键因素。建议将测试预算设为开发预算的30%—40%（当前行业平均不足15%）[8-13]。</w:t>
      </w:r>
    </w:p>
    <w:bookmarkEnd w:id="38"/>
    <w:bookmarkStart w:id="39" w:name="给高校和研究机构的建议"/>
    <w:p>
      <w:pPr>
        <w:pStyle w:val="Heading3"/>
      </w:pPr>
      <w:r>
        <w:t xml:space="preserve">8.5.4 给高校和研究机构的建议</w:t>
      </w:r>
    </w:p>
    <w:p>
      <w:pPr>
        <w:pStyle w:val="FirstParagraph"/>
      </w:pPr>
      <w:r>
        <w:rPr>
          <w:bCs/>
          <w:b/>
        </w:rPr>
        <w:t xml:space="preserve">以真实问题牵引课程与课题。</w:t>
      </w:r>
      <w:r>
        <w:t xml:space="preserve"> </w:t>
      </w:r>
      <w:r>
        <w:t xml:space="preserve">CHS是一门实践导向的学科——脱离工程实际的纯理论研究难以产生真正的学术影响力。建议每个研究课题都有至少一个明确的工程合作方，确保研究问题来自真实需求、研究成果能在真实环境中验证。</w:t>
      </w:r>
    </w:p>
    <w:p>
      <w:pPr>
        <w:pStyle w:val="BodyText"/>
      </w:pPr>
      <w:r>
        <w:rPr>
          <w:bCs/>
          <w:b/>
        </w:rPr>
        <w:t xml:space="preserve">拥抱交叉而非回避交叉。</w:t>
      </w:r>
      <w:r>
        <w:t xml:space="preserve"> </w:t>
      </w:r>
      <w:r>
        <w:t xml:space="preserve">水利专业的教师可能对控制理论不熟悉，控制专业的教师可能对水力学不了解——这不是回避交叉的理由，而恰恰是推进交叉的动机。建议从联合授课开始——水利教师和控制教师共同讲授一门课，在教学过程中互相学习，逐步建立真正的交叉理解。</w:t>
      </w:r>
    </w:p>
    <w:p>
      <w:pPr>
        <w:pStyle w:val="BodyText"/>
      </w:pPr>
      <w:r>
        <w:t xml:space="preserve">针对不同读者的建议回答了”现在该做什么”，但学科的长期发展还需要一张”未来问题地图”。</w:t>
      </w:r>
    </w:p>
    <w:p>
      <w:r>
        <w:pict>
          <v:rect style="width:0;height:1.5pt" o:hralign="center" o:hrstd="t" o:hr="t"/>
        </w:pict>
      </w:r>
    </w:p>
    <w:bookmarkEnd w:id="39"/>
    <w:bookmarkEnd w:id="40"/>
    <w:bookmarkStart w:id="41" w:name="未来关键问题清单"/>
    <w:p>
      <w:pPr>
        <w:pStyle w:val="Heading2"/>
      </w:pPr>
      <w:r>
        <w:t xml:space="preserve">8.6 未来关键问题清单</w:t>
      </w:r>
    </w:p>
    <w:p>
      <w:pPr>
        <w:pStyle w:val="FirstParagraph"/>
      </w:pPr>
      <w:r>
        <w:t xml:space="preserve">综合全书的分析和上述展望，以下七个问题是未来十年CHS发展的关键：</w:t>
      </w:r>
    </w:p>
    <w:p>
      <w:pPr>
        <w:pStyle w:val="BodyText"/>
      </w:pPr>
      <w:r>
        <w:t xml:space="preserve">表8-5 CHS未来十年关键问题清单</w:t>
      </w:r>
    </w:p>
    <w:tbl>
      <w:tblPr>
        <w:tblStyle w:val="Table"/>
        <w:tblW w:type="pct" w:w="5000"/>
        <w:tblLook w:firstRow="1" w:lastRow="0" w:firstColumn="0" w:lastColumn="0" w:noHBand="0" w:noVBand="0" w:val="0020"/>
        <w:jc w:val="start"/>
      </w:tblPr>
      <w:tblGrid>
        <w:gridCol w:w="1485"/>
        <w:gridCol w:w="1485"/>
        <w:gridCol w:w="2227"/>
        <w:gridCol w:w="2722"/>
      </w:tblGrid>
      <w:tr>
        <w:trPr>
          <w:tblHeader w:val="true"/>
        </w:trPr>
        <w:tc>
          <w:tcPr/>
          <w:p>
            <w:pPr>
              <w:pStyle w:val="Compact"/>
              <w:jc w:val="left"/>
            </w:pPr>
            <w:r>
              <w:t xml:space="preserve">编号</w:t>
            </w:r>
          </w:p>
        </w:tc>
        <w:tc>
          <w:tcPr/>
          <w:p>
            <w:pPr>
              <w:pStyle w:val="Compact"/>
              <w:jc w:val="left"/>
            </w:pPr>
            <w:r>
              <w:t xml:space="preserve">问题</w:t>
            </w:r>
          </w:p>
        </w:tc>
        <w:tc>
          <w:tcPr/>
          <w:p>
            <w:pPr>
              <w:pStyle w:val="Compact"/>
              <w:jc w:val="left"/>
            </w:pPr>
            <w:r>
              <w:t xml:space="preserve">涉及章节</w:t>
            </w:r>
          </w:p>
        </w:tc>
        <w:tc>
          <w:tcPr/>
          <w:p>
            <w:pPr>
              <w:pStyle w:val="Compact"/>
              <w:jc w:val="left"/>
            </w:pPr>
            <w:r>
              <w:t xml:space="preserve">预期突破时间</w:t>
            </w:r>
          </w:p>
        </w:tc>
      </w:tr>
      <w:tr>
        <w:tc>
          <w:tcPr/>
          <w:p>
            <w:pPr>
              <w:pStyle w:val="Compact"/>
              <w:jc w:val="left"/>
            </w:pPr>
            <w:r>
              <w:t xml:space="preserve">Q1</w:t>
            </w:r>
          </w:p>
        </w:tc>
        <w:tc>
          <w:tcPr/>
          <w:p>
            <w:pPr>
              <w:pStyle w:val="Compact"/>
              <w:jc w:val="left"/>
            </w:pPr>
            <w:r>
              <w:t xml:space="preserve">如何将多源不确定性纳入统一的实时决策框架？</w:t>
            </w:r>
          </w:p>
        </w:tc>
        <w:tc>
          <w:tcPr/>
          <w:p>
            <w:pPr>
              <w:pStyle w:val="Compact"/>
              <w:jc w:val="left"/>
            </w:pPr>
            <w:r>
              <w:t xml:space="preserve">Ch3原理、Ch5 MPC</w:t>
            </w:r>
          </w:p>
        </w:tc>
        <w:tc>
          <w:tcPr/>
          <w:p>
            <w:pPr>
              <w:pStyle w:val="Compact"/>
              <w:jc w:val="left"/>
            </w:pPr>
            <w:r>
              <w:t xml:space="preserve">2026—2030</w:t>
            </w:r>
          </w:p>
        </w:tc>
      </w:tr>
      <w:tr>
        <w:tc>
          <w:tcPr/>
          <w:p>
            <w:pPr>
              <w:pStyle w:val="Compact"/>
              <w:jc w:val="left"/>
            </w:pPr>
            <w:r>
              <w:t xml:space="preserve">Q2</w:t>
            </w:r>
          </w:p>
        </w:tc>
        <w:tc>
          <w:tcPr/>
          <w:p>
            <w:pPr>
              <w:pStyle w:val="Compact"/>
              <w:jc w:val="left"/>
            </w:pPr>
            <w:r>
              <w:t xml:space="preserve">如何构建跨区域可复用的在环测试基准库？</w:t>
            </w:r>
          </w:p>
        </w:tc>
        <w:tc>
          <w:tcPr/>
          <w:p>
            <w:pPr>
              <w:pStyle w:val="Compact"/>
              <w:jc w:val="left"/>
            </w:pPr>
            <w:r>
              <w:t xml:space="preserve">Ch3原理五、Ch7平台</w:t>
            </w:r>
          </w:p>
        </w:tc>
        <w:tc>
          <w:tcPr/>
          <w:p>
            <w:pPr>
              <w:pStyle w:val="Compact"/>
              <w:jc w:val="left"/>
            </w:pPr>
            <w:r>
              <w:t xml:space="preserve">2026—2028</w:t>
            </w:r>
          </w:p>
        </w:tc>
      </w:tr>
      <w:tr>
        <w:tc>
          <w:tcPr/>
          <w:p>
            <w:pPr>
              <w:pStyle w:val="Compact"/>
              <w:jc w:val="left"/>
            </w:pPr>
            <w:r>
              <w:t xml:space="preserve">Q3</w:t>
            </w:r>
          </w:p>
        </w:tc>
        <w:tc>
          <w:tcPr/>
          <w:p>
            <w:pPr>
              <w:pStyle w:val="Compact"/>
              <w:jc w:val="left"/>
            </w:pPr>
            <w:r>
              <w:t xml:space="preserve">WNAL L4/L5下的人机责任边界与法律接口如何定义？</w:t>
            </w:r>
          </w:p>
        </w:tc>
        <w:tc>
          <w:tcPr/>
          <w:p>
            <w:pPr>
              <w:pStyle w:val="Compact"/>
              <w:jc w:val="left"/>
            </w:pPr>
            <w:r>
              <w:t xml:space="preserve">Ch4 WNAL、Ch8治理</w:t>
            </w:r>
          </w:p>
        </w:tc>
        <w:tc>
          <w:tcPr/>
          <w:p>
            <w:pPr>
              <w:pStyle w:val="Compact"/>
              <w:jc w:val="left"/>
            </w:pPr>
            <w:r>
              <w:t xml:space="preserve">2028—2032</w:t>
            </w:r>
          </w:p>
        </w:tc>
      </w:tr>
      <w:tr>
        <w:tc>
          <w:tcPr/>
          <w:p>
            <w:pPr>
              <w:pStyle w:val="Compact"/>
              <w:jc w:val="left"/>
            </w:pPr>
            <w:r>
              <w:t xml:space="preserve">Q4</w:t>
            </w:r>
          </w:p>
        </w:tc>
        <w:tc>
          <w:tcPr/>
          <w:p>
            <w:pPr>
              <w:pStyle w:val="Compact"/>
              <w:jc w:val="left"/>
            </w:pPr>
            <w:r>
              <w:t xml:space="preserve">如何在不同管理体制下保持模型可迁移与策略可解释？</w:t>
            </w:r>
          </w:p>
        </w:tc>
        <w:tc>
          <w:tcPr/>
          <w:p>
            <w:pPr>
              <w:pStyle w:val="Compact"/>
              <w:jc w:val="left"/>
            </w:pPr>
            <w:r>
              <w:t xml:space="preserve">Ch5 HydroOS、Ch6国际</w:t>
            </w:r>
          </w:p>
        </w:tc>
        <w:tc>
          <w:tcPr/>
          <w:p>
            <w:pPr>
              <w:pStyle w:val="Compact"/>
              <w:jc w:val="left"/>
            </w:pPr>
            <w:r>
              <w:t xml:space="preserve">2027—2031</w:t>
            </w:r>
          </w:p>
        </w:tc>
      </w:tr>
      <w:tr>
        <w:tc>
          <w:tcPr/>
          <w:p>
            <w:pPr>
              <w:pStyle w:val="Compact"/>
              <w:jc w:val="left"/>
            </w:pPr>
            <w:r>
              <w:t xml:space="preserve">Q5</w:t>
            </w:r>
          </w:p>
        </w:tc>
        <w:tc>
          <w:tcPr/>
          <w:p>
            <w:pPr>
              <w:pStyle w:val="Compact"/>
              <w:jc w:val="left"/>
            </w:pPr>
            <w:r>
              <w:t xml:space="preserve">中小型工程如何低成本接入自主运行能力？</w:t>
            </w:r>
          </w:p>
        </w:tc>
        <w:tc>
          <w:tcPr/>
          <w:p>
            <w:pPr>
              <w:pStyle w:val="Compact"/>
              <w:jc w:val="left"/>
            </w:pPr>
            <w:r>
              <w:t xml:space="preserve">Ch8产业、Ch7培训</w:t>
            </w:r>
          </w:p>
        </w:tc>
        <w:tc>
          <w:tcPr/>
          <w:p>
            <w:pPr>
              <w:pStyle w:val="Compact"/>
              <w:jc w:val="left"/>
            </w:pPr>
            <w:r>
              <w:t xml:space="preserve">2027—2030</w:t>
            </w:r>
          </w:p>
        </w:tc>
      </w:tr>
      <w:tr>
        <w:tc>
          <w:tcPr/>
          <w:p>
            <w:pPr>
              <w:pStyle w:val="Compact"/>
              <w:jc w:val="left"/>
            </w:pPr>
            <w:r>
              <w:t xml:space="preserve">Q6</w:t>
            </w:r>
          </w:p>
        </w:tc>
        <w:tc>
          <w:tcPr/>
          <w:p>
            <w:pPr>
              <w:pStyle w:val="Compact"/>
              <w:jc w:val="left"/>
            </w:pPr>
            <w:r>
              <w:t xml:space="preserve">水-能-食纽带下的跨系统ODD如何定义？</w:t>
            </w:r>
          </w:p>
        </w:tc>
        <w:tc>
          <w:tcPr/>
          <w:p>
            <w:pPr>
              <w:pStyle w:val="Compact"/>
              <w:jc w:val="left"/>
            </w:pPr>
            <w:r>
              <w:t xml:space="preserve">Ch4 ODD、Ch8前沿</w:t>
            </w:r>
          </w:p>
        </w:tc>
        <w:tc>
          <w:tcPr/>
          <w:p>
            <w:pPr>
              <w:pStyle w:val="Compact"/>
              <w:jc w:val="left"/>
            </w:pPr>
            <w:r>
              <w:t xml:space="preserve">2030—2035</w:t>
            </w:r>
          </w:p>
        </w:tc>
      </w:tr>
      <w:tr>
        <w:tc>
          <w:tcPr/>
          <w:p>
            <w:pPr>
              <w:pStyle w:val="Compact"/>
              <w:jc w:val="left"/>
            </w:pPr>
            <w:r>
              <w:t xml:space="preserve">Q7</w:t>
            </w:r>
          </w:p>
        </w:tc>
        <w:tc>
          <w:tcPr/>
          <w:p>
            <w:pPr>
              <w:pStyle w:val="Compact"/>
              <w:jc w:val="left"/>
            </w:pPr>
            <w:r>
              <w:t xml:space="preserve">CAI引擎如何实现从”解释”到”预见”的能力跃升？</w:t>
            </w:r>
          </w:p>
        </w:tc>
        <w:tc>
          <w:tcPr/>
          <w:p>
            <w:pPr>
              <w:pStyle w:val="Compact"/>
              <w:jc w:val="left"/>
            </w:pPr>
            <w:r>
              <w:t xml:space="preserve">Ch5 CAI、Ch8技术</w:t>
            </w:r>
          </w:p>
        </w:tc>
        <w:tc>
          <w:tcPr/>
          <w:p>
            <w:pPr>
              <w:pStyle w:val="Compact"/>
              <w:jc w:val="left"/>
            </w:pPr>
            <w:r>
              <w:t xml:space="preserve">2028—2033</w:t>
            </w:r>
          </w:p>
        </w:tc>
      </w:tr>
    </w:tbl>
    <w:p>
      <w:pPr>
        <w:pStyle w:val="BodyText"/>
      </w:pPr>
      <w:r>
        <w:t xml:space="preserve">这七个问题不是独立的——Q1的突破（不确定性管理）是Q3（L4/L5责任）和Q7（CAI预见能力）的前提；Q2的完成（测试基准库）是Q5（中小型工程普惠）的基础；Q4（可迁移性）和Q6（跨系统ODD）共同指向更远的理论挑战。未来的CHS研究者可以将这张表作为选题的参考地图。</w:t>
      </w:r>
    </w:p>
    <w:p>
      <w:r>
        <w:pict>
          <v:rect style="width:0;height:1.5pt" o:hralign="center" o:hrstd="t" o:hr="t"/>
        </w:pict>
      </w:r>
    </w:p>
    <w:bookmarkEnd w:id="41"/>
    <w:bookmarkStart w:id="45" w:name="全书结语"/>
    <w:p>
      <w:pPr>
        <w:pStyle w:val="Heading2"/>
      </w:pPr>
      <w:r>
        <w:t xml:space="preserve">8.7 全书结语</w:t>
      </w:r>
    </w:p>
    <w:bookmarkStart w:id="42" w:name="chs的核心价值"/>
    <w:p>
      <w:pPr>
        <w:pStyle w:val="Heading3"/>
      </w:pPr>
      <w:r>
        <w:t xml:space="preserve">8.7.1 CHS的核心价值</w:t>
      </w:r>
    </w:p>
    <w:p>
      <w:pPr>
        <w:pStyle w:val="FirstParagraph"/>
      </w:pPr>
      <w:r>
        <w:t xml:space="preserve">水系统控制论的价值，不在于提出新术语，而在于回答一个行业长期未能系统性回答的问题：</w:t>
      </w:r>
      <w:r>
        <w:rPr>
          <w:bCs/>
          <w:b/>
        </w:rPr>
        <w:t xml:space="preserve">水利工程的运行能力如何从”依赖少数专家经验”升级为”可复制、可验证、可持续演进”的行业能力？</w:t>
      </w:r>
    </w:p>
    <w:p>
      <w:pPr>
        <w:pStyle w:val="BodyText"/>
      </w:pPr>
      <w:r>
        <w:t xml:space="preserve">这个问题的答案贯穿了本书的全部八章：</w:t>
      </w:r>
    </w:p>
    <w:p>
      <w:pPr>
        <w:pStyle w:val="BodyText"/>
      </w:pPr>
      <w:r>
        <w:t xml:space="preserve">理论层面，CHS提供了八大原理作为方法论指南、WNAL六级分类作为度量标尺、ODD和安全包络作为安全框架。工程层面，HydroOS提供了从理论到实践的转化平台，SCADA+MAS融合架构提供了渐进式升级路径，MIL/SIL/HIL三级验证提供了质量保障机制。组织层面，四类复合能力模型定义了人才需求，四支柱课程体系定义了培养方案，三级实践平台定义了训练环境，十年路线图定义了推进节奏。</w:t>
      </w:r>
    </w:p>
    <w:bookmarkEnd w:id="42"/>
    <w:bookmarkStart w:id="43" w:name="从个体工程到行业范式"/>
    <w:p>
      <w:pPr>
        <w:pStyle w:val="Heading3"/>
      </w:pPr>
      <w:r>
        <w:t xml:space="preserve">8.7.2 从个体工程到行业范式</w:t>
      </w:r>
    </w:p>
    <w:p>
      <w:pPr>
        <w:pStyle w:val="FirstParagraph"/>
      </w:pPr>
      <w:r>
        <w:t xml:space="preserve">本书的最终目标不是让某一个工程”变聪明”，而是推动整个水利行业的运行范式升级。这种升级可以用三个”从…到…“来概括：</w:t>
      </w:r>
    </w:p>
    <w:p>
      <w:pPr>
        <w:pStyle w:val="BodyText"/>
      </w:pPr>
      <w:r>
        <w:rPr>
          <w:bCs/>
          <w:b/>
        </w:rPr>
        <w:t xml:space="preserve">从经验驱动到规则驱动。</w:t>
      </w:r>
      <w:r>
        <w:t xml:space="preserve"> </w:t>
      </w:r>
      <w:r>
        <w:t xml:space="preserve">传统水利调度依赖调度员的个人经验和直觉——同样的工况，不同的调度员可能做出完全不同的决策。CHS通过ODD定义、安全包络和审计链，将”个人经验”转化为”可编码的规则”，使运行质量不再依赖特定个人。</w:t>
      </w:r>
    </w:p>
    <w:p>
      <w:pPr>
        <w:pStyle w:val="BodyText"/>
      </w:pPr>
      <w:r>
        <w:rPr>
          <w:bCs/>
          <w:b/>
        </w:rPr>
        <w:t xml:space="preserve">从事后修复到事前保障。</w:t>
      </w:r>
      <w:r>
        <w:t xml:space="preserve"> </w:t>
      </w:r>
      <w:r>
        <w:t xml:space="preserve">传统模式下，安全问题通常在事故发生后才被重视。CHS通过MIL/SIL/HIL三级验证、四态机降级机制和安全包络设计，将安全保障前置到系统上线之前——</w:t>
      </w:r>
      <w:r>
        <w:t xml:space="preserve">“</w:t>
      </w:r>
      <w:r>
        <w:t xml:space="preserve">测试中发现问题</w:t>
      </w:r>
      <w:r>
        <w:t xml:space="preserve">”</w:t>
      </w:r>
      <w:r>
        <w:t xml:space="preserve">比”运行中出现事故”的代价低几个数量级。</w:t>
      </w:r>
    </w:p>
    <w:p>
      <w:pPr>
        <w:pStyle w:val="BodyText"/>
      </w:pPr>
      <w:r>
        <w:rPr>
          <w:bCs/>
          <w:b/>
        </w:rPr>
        <w:t xml:space="preserve">从一次性建设到持续演进。</w:t>
      </w:r>
      <w:r>
        <w:t xml:space="preserve"> </w:t>
      </w:r>
      <w:r>
        <w:t xml:space="preserve">传统的水利信息化项目通常是”建设→验收→使用→衰退”的线性过程。CHS通过WNAL等级跃迁、模型定期校正和审计链反馈，建立了”建设→运行→评估→改进→升级”的循环过程——系统不是在衰退，而是在持续进化。</w:t>
      </w:r>
    </w:p>
    <w:bookmarkEnd w:id="43"/>
    <w:bookmarkStart w:id="44" w:name="最后的话"/>
    <w:p>
      <w:pPr>
        <w:pStyle w:val="Heading3"/>
      </w:pPr>
      <w:r>
        <w:t xml:space="preserve">8.7.3 最后的话</w:t>
      </w:r>
    </w:p>
    <w:p>
      <w:pPr>
        <w:pStyle w:val="FirstParagraph"/>
      </w:pPr>
      <w:r>
        <w:t xml:space="preserve">回到本章开头的引导案例——那个”无人值守夜班”的试运行。带班调度长说的那句话道出了CHS的精髓：技术的价值不在于”替代人”，而在于”解放人”。</w:t>
      </w:r>
    </w:p>
    <w:p>
      <w:pPr>
        <w:pStyle w:val="BodyText"/>
      </w:pPr>
      <w:r>
        <w:t xml:space="preserve">未来十年，谁能率先将CHS、WNAL、HydroOS、在环测试和人才体系整合为可持续的运行闭环，谁就能在极端气候频发、社会需求多变的时代获得更高的安全性、韧性与效率。这不是单一系统的升级，而是整个行业运行范式的升级。</w:t>
      </w:r>
    </w:p>
    <w:p>
      <w:pPr>
        <w:pStyle w:val="BodyText"/>
      </w:pPr>
      <w:r>
        <w:t xml:space="preserve">水系统控制论的故事才刚刚开始。</w:t>
      </w:r>
    </w:p>
    <w:p>
      <w:r>
        <w:pict>
          <v:rect style="width:0;height:1.5pt" o:hralign="center" o:hrstd="t" o:hr="t"/>
        </w:pict>
      </w:r>
    </w:p>
    <w:bookmarkEnd w:id="44"/>
    <w:bookmarkEnd w:id="45"/>
    <w:bookmarkStart w:id="46" w:name="思考题"/>
    <w:p>
      <w:pPr>
        <w:pStyle w:val="Heading2"/>
      </w:pPr>
      <w:r>
        <w:t xml:space="preserve">思考题</w:t>
      </w:r>
    </w:p>
    <w:p>
      <w:pPr>
        <w:pStyle w:val="FirstParagraph"/>
      </w:pPr>
      <w:r>
        <w:rPr>
          <w:bCs/>
          <w:b/>
        </w:rPr>
        <w:t xml:space="preserve">L1 概念理解</w:t>
      </w:r>
    </w:p>
    <w:p>
      <w:pPr>
        <w:numPr>
          <w:ilvl w:val="0"/>
          <w:numId w:val="1001"/>
        </w:numPr>
      </w:pPr>
      <w:r>
        <w:t xml:space="preserve">本书的”问题—原理—等级—架构—实践—人才—展望”七环主线中，如果去掉”等级”（WNAL）这一环，其他六环是否仍然成立？WNAL在这条链条中扮演了什么不可替代的角色？</w:t>
      </w:r>
    </w:p>
    <w:p>
      <w:pPr>
        <w:numPr>
          <w:ilvl w:val="0"/>
          <w:numId w:val="1001"/>
        </w:numPr>
      </w:pPr>
      <w:r>
        <w:t xml:space="preserve">三条底线（安全、治理、工程）之间是否存在优先级？在资源有限的情况下，应该先保障哪条底线？为什么？</w:t>
      </w:r>
    </w:p>
    <w:p>
      <w:pPr>
        <w:pStyle w:val="FirstParagraph"/>
      </w:pPr>
      <w:r>
        <w:rPr>
          <w:bCs/>
          <w:b/>
        </w:rPr>
        <w:t xml:space="preserve">L2 分析比较</w:t>
      </w:r>
    </w:p>
    <w:p>
      <w:pPr>
        <w:numPr>
          <w:ilvl w:val="0"/>
          <w:numId w:val="1002"/>
        </w:numPr>
      </w:pPr>
      <w:r>
        <w:t xml:space="preserve">比较”确定性MPC”和”随机MPC”在水利工程中的适用场景。对于一个来水预报精度为80%的水库，你会推荐哪种方法？如果预报精度降到60%呢？</w:t>
      </w:r>
    </w:p>
    <w:p>
      <w:pPr>
        <w:numPr>
          <w:ilvl w:val="0"/>
          <w:numId w:val="1002"/>
        </w:numPr>
      </w:pPr>
      <w:r>
        <w:t xml:space="preserve">“</w:t>
      </w:r>
      <w:r>
        <w:t xml:space="preserve">水-能-食纽带</w:t>
      </w:r>
      <w:r>
        <w:t xml:space="preserve">”</w:t>
      </w:r>
      <w:r>
        <w:t xml:space="preserve">概念对CHS框架的核心挑战是什么？请以一个具体的工程场景（如一座兼具发电和灌溉功能的水库）为例，分析跨系统ODD定义的复杂性。</w:t>
      </w:r>
    </w:p>
    <w:p>
      <w:pPr>
        <w:pStyle w:val="FirstParagraph"/>
      </w:pPr>
      <w:r>
        <w:rPr>
          <w:bCs/>
          <w:b/>
        </w:rPr>
        <w:t xml:space="preserve">L3 综合应用</w:t>
      </w:r>
    </w:p>
    <w:p>
      <w:pPr>
        <w:numPr>
          <w:ilvl w:val="0"/>
          <w:numId w:val="1003"/>
        </w:numPr>
      </w:pPr>
      <w:r>
        <w:t xml:space="preserve">假设你是一家水利软件公司的产品负责人，计划开发一款面向中小型灌区的”轻量级CHS平台”。请设计这款产品的功能架构、定价策略和推广方案，需要考虑目标用户的技术能力和预算约束。</w:t>
      </w:r>
    </w:p>
    <w:p>
      <w:pPr>
        <w:numPr>
          <w:ilvl w:val="0"/>
          <w:numId w:val="1003"/>
        </w:numPr>
      </w:pPr>
      <w:r>
        <w:t xml:space="preserve">请以表8-1为模板，为你熟悉的一个水利工程项目编制一份类似的”CHS核心概念落地状态表”，评估该项目在每个概念维度上的实现程度，并识别最大的短板。</w:t>
      </w:r>
    </w:p>
    <w:p>
      <w:pPr>
        <w:pStyle w:val="FirstParagraph"/>
      </w:pPr>
      <w:r>
        <w:rPr>
          <w:bCs/>
          <w:b/>
        </w:rPr>
        <w:t xml:space="preserve">L4 开放研究</w:t>
      </w:r>
    </w:p>
    <w:p>
      <w:pPr>
        <w:numPr>
          <w:ilvl w:val="0"/>
          <w:numId w:val="1004"/>
        </w:numPr>
      </w:pPr>
      <w:r>
        <w:t xml:space="preserve">WNAL L4/L5下的人机责任划分是一个开放性问题。请调研自动驾驶行业（SAE L4/L5）在法律责任方面的最新进展，分析哪些经验可以迁移到水利领域、哪些需要水利行业自己探索。</w:t>
      </w:r>
    </w:p>
    <w:p>
      <w:pPr>
        <w:numPr>
          <w:ilvl w:val="0"/>
          <w:numId w:val="1004"/>
        </w:numPr>
      </w:pPr>
      <w:r>
        <w:t xml:space="preserve">本书提出的”从SCADA到自主运行生态”的十年路线图，其核心假设是”技术成熟度和制度准备度可以同步推进”。请分析这个假设在中国水利行业背景下是否成立，如果不成立，哪个维度更可能成为瓶颈？</w:t>
      </w:r>
    </w:p>
    <w:p>
      <w:r>
        <w:pict>
          <v:rect style="width:0;height:1.5pt" o:hralign="center" o:hrstd="t" o:hr="t"/>
        </w:pict>
      </w:r>
    </w:p>
    <w:bookmarkEnd w:id="46"/>
    <w:bookmarkStart w:id="47" w:name="本章参考文献"/>
    <w:p>
      <w:pPr>
        <w:pStyle w:val="Heading2"/>
      </w:pPr>
      <w:r>
        <w:t xml:space="preserve">本章参考文献</w:t>
      </w:r>
    </w:p>
    <w:p>
      <w:pPr>
        <w:pStyle w:val="BlockText"/>
      </w:pPr>
      <w:r>
        <w:rPr>
          <w:bCs/>
          <w:b/>
        </w:rPr>
        <w:t xml:space="preserve">核实说明</w:t>
      </w:r>
      <w:r>
        <w:t xml:space="preserve">：标注 ✅ 为经搜索核实的文献；⚠️ 为基本信息可信但部分细节待确认；👉 为作者本人论文需自行补充完整信息。定稿前务必逐条核对，删除本说明段。</w:t>
      </w:r>
    </w:p>
    <w:p>
      <w:pPr>
        <w:pStyle w:val="FirstParagraph"/>
      </w:pPr>
      <w:r>
        <w:t xml:space="preserve">[8-1] Raso L, Schwanenberg D, Van de Giesen N C, Van Overloop P J. Short-term optimal operation of water systems using ensemble forecasts [J]. Advances in Water Resources, 2014, 71: 200-208. ✅</w:t>
      </w:r>
    </w:p>
    <w:p>
      <w:pPr>
        <w:pStyle w:val="BodyText"/>
      </w:pPr>
      <w:r>
        <w:t xml:space="preserve">[8-2] Negenborn R R, Van Overloop P J, Keviczky T, De Schutter B. Distributed model predictive control of irrigation canals [J]. Networks and Heterogeneous Media, 2009, 4(2): 359-380. ✅</w:t>
      </w:r>
    </w:p>
    <w:p>
      <w:pPr>
        <w:pStyle w:val="BodyText"/>
      </w:pPr>
      <w:r>
        <w:t xml:space="preserve">[8-3] 雷晓辉, 苏承国, 龙岩, 等. 基于无人驾驶理念的下一代自主运行智慧水网架构与关键技术 [J]. 南水北调与水利科技(中英文), 2025, 23(04): 778-786. ✅</w:t>
      </w:r>
    </w:p>
    <w:p>
      <w:pPr>
        <w:pStyle w:val="BodyText"/>
      </w:pPr>
      <w:r>
        <w:t xml:space="preserve">[8-4] 雷晓辉, 龙岩, 许慧敏, 等. 水系统控制论：提出背景、技术框架与研究范式 [J]. 南水北调与水利科技(中英文), 2025, 23(04): 761-769+904. ✅</w:t>
      </w:r>
    </w:p>
    <w:p>
      <w:pPr>
        <w:pStyle w:val="BodyText"/>
      </w:pPr>
      <w:r>
        <w:t xml:space="preserve">[8-5] Arrieta A B, Díaz-Rodríguez N, Del Ser J, et al. Explainable artificial intelligence (XAI): Concepts, taxonomies, opportunities and challenges toward responsible AI [J]. Information Fusion, 2020, 58: 82-115. ✅</w:t>
      </w:r>
    </w:p>
    <w:p>
      <w:pPr>
        <w:pStyle w:val="BodyText"/>
      </w:pPr>
      <w:r>
        <w:t xml:space="preserve">[8-6] García J, Fernández F. A comprehensive survey on safe reinforcement learning [J]. Journal of Machine Learning Research, 2015, 16: 1437-1480. ✅</w:t>
      </w:r>
    </w:p>
    <w:p>
      <w:pPr>
        <w:pStyle w:val="BodyText"/>
      </w:pPr>
      <w:r>
        <w:t xml:space="preserve">[8-7] Bazilian M, Rogner H, Howells M, et al. Considering the energy, water and food nexus: Towards an integrated modelling approach [J]. Energy Policy, 2011, 39(12): 7896-7906. ✅</w:t>
      </w:r>
    </w:p>
    <w:p>
      <w:pPr>
        <w:pStyle w:val="BodyText"/>
      </w:pPr>
      <w:r>
        <w:t xml:space="preserve">[8-8] Litrico X, Fromion V. Modeling and Control of Hydrosystems [M]. London: Springer, 2009. ✅</w:t>
      </w:r>
    </w:p>
    <w:p>
      <w:pPr>
        <w:pStyle w:val="BodyText"/>
      </w:pPr>
      <w:r>
        <w:t xml:space="preserve">[8-9] Clemmens A J, Kacerek T F, Grawitz B, Schuurmans J. Test cases for canal control algorithms [J]. Journal of Irrigation and Drainage Engineering, 1998, 124(1): 23-30. ✅</w:t>
      </w:r>
    </w:p>
    <w:p>
      <w:pPr>
        <w:pStyle w:val="BodyText"/>
      </w:pPr>
      <w:r>
        <w:t xml:space="preserve">[8-10] 雷晓辉, 孔令仲, 蒋云钟, 等. 水资源系统分析方法新进展与展望 [J]. 南水北调与水利科技(中英文), 2025, 23(04): 794-802. ✅</w:t>
      </w:r>
    </w:p>
    <w:p>
      <w:pPr>
        <w:pStyle w:val="BodyText"/>
      </w:pPr>
      <w:r>
        <w:t xml:space="preserve">[8-11] SAE International. J3016: Taxonomy and Definitions for Terms Related to Driving Automation Systems for On-Road Motor Vehicles [S]. Rev. 2021. Warrendale: SAE, 2021. ✅</w:t>
      </w:r>
    </w:p>
    <w:p>
      <w:pPr>
        <w:pStyle w:val="BodyText"/>
      </w:pPr>
      <w:r>
        <w:t xml:space="preserve">[8-12] Parasuraman R, Manzey D H. Complacency and bias in human use of automation: An attentional integration [J]. Human Factors, 2010, 52(3): 381-410. ✅</w:t>
      </w:r>
    </w:p>
    <w:p>
      <w:pPr>
        <w:pStyle w:val="BodyText"/>
      </w:pPr>
      <w:r>
        <w:t xml:space="preserve">[8-13] 雷晓辉, 张峥, 苏承国, 等. 自主运行智能水网的在环测试体系 [J]. 南水北调与水利科技(中英文), 2025, 23(04): 787-793. ✅</w:t>
      </w:r>
    </w:p>
    <w:p>
      <w:pPr>
        <w:pStyle w:val="BodyText"/>
      </w:pPr>
      <w:r>
        <w:t xml:space="preserve">[8-14] Cantoni M, Weyer E, Li Y, et al. Control of large-scale irrigation networks [J]. Proceedings of the IEEE, 2007, 95(1): 75-91. ✅</w:t>
      </w:r>
    </w:p>
    <w:p>
      <w:pPr>
        <w:pStyle w:val="BodyText"/>
      </w:pPr>
      <w:r>
        <w:t xml:space="preserve">[8-15] Scattolini R. Architectures for distributed and hierarchical model predictive control: A review [J]. Journal of Process Control, 2009, 19(5): 723-731. ✅</w:t>
      </w:r>
    </w:p>
    <w:p>
      <w:pPr>
        <w:pStyle w:val="BodyText"/>
      </w:pPr>
      <w:r>
        <w:t xml:space="preserve">[8-16] Lee E A. Cyber physical systems: Design challenges [C]//Proceedings of the 11th IEEE International Symposium on Object and Component-Oriented Real-Time Distributed Computing (ISORC). Orlando: IEEE, 2008: 363-369. ✅</w:t>
      </w:r>
    </w:p>
    <w:p>
      <w:pPr>
        <w:pStyle w:val="BodyText"/>
      </w:pPr>
      <w:r>
        <w:t xml:space="preserve">[8-17] Van Overloop P J. Model Predictive Control on Open Water Systems [D]. Delft: Delft University of Technology, 2006. ✅</w:t>
      </w:r>
    </w:p>
    <w:p>
      <w:pPr>
        <w:pStyle w:val="BodyText"/>
      </w:pPr>
      <w:r>
        <w:t xml:space="preserve">[8-18] Camacho E F, Bordons C. Model Predictive Control [M]. 2nd ed. London: Springer, 2007. ✅</w:t>
      </w:r>
    </w:p>
    <w:p>
      <w:pPr>
        <w:pStyle w:val="BodyText"/>
      </w:pPr>
      <w:r>
        <w:t xml:space="preserve">[8-19] ASCE. Manual of Practice 131: Canal Automation for Irrigation Systems [M]. Reston: ASCE, 2014. ✅</w:t>
      </w:r>
    </w:p>
    <w:p>
      <w:pPr>
        <w:pStyle w:val="BodyText"/>
      </w:pPr>
      <w:r>
        <w:t xml:space="preserve">[8-20] Kopetz H. Real-Time Systems: Design Principles for Distributed Embedded Applications [M]. 2nd ed. New York: Springer, 2011. ✅</w:t>
      </w:r>
    </w:p>
    <w:bookmarkEnd w:id="47"/>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5">
    <w:nsid w:val="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7">
    <w:nsid w:val="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4">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creator>���������������������T1-CN���</dc:creator>
  <cp:keywords/>
  <dcterms:created xsi:type="dcterms:W3CDTF">2026-02-20T08:18:37Z</dcterms:created>
  <dcterms:modified xsi:type="dcterms:W3CDTF">2026-02-20T08:18:37Z</dcterms:modified>
</cp:coreProperties>
</file>

<file path=docProps/custom.xml><?xml version="1.0" encoding="utf-8"?>
<Properties xmlns="http://schemas.openxmlformats.org/officeDocument/2006/custom-properties" xmlns:vt="http://schemas.openxmlformats.org/officeDocument/2006/docPropsVTypes"/>
</file>