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水系统控制论理论方法与工程实践"/>
      <w:r>
        <w:t xml:space="preserve">水系统控制论：理论、方法与工程实践</w:t>
      </w:r>
      <w:bookmarkEnd w:id="21"/>
    </w:p>
    <w:p>
      <w:pPr>
        <w:pStyle w:val="FirstParagraph"/>
      </w:pPr>
      <w:r>
        <w:rPr>
          <w:i/>
        </w:rPr>
        <w:t xml:space="preserve">Water Systems Control Theory: Principles, Methods, and Engineering Practice</w:t>
      </w:r>
    </w:p>
    <w:p>
      <w:pPr>
        <w:pStyle w:val="BodyText"/>
      </w:pPr>
      <w:r>
        <w:rPr>
          <w:b/>
        </w:rPr>
        <w:t xml:space="preserve">作者：雷晓辉</w:t>
      </w:r>
      <w:r>
        <w:br w:type="textWrapping"/>
      </w:r>
      <w:r>
        <w:rPr>
          <w:b/>
        </w:rPr>
        <w:t xml:space="preserve">河北工程大学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8e8a111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2026-02-23T12:17:54Z</dcterms:created>
  <dcterms:modified xsi:type="dcterms:W3CDTF">2026-02-23T12:17:54Z</dcterms:modified>
</cp:coreProperties>
</file>