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第-1-章智能化标准体系的必要性与紧迫性"/>
    <w:p>
      <w:pPr>
        <w:pStyle w:val="Heading1"/>
      </w:pPr>
      <w:r>
        <w:rPr>
          <w:rFonts w:hint="eastAsia"/>
        </w:rPr>
        <w:t xml:space="preserve">第</w:t>
      </w:r>
      <w:r>
        <w:t xml:space="preserve"> 1 </w:t>
      </w:r>
      <w:r>
        <w:rPr>
          <w:rFonts w:hint="eastAsia"/>
        </w:rPr>
        <w:t xml:space="preserve">章：智能化标准体系的必要性与紧迫性</w:t>
      </w:r>
    </w:p>
    <w:bookmarkStart w:id="9" w:name="引言"/>
    <w:p>
      <w:pPr>
        <w:pStyle w:val="Heading2"/>
      </w:pPr>
      <w:r>
        <w:rPr>
          <w:rFonts w:hint="eastAsia"/>
        </w:rPr>
        <w:t xml:space="preserve">引言</w:t>
      </w:r>
    </w:p>
    <w:p>
      <w:pPr>
        <w:pStyle w:val="BlockText"/>
      </w:pPr>
      <w:r>
        <w:rPr>
          <w:rFonts w:hint="eastAsia"/>
          <w:b/>
          <w:bCs/>
        </w:rPr>
        <w:t xml:space="preserve">本章学习目标</w:t>
      </w:r>
    </w:p>
    <w:p>
      <w:pPr>
        <w:pStyle w:val="BlockText"/>
      </w:pPr>
      <w:r>
        <w:rPr>
          <w:rFonts w:hint="eastAsia"/>
        </w:rPr>
        <w:t xml:space="preserve">完成本章学习后，读者应能够：</w:t>
      </w:r>
      <w:r>
        <w:t xml:space="preserve"> </w:t>
      </w:r>
      <w:r>
        <w:t xml:space="preserve">1.</w:t>
      </w:r>
      <w:r>
        <w:t xml:space="preserve"> </w:t>
      </w:r>
      <w:r>
        <w:rPr>
          <w:rFonts w:hint="eastAsia"/>
          <w:b/>
          <w:bCs/>
        </w:rPr>
        <w:t xml:space="preserve">识别</w:t>
      </w:r>
      <w:r>
        <w:rPr>
          <w:rFonts w:hint="eastAsia"/>
        </w:rPr>
        <w:t xml:space="preserve">水网智能化建设中”状态空间灾难”的三种典型表现，并能以控制论语言描述其根源；</w:t>
      </w:r>
      <w:r>
        <w:t xml:space="preserve"> </w:t>
      </w:r>
      <w:r>
        <w:t xml:space="preserve">2.</w:t>
      </w:r>
      <w:r>
        <w:t xml:space="preserve"> </w:t>
      </w:r>
      <w:r>
        <w:rPr>
          <w:rFonts w:hint="eastAsia"/>
          <w:b/>
          <w:bCs/>
        </w:rPr>
        <w:t xml:space="preserve">比较</w:t>
      </w:r>
      <w:r>
        <w:rPr>
          <w:rFonts w:hint="eastAsia"/>
        </w:rPr>
        <w:t xml:space="preserve">水利行业与汽车（SAE</w:t>
      </w:r>
      <w:r>
        <w:t xml:space="preserve"> </w:t>
      </w:r>
      <w:r>
        <w:rPr>
          <w:rFonts w:hint="eastAsia"/>
        </w:rPr>
        <w:t xml:space="preserve">J3016）、航空（ISO</w:t>
      </w:r>
      <w:r>
        <w:t xml:space="preserve"> </w:t>
      </w:r>
      <w:r>
        <w:rPr>
          <w:rFonts w:hint="eastAsia"/>
        </w:rPr>
        <w:t xml:space="preserve">26262）领域在工程治理框架上的关键差距；</w:t>
      </w:r>
      <w:r>
        <w:t xml:space="preserve"> </w:t>
      </w:r>
      <w:r>
        <w:t xml:space="preserve">3.</w:t>
      </w:r>
      <w:r>
        <w:t xml:space="preserve"> </w:t>
      </w:r>
      <w:r>
        <w:rPr>
          <w:rFonts w:hint="eastAsia"/>
          <w:b/>
          <w:bCs/>
        </w:rPr>
        <w:t xml:space="preserve">解释</w:t>
      </w:r>
      <w:r>
        <w:rPr>
          <w:rFonts w:hint="eastAsia"/>
        </w:rPr>
        <w:t xml:space="preserve">为何在</w:t>
      </w:r>
      <w:r>
        <w:t xml:space="preserve"> AGI </w:t>
      </w:r>
      <w:r>
        <w:rPr>
          <w:rFonts w:hint="eastAsia"/>
        </w:rPr>
        <w:t xml:space="preserve">接入水网之前必须确立</w:t>
      </w:r>
      <w:r>
        <w:t xml:space="preserve"> ODD </w:t>
      </w:r>
      <w:r>
        <w:rPr>
          <w:rFonts w:hint="eastAsia"/>
        </w:rPr>
        <w:t xml:space="preserve">与</w:t>
      </w:r>
      <w:r>
        <w:t xml:space="preserve"> MRC </w:t>
      </w:r>
      <w:r>
        <w:rPr>
          <w:rFonts w:hint="eastAsia"/>
        </w:rPr>
        <w:t xml:space="preserve">构成的”不变集”约束；</w:t>
      </w:r>
      <w:r>
        <w:t xml:space="preserve"> </w:t>
      </w:r>
      <w:r>
        <w:t xml:space="preserve">4.</w:t>
      </w:r>
      <w:r>
        <w:t xml:space="preserve"> </w:t>
      </w:r>
      <w:r>
        <w:rPr>
          <w:rFonts w:hint="eastAsia"/>
          <w:b/>
          <w:bCs/>
        </w:rPr>
        <w:t xml:space="preserve">判断</w:t>
      </w:r>
      <w:r>
        <w:rPr>
          <w:rFonts w:hint="eastAsia"/>
        </w:rPr>
        <w:t xml:space="preserve">本书五篇框架对自身角色（管理者/设计院/集成商/运维者）的导读价值，制定个人阅读路径。</w:t>
      </w:r>
    </w:p>
    <w:p>
      <w:pPr>
        <w:pStyle w:val="FirstParagraph"/>
      </w:pPr>
      <w:r>
        <w:rPr>
          <w:rFonts w:hint="eastAsia"/>
        </w:rPr>
        <w:t xml:space="preserve">当我们在探讨”水网智能化”时，我们在探讨什么？是更清晰的大屏、更精准的预报算法，还是更庞大的数据中心？</w:t>
      </w:r>
    </w:p>
    <w:p>
      <w:pPr>
        <w:pStyle w:val="BodyText"/>
      </w:pPr>
      <w:r>
        <w:rPr>
          <w:rFonts w:hint="eastAsia"/>
        </w:rPr>
        <w:t xml:space="preserve">这些都是技术的表象。剥开表象，智能化建设的内核是</w:t>
      </w:r>
      <w:r>
        <w:rPr>
          <w:rFonts w:hint="eastAsia"/>
          <w:b/>
          <w:bCs/>
        </w:rPr>
        <w:t xml:space="preserve">控制权与责任的重构</w:t>
      </w:r>
      <w:r>
        <w:rPr>
          <w:rFonts w:hint="eastAsia"/>
        </w:rPr>
        <w:t xml:space="preserve">。在过去十年的水利信息化浪潮中，我们见证了算力的指数级增长和算法的日新月异，但也遭遇了一个令人不安的瓶颈：系统越来越庞大，但管理者却越来越不敢“放权”；屏幕上的数据越来越多，但关键时刻的决策依然高度依赖人类经验。</w:t>
      </w:r>
    </w:p>
    <w:p>
      <w:pPr>
        <w:pStyle w:val="BodyText"/>
      </w:pPr>
      <w:r>
        <w:rPr>
          <w:rFonts w:hint="eastAsia"/>
        </w:rPr>
        <w:t xml:space="preserve">这是因为我们试图用“传统工程的建造逻辑”去管理“复杂系统的演进逻辑”。我们建设了软件，却缺位了</w:t>
      </w:r>
      <w:r>
        <w:rPr>
          <w:rFonts w:hint="eastAsia"/>
          <w:b/>
          <w:bCs/>
        </w:rPr>
        <w:t xml:space="preserve">标准化的工程治理体系</w:t>
      </w:r>
      <w:r>
        <w:rPr>
          <w:rFonts w:hint="eastAsia"/>
        </w:rPr>
        <w:t xml:space="preserve">。从控制论的视角来看，如果一个系统的状态空间（State-space）无限膨胀，而缺少刚性的边界约束（Boundary</w:t>
      </w:r>
      <w:r>
        <w:t xml:space="preserve"> </w:t>
      </w:r>
      <w:r>
        <w:rPr>
          <w:rFonts w:hint="eastAsia"/>
        </w:rPr>
        <w:t xml:space="preserve">Constraints）与收敛条件，这个系统最终必然走向发散与失控。</w:t>
      </w:r>
    </w:p>
    <w:p>
      <w:pPr>
        <w:pStyle w:val="BodyText"/>
      </w:pPr>
      <w:r>
        <w:rPr>
          <w:rFonts w:hint="eastAsia"/>
        </w:rPr>
        <w:t xml:space="preserve">在国家水网建设进入跨流域、多水源联合调控的深水区时，在通用人工智能（AGI）即将全面渗透关键基础设施的倒计时中，确立一套水网智能化标准体系，已经不再是一个可有可无的技术选项，而是一场关乎行业安全底线与生存逻辑的</w:t>
      </w:r>
      <w:r>
        <w:rPr>
          <w:rFonts w:hint="eastAsia"/>
          <w:b/>
          <w:bCs/>
        </w:rPr>
        <w:t xml:space="preserve">时代必答题</w:t>
      </w:r>
      <w:r>
        <w:t xml:space="preserve">。</w:t>
      </w:r>
    </w:p>
    <w:bookmarkEnd w:id="9"/>
    <w:bookmarkStart w:id="13" w:name="涉水领域的智能化焦虑与状态空间灾难"/>
    <w:p>
      <w:pPr>
        <w:pStyle w:val="Heading2"/>
      </w:pPr>
      <w:r>
        <w:t xml:space="preserve">1.1 </w:t>
      </w:r>
      <w:r>
        <w:rPr>
          <w:rFonts w:hint="eastAsia"/>
        </w:rPr>
        <w:t xml:space="preserve">涉水领域的智能化焦虑与状态空间灾难</w:t>
      </w:r>
    </w:p>
    <w:p>
      <w:pPr>
        <w:pStyle w:val="FirstParagraph"/>
      </w:pPr>
      <w:r>
        <w:rPr>
          <w:rFonts w:hint="eastAsia"/>
        </w:rPr>
        <w:t xml:space="preserve">当前，无论是长距离引调水工程、大江大河流域防洪、城市供排水管网、水运通航枢纽，还是水电梯级调峰，整个涉水领域在智能化转型中普遍陷入了一种集体焦虑。这种焦虑源于技术系统复杂性增长与现有治理手段失效之间的深刻矛盾，在控制论中被称为“状态空间灾难（State-space</w:t>
      </w:r>
      <w:r>
        <w:t xml:space="preserve"> </w:t>
      </w:r>
      <w:r>
        <w:rPr>
          <w:rFonts w:hint="eastAsia"/>
        </w:rPr>
        <w:t xml:space="preserve">Explosion）”。</w:t>
      </w:r>
    </w:p>
    <w:bookmarkStart w:id="10" w:name="四水同源但各自为战的协同壁垒"/>
    <w:p>
      <w:pPr>
        <w:pStyle w:val="Heading3"/>
      </w:pPr>
      <w:r>
        <w:t xml:space="preserve">1.1.1 </w:t>
      </w:r>
      <w:r>
        <w:rPr>
          <w:rFonts w:hint="eastAsia"/>
        </w:rPr>
        <w:t xml:space="preserve">四水同源但各自为战的协同壁垒</w:t>
      </w:r>
    </w:p>
    <w:p>
      <w:pPr>
        <w:pStyle w:val="FirstParagraph"/>
      </w:pPr>
      <w:r>
        <w:rPr>
          <w:rFonts w:hint="eastAsia"/>
        </w:rPr>
        <w:t xml:space="preserve">引调水（跨流域配置）、流域（防洪排涝）、城市供排水（市政管网）、水运通航（船闸调度）、水电梯级（发电调峰），在物理世界中共享同一条河流、同一个枢纽，但在数字世界中却往往是被割裂的“孤岛”。</w:t>
      </w:r>
      <w:r>
        <w:t xml:space="preserve"> </w:t>
      </w:r>
      <w:r>
        <w:rPr>
          <w:rFonts w:hint="eastAsia"/>
        </w:rPr>
        <w:t xml:space="preserve">水电关注电网频率和调峰效益，遵循严格的电力调度规程；水利关注防洪库容和供水保证率，遵循水利调度原则；水运关注航道水深和船闸效率。当我们需要进行“水风光储”一体化多目标联合调度时，面临的不仅仅是算法的融合，更是</w:t>
      </w:r>
      <w:r>
        <w:rPr>
          <w:rFonts w:hint="eastAsia"/>
          <w:b/>
          <w:bCs/>
        </w:rPr>
        <w:t xml:space="preserve">底层动力学边界的不连续性</w:t>
      </w:r>
      <w:r>
        <w:t xml:space="preserve">。</w:t>
      </w:r>
    </w:p>
    <w:p>
      <w:pPr>
        <w:pStyle w:val="BodyText"/>
      </w:pPr>
      <w:r>
        <w:rPr>
          <w:rFonts w:hint="eastAsia"/>
        </w:rPr>
        <w:t xml:space="preserve">缺乏一套能够跨越行业壁垒的“协同语言”，导致各建各的系统、各跑各的模型。底层PLC控制系统和上层调度模型无法实现语义互操作，数据的缝合成本极高。这就使得真正的“水网级智能协同”在工程落地上举步维艰。</w:t>
      </w:r>
    </w:p>
    <w:bookmarkEnd w:id="10"/>
    <w:bookmarkStart w:id="11" w:name="大水网时代的复杂性爆炸从低维到高维非线性状态空间的灾难"/>
    <w:p>
      <w:pPr>
        <w:pStyle w:val="Heading3"/>
      </w:pPr>
      <w:r>
        <w:t xml:space="preserve">1.1.2 </w:t>
      </w:r>
      <w:r>
        <w:rPr>
          <w:rFonts w:hint="eastAsia"/>
        </w:rPr>
        <w:t xml:space="preserve">大水网时代的复杂性爆炸：从低维到高维非线性状态空间的灾难</w:t>
      </w:r>
    </w:p>
    <w:p>
      <w:pPr>
        <w:pStyle w:val="FirstParagraph"/>
      </w:pPr>
      <w:r>
        <w:rPr>
          <w:rFonts w:hint="eastAsia"/>
        </w:rPr>
        <w:t xml:space="preserve">随着国家水网”纲、目、结”体系的成型，跨流域、跨省市的长距离调水工程日益增多。一个典型的现代水网系统，包含数百座泵站、数千个闸门和数以万计的传感器。水流在长距离明渠、倒虹吸、渡槽和暗涵中穿梭，其非线性水动力学（如圣维南方程描述的偏微分方程特性）受到气象、用水需求、设备老化等无数时变参数的影响。</w:t>
      </w:r>
    </w:p>
    <w:p>
      <w:pPr>
        <w:pStyle w:val="BodyText"/>
      </w:pPr>
      <w:r>
        <w:rPr>
          <w:rFonts w:hint="eastAsia"/>
        </w:rPr>
        <w:t xml:space="preserve">以南水北调东线一期工程为例，其调度系统的状态空间维度保守估计超过</w:t>
      </w:r>
      <w:r>
        <w:t xml:space="preserve"> </w:t>
      </w:r>
      <m:oMath>
        <m:sSup>
          <m:e>
            <m:r>
              <m:t>10</m:t>
            </m:r>
          </m:e>
          <m:sup>
            <m:r>
              <m:t>4</m:t>
            </m:r>
          </m:sup>
        </m:sSup>
      </m:oMath>
      <w:r>
        <w:rPr>
          <w:rFonts w:hint="eastAsia"/>
        </w:rPr>
        <w:t xml:space="preserve">：13</w:t>
      </w:r>
      <w:r>
        <w:t xml:space="preserve"> </w:t>
      </w:r>
      <w:r>
        <w:rPr>
          <w:rFonts w:hint="eastAsia"/>
        </w:rPr>
        <w:t xml:space="preserve">个梯级泵站、数十座调蓄湖泊、数百个水位/流量监测断面，加上时变的受水区需求信号。当系统需要在</w:t>
      </w:r>
      <w:r>
        <w:t xml:space="preserve"> 5 </w:t>
      </w:r>
      <w:r>
        <w:rPr>
          <w:rFonts w:hint="eastAsia"/>
        </w:rPr>
        <w:t xml:space="preserve">分钟内完成全线协调优化时，所需遍历的决策树节点数量已远超人脑的即时认知上界（通常认为人类在并行注意力资源上限约为</w:t>
      </w:r>
      <w:r>
        <w:t xml:space="preserve"> 7±2 </w:t>
      </w:r>
      <w:r>
        <w:rPr>
          <w:rFonts w:hint="eastAsia"/>
        </w:rPr>
        <w:t xml:space="preserve">个独立任务）。</w:t>
      </w:r>
    </w:p>
    <w:p>
      <w:pPr>
        <w:pStyle w:val="BodyText"/>
      </w:pPr>
      <w:r>
        <w:rPr>
          <w:rFonts w:hint="eastAsia"/>
        </w:rPr>
        <w:t xml:space="preserve">当系统状态变量</w:t>
      </w:r>
      <w:r>
        <w:t xml:space="preserve"> </w:t>
      </w:r>
      <m:oMath>
        <m:r>
          <m:t>x</m:t>
        </m:r>
        <m:r>
          <m:rPr>
            <m:sty m:val="p"/>
          </m:rPr>
          <m:t>(</m:t>
        </m:r>
        <m:r>
          <m:t>t</m:t>
        </m:r>
        <m:r>
          <m:rPr>
            <m:sty m:val="p"/>
          </m:rPr>
          <m:t>)</m:t>
        </m:r>
      </m:oMath>
      <w:r>
        <w:t xml:space="preserve"> </w:t>
      </w:r>
      <w:r>
        <w:rPr>
          <w:rFonts w:hint="eastAsia"/>
        </w:rPr>
        <w:t xml:space="preserve">的维度超过人类调度的认知极限时，就产生了</w:t>
      </w:r>
      <w:r>
        <w:rPr>
          <w:rFonts w:hint="eastAsia"/>
          <w:b/>
          <w:bCs/>
        </w:rPr>
        <w:t xml:space="preserve">”复杂性爆炸”</w:t>
      </w:r>
      <w:r>
        <w:rPr>
          <w:rFonts w:hint="eastAsia"/>
        </w:rPr>
        <w:t xml:space="preserve">。此时，传统的”基于固定规则（IF-THEN）的联动控制”和”基于调度员经验的试凑调节”已经完全失效。一旦发生突发扰动（如干渠断电、突发暴雨、水质污染），系统状态会在高维空间中迅速偏离平衡点。调度员在海量报警风暴中根本无法在黄金几分钟内求解出全局最优且安全的控制向量</w:t>
      </w:r>
      <w:r>
        <w:t xml:space="preserve"> </w:t>
      </w:r>
      <m:oMath>
        <m:r>
          <m:t>u</m:t>
        </m:r>
        <m:r>
          <m:rPr>
            <m:sty m:val="p"/>
          </m:rPr>
          <m:t>(</m:t>
        </m:r>
        <m:r>
          <m:t>t</m:t>
        </m:r>
        <m:r>
          <m:rPr>
            <m:sty m:val="p"/>
          </m:rPr>
          <m:t>)</m:t>
        </m:r>
      </m:oMath>
      <w:r>
        <w:rPr>
          <w:rFonts w:hint="eastAsia"/>
        </w:rPr>
        <w:t xml:space="preserve">。系统越复杂，人类就越容易成为决策的瓶颈。</w:t>
      </w:r>
    </w:p>
    <w:bookmarkEnd w:id="11"/>
    <w:bookmarkStart w:id="12" w:name="伪智能的系统失稳平时不用急时不敢用"/>
    <w:p>
      <w:pPr>
        <w:pStyle w:val="Heading3"/>
      </w:pPr>
      <w:r>
        <w:t xml:space="preserve">1.1.3 </w:t>
      </w:r>
      <w:r>
        <w:rPr>
          <w:rFonts w:hint="eastAsia"/>
        </w:rPr>
        <w:t xml:space="preserve">“伪智能”的系统失稳：平时不用，急时不敢用</w:t>
      </w:r>
    </w:p>
    <w:p>
      <w:pPr>
        <w:pStyle w:val="FirstParagraph"/>
      </w:pPr>
      <w:r>
        <w:rPr>
          <w:rFonts w:hint="eastAsia"/>
        </w:rPr>
        <w:t xml:space="preserve">为了应对这种高维复杂性，行业内大量引入了各种缺乏边界约束的”优化算法”和”数字孪生”系统。然而，由于缺乏严格的智能化等级判定和测试验证标准（即缺乏李雅普诺夫稳定性证明），市场上充斥着大量未经验证的”模型”。</w:t>
      </w:r>
    </w:p>
    <w:p>
      <w:pPr>
        <w:pStyle w:val="BodyText"/>
      </w:pPr>
      <w:r>
        <w:rPr>
          <w:rFonts w:hint="eastAsia"/>
          <w:b/>
          <w:bCs/>
        </w:rPr>
        <w:t xml:space="preserve">【典型案例：某南方省份灌区智能调度系统的”失信”历程】</w:t>
      </w:r>
    </w:p>
    <w:p>
      <w:pPr>
        <w:pStyle w:val="BodyText"/>
      </w:pPr>
      <w:r>
        <w:rPr>
          <w:rFonts w:hint="eastAsia"/>
        </w:rPr>
        <w:t xml:space="preserve">某省级重点灌区于</w:t>
      </w:r>
      <w:r>
        <w:t xml:space="preserve"> 2021 </w:t>
      </w:r>
      <w:r>
        <w:rPr>
          <w:rFonts w:hint="eastAsia"/>
        </w:rPr>
        <w:t xml:space="preserve">年斥资数千万元引进了一套基于深度强化学习的”智能灌溉调度系统”。在历史数据回放演示中，系统调度效率指标优于人工</w:t>
      </w:r>
      <w:r>
        <w:t xml:space="preserve"> </w:t>
      </w:r>
      <w:r>
        <w:rPr>
          <w:rFonts w:hint="eastAsia"/>
        </w:rPr>
        <w:t xml:space="preserve">23%。然而，在</w:t>
      </w:r>
      <w:r>
        <w:t xml:space="preserve"> 2022 </w:t>
      </w:r>
      <w:r>
        <w:rPr>
          <w:rFonts w:hint="eastAsia"/>
        </w:rPr>
        <w:t xml:space="preserve">年夏季遭遇的一次非典型暴雨过程（24</w:t>
      </w:r>
      <w:r>
        <w:t xml:space="preserve"> </w:t>
      </w:r>
      <w:r>
        <w:rPr>
          <w:rFonts w:hint="eastAsia"/>
        </w:rPr>
        <w:t xml:space="preserve">小时雨量超历史同期</w:t>
      </w:r>
      <w:r>
        <w:t xml:space="preserve"> </w:t>
      </w:r>
      <w:r>
        <w:rPr>
          <w:rFonts w:hint="eastAsia"/>
        </w:rPr>
        <w:t xml:space="preserve">40%，属于训练集外的”长尾场景”）中，该系统在干渠水位快速上涨时连续输出了三次开度增大指令，与人工调度员的判断完全相反。紧急切断自动控制、转为手动后，险情才得以解除。此后，耗资数千万的系统被完全停用，仅保留了数据采集功能。事后分析发现，该系统从未定义其”合法操作边界”（ODD），也未配置在模型失效时的自动降级逻辑（MRC）。</w:t>
      </w:r>
    </w:p>
    <w:p>
      <w:pPr>
        <w:pStyle w:val="BodyText"/>
      </w:pPr>
      <w:r>
        <w:rPr>
          <w:rFonts w:hint="eastAsia"/>
        </w:rPr>
        <w:t xml:space="preserve">这个案例并非孤例，而是行业普遍现象。这些系统在历史数据回放和演示汇报中表现完美（过拟合现象），但在真实的运行环境中，一旦遇到未包含在训练集中的扰动，算法就会输出极端或震荡的控制指令，导致物理系统失稳。这导致了一种普遍的工程尴尬：</w:t>
      </w:r>
      <w:r>
        <w:rPr>
          <w:rFonts w:hint="eastAsia"/>
          <w:b/>
          <w:bCs/>
        </w:rPr>
        <w:t xml:space="preserve">耗资巨大的智能控制系统，在日常运行中被降级为昂贵的数据展示器；在遇到紧急工况时，调度员更是直接切断自动模式，转回手动操作。</w:t>
      </w:r>
      <w:r>
        <w:rPr>
          <w:rFonts w:hint="eastAsia"/>
        </w:rPr>
        <w:t xml:space="preserve">”平时不用，急时不敢用”，其根源在于系统缺乏”可信性（Trustworthiness）”和刚性的”安全包络（Safety</w:t>
      </w:r>
      <w:r>
        <w:t xml:space="preserve"> </w:t>
      </w:r>
      <w:r>
        <w:rPr>
          <w:rFonts w:hint="eastAsia"/>
        </w:rPr>
        <w:t xml:space="preserve">Envelope）”。没有标准作为防火墙，劣币驱逐良币，真正的智能控制技术反而难以在工程中立足。</w:t>
      </w:r>
    </w:p>
    <w:bookmarkEnd w:id="12"/>
    <w:bookmarkEnd w:id="13"/>
    <w:bookmarkStart w:id="18" w:name="跨行业的智能化代差与标准降维"/>
    <w:p>
      <w:pPr>
        <w:pStyle w:val="Heading2"/>
      </w:pPr>
      <w:r>
        <w:t xml:space="preserve">1.2 </w:t>
      </w:r>
      <w:r>
        <w:rPr>
          <w:rFonts w:hint="eastAsia"/>
        </w:rPr>
        <w:t xml:space="preserve">跨行业的智能化代差与标准降维</w:t>
      </w:r>
    </w:p>
    <w:p>
      <w:pPr>
        <w:pStyle w:val="FirstParagraph"/>
      </w:pPr>
      <w:r>
        <w:rPr>
          <w:rFonts w:hint="eastAsia"/>
        </w:rPr>
        <w:t xml:space="preserve">跳出水利看水利。在面对复杂系统的自动控制与智能化升级时，航空航天、汽车工业和离散制造等领域早已走过了迷茫期，并形成了一套严密的标准体系。对比之下，我们面临的不仅是控制算子的差距，更是</w:t>
      </w:r>
      <w:r>
        <w:rPr>
          <w:rFonts w:hint="eastAsia"/>
          <w:b/>
          <w:bCs/>
        </w:rPr>
        <w:t xml:space="preserve">工程治理体系落后一个时代</w:t>
      </w:r>
      <w:r>
        <w:rPr>
          <w:rFonts w:hint="eastAsia"/>
        </w:rPr>
        <w:t xml:space="preserve">的降维打击。</w:t>
      </w:r>
    </w:p>
    <w:bookmarkStart w:id="14" w:name="自动驾驶sae-j3016-3如何通过定义责任转移边界统一产业认知"/>
    <w:p>
      <w:pPr>
        <w:pStyle w:val="Heading3"/>
      </w:pPr>
      <w:r>
        <w:t xml:space="preserve">1.2.1 </w:t>
      </w:r>
      <w:r>
        <w:rPr>
          <w:rFonts w:hint="eastAsia"/>
        </w:rPr>
        <w:t xml:space="preserve">自动驾驶（SAE</w:t>
      </w:r>
      <w:r>
        <w:t xml:space="preserve"> J3016 </w:t>
      </w:r>
      <w:r>
        <w:rPr>
          <w:rFonts w:hint="eastAsia"/>
        </w:rPr>
        <w:t xml:space="preserve">[3]）：如何通过定义责任转移边界统一产业认知</w:t>
      </w:r>
    </w:p>
    <w:p>
      <w:pPr>
        <w:pStyle w:val="FirstParagraph"/>
      </w:pPr>
      <w:r>
        <w:rPr>
          <w:rFonts w:hint="eastAsia"/>
        </w:rPr>
        <w:t xml:space="preserve">在2014年之前，汽车行业对“自动驾驶”的定义同样混乱不堪，各种“辅助驾驶”、“无人驾驶”的营销术语满天飞，导致消费者误解、责任难以划定。</w:t>
      </w:r>
    </w:p>
    <w:p>
      <w:pPr>
        <w:pStyle w:val="BodyText"/>
      </w:pPr>
      <w:r>
        <w:rPr>
          <w:rFonts w:hint="eastAsia"/>
        </w:rPr>
        <w:t xml:space="preserve">直到美国汽车工程师学会（SAE）发布了具有划时代意义的</w:t>
      </w:r>
      <w:r>
        <w:rPr>
          <w:b/>
          <w:bCs/>
        </w:rPr>
        <w:t xml:space="preserve">J3016 </w:t>
      </w:r>
      <w:r>
        <w:rPr>
          <w:rFonts w:hint="eastAsia"/>
          <w:b/>
          <w:bCs/>
        </w:rPr>
        <w:t xml:space="preserve">标准</w:t>
      </w:r>
      <w:r>
        <w:rPr>
          <w:rFonts w:hint="eastAsia"/>
        </w:rPr>
        <w:t xml:space="preserve">，将自动驾驶划分为</w:t>
      </w:r>
      <w:r>
        <w:t xml:space="preserve"> L0 </w:t>
      </w:r>
      <w:r>
        <w:rPr>
          <w:rFonts w:hint="eastAsia"/>
        </w:rPr>
        <w:t xml:space="preserve">到</w:t>
      </w:r>
      <w:r>
        <w:t xml:space="preserve"> L5 </w:t>
      </w:r>
      <w:r>
        <w:rPr>
          <w:rFonts w:hint="eastAsia"/>
        </w:rPr>
        <w:t xml:space="preserve">六个等级，并清晰定义了“动态驾驶任务（DDT）”、“运行设计域（ODD）”和“最小风险状态（MRC）”。</w:t>
      </w:r>
      <w:r>
        <w:t xml:space="preserve"> </w:t>
      </w:r>
      <w:r>
        <w:rPr>
          <w:rFonts w:hint="eastAsia"/>
        </w:rPr>
        <w:t xml:space="preserve">这套标准瞬间统一了全球汽车工业的认知底座。它不再纠结于具体的算法（是视觉流还是激光雷达流），而是死死抓住了“人与机器的责任转移边界”。“L2是人兜底，L3是系统负责安全降级”——正是这一清晰的界定，催生了今天万亿级的智能网联汽车赛道。水网的智能化，迫切需要属于自己的“J3016”，以终结当前的定义混乱。</w:t>
      </w:r>
    </w:p>
    <w:bookmarkEnd w:id="14"/>
    <w:bookmarkStart w:id="15" w:name="功能安全iso-26262-4与工控网络iec-62443-5的启示"/>
    <w:p>
      <w:pPr>
        <w:pStyle w:val="Heading3"/>
      </w:pPr>
      <w:r>
        <w:t xml:space="preserve">1.2.2 </w:t>
      </w:r>
      <w:r>
        <w:rPr>
          <w:rFonts w:hint="eastAsia"/>
        </w:rPr>
        <w:t xml:space="preserve">功能安全（ISO</w:t>
      </w:r>
      <w:r>
        <w:t xml:space="preserve"> 26262 </w:t>
      </w:r>
      <w:r>
        <w:rPr>
          <w:rFonts w:hint="eastAsia"/>
        </w:rPr>
        <w:t xml:space="preserve">[4]）与工控网络（IEC</w:t>
      </w:r>
      <w:r>
        <w:t xml:space="preserve"> 62443 </w:t>
      </w:r>
      <w:r>
        <w:rPr>
          <w:rFonts w:hint="eastAsia"/>
        </w:rPr>
        <w:t xml:space="preserve">[5]）的启示</w:t>
      </w:r>
    </w:p>
    <w:p>
      <w:pPr>
        <w:pStyle w:val="FirstParagraph"/>
      </w:pPr>
      <w:r>
        <w:rPr>
          <w:rFonts w:hint="eastAsia"/>
        </w:rPr>
        <w:t xml:space="preserve">为什么一架拥有数百万行代码的波音客机，或者一座高度自动化的变电站，能够实现极高的运行可靠性？核心在于它们遵循了以</w:t>
      </w:r>
      <w:r>
        <w:rPr>
          <w:rFonts w:hint="eastAsia"/>
          <w:b/>
          <w:bCs/>
        </w:rPr>
        <w:t xml:space="preserve">功能安全（Functional</w:t>
      </w:r>
      <w:r>
        <w:rPr>
          <w:b/>
          <w:bCs/>
        </w:rPr>
        <w:t xml:space="preserve"> </w:t>
      </w:r>
      <w:r>
        <w:rPr>
          <w:rFonts w:hint="eastAsia"/>
          <w:b/>
          <w:bCs/>
        </w:rPr>
        <w:t xml:space="preserve">Safety）</w:t>
      </w:r>
      <w:r>
        <w:rPr>
          <w:rFonts w:hint="eastAsia"/>
        </w:rPr>
        <w:t xml:space="preserve">和</w:t>
      </w:r>
      <w:r>
        <w:rPr>
          <w:rFonts w:hint="eastAsia"/>
          <w:b/>
          <w:bCs/>
        </w:rPr>
        <w:t xml:space="preserve">概率风险评估</w:t>
      </w:r>
      <w:r>
        <w:rPr>
          <w:rFonts w:hint="eastAsia"/>
        </w:rPr>
        <w:t xml:space="preserve">为核心的强制性标准。</w:t>
      </w:r>
    </w:p>
    <w:p>
      <w:pPr>
        <w:pStyle w:val="BodyText"/>
      </w:pPr>
      <w:r>
        <w:rPr>
          <w:rFonts w:hint="eastAsia"/>
        </w:rPr>
        <w:t xml:space="preserve">以汽车领域的</w:t>
      </w:r>
      <w:r>
        <w:t xml:space="preserve"> ISO 26262 [4] </w:t>
      </w:r>
      <w:r>
        <w:rPr>
          <w:rFonts w:hint="eastAsia"/>
        </w:rPr>
        <w:t xml:space="preserve">为例，它基于故障树分析（FTA），要求所有带微处理器的控制系统必须经过硬件在环（HIL）的严苛测试，必须在数学上证明在各种极端失效下系统不会发生灾难性后果（预期功能安全</w:t>
      </w:r>
      <w:r>
        <w:t xml:space="preserve"> </w:t>
      </w:r>
      <w:r>
        <w:rPr>
          <w:rFonts w:hint="eastAsia"/>
        </w:rPr>
        <w:t xml:space="preserve">SOTIF）。而在工业控制领域，IEC</w:t>
      </w:r>
      <w:r>
        <w:t xml:space="preserve"> 62443 [5] </w:t>
      </w:r>
      <w:r>
        <w:rPr>
          <w:rFonts w:hint="eastAsia"/>
        </w:rPr>
        <w:t xml:space="preserve">则规定了“纵深防御”的网络安全分区。</w:t>
      </w:r>
      <w:r>
        <w:t xml:space="preserve"> </w:t>
      </w:r>
      <w:r>
        <w:rPr>
          <w:rFonts w:hint="eastAsia"/>
        </w:rPr>
        <w:t xml:space="preserve">反观当前的水网智能化项目，许多上层调度模型和决策算法，没有经过规范的软件在环（SIL）和硬件在环（HIL）极限边界测试，就直接接入了生产系统。这在航空或汽车工业中是违法的。</w:t>
      </w:r>
    </w:p>
    <w:bookmarkEnd w:id="15"/>
    <w:bookmarkStart w:id="16" w:name="水利行业的反思控制算子领先但工程治理框架落后"/>
    <w:p>
      <w:pPr>
        <w:pStyle w:val="Heading3"/>
      </w:pPr>
      <w:r>
        <w:t xml:space="preserve">1.2.3 </w:t>
      </w:r>
      <w:r>
        <w:rPr>
          <w:rFonts w:hint="eastAsia"/>
        </w:rPr>
        <w:t xml:space="preserve">水利行业的反思：控制算子领先，但工程治理框架落后</w:t>
      </w:r>
    </w:p>
    <w:p>
      <w:pPr>
        <w:pStyle w:val="FirstParagraph"/>
      </w:pPr>
      <w:r>
        <w:rPr>
          <w:rFonts w:hint="eastAsia"/>
        </w:rPr>
        <w:t xml:space="preserve">必须承认，中国水利科研工作者在水动力学模型（PBM）、数据驱动模型（SM）乃至水网数字孪生技术的理论研究上，已经处于国际第一梯队。我们在求解纳维-斯托克斯方程（N-S方程）的降维算子和MPC（模型预测控制）算法上并不落后。</w:t>
      </w:r>
    </w:p>
    <w:p>
      <w:pPr>
        <w:pStyle w:val="BodyText"/>
      </w:pPr>
      <w:r>
        <w:rPr>
          <w:rFonts w:hint="eastAsia"/>
        </w:rPr>
        <w:t xml:space="preserve">真正的差距在于：</w:t>
      </w:r>
      <w:r>
        <w:rPr>
          <w:rFonts w:hint="eastAsia"/>
          <w:b/>
          <w:bCs/>
        </w:rPr>
        <w:t xml:space="preserve">缺乏一套将“科研级算法”转化为“高可靠工程系统”的治理闭环。</w:t>
      </w:r>
      <w:r>
        <w:rPr>
          <w:rFonts w:hint="eastAsia"/>
        </w:rPr>
        <w:t xml:space="preserve">我们没有将模型封装标准化的机制（如</w:t>
      </w:r>
      <w:r>
        <w:t xml:space="preserve"> </w:t>
      </w:r>
      <w:r>
        <w:rPr>
          <w:rFonts w:hint="eastAsia"/>
        </w:rPr>
        <w:t xml:space="preserve">FMI），没有强制的场景库矩阵测试（Monte</w:t>
      </w:r>
      <w:r>
        <w:t xml:space="preserve"> Carlo </w:t>
      </w:r>
      <w:r>
        <w:rPr>
          <w:rFonts w:hint="eastAsia"/>
        </w:rPr>
        <w:t xml:space="preserve">遍历），没有规范的招投标否决项来淘汰“PPT造车”的厂商，更没有系统上线后的持续准入与状态审计追溯机制。</w:t>
      </w:r>
      <w:r>
        <w:rPr>
          <w:rFonts w:hint="eastAsia"/>
          <w:b/>
          <w:bCs/>
        </w:rPr>
        <w:t xml:space="preserve">一流的非线性优化算法，如果装在一个缺乏硬约束的工程治理壳子里，最终交付的只能是一个无法收敛的系统。</w:t>
      </w:r>
    </w:p>
    <w:bookmarkEnd w:id="16"/>
    <w:bookmarkStart w:id="17" w:name="水网自治等级wnal水利行业的自主等级框架"/>
    <w:p>
      <w:pPr>
        <w:pStyle w:val="Heading3"/>
      </w:pPr>
      <w:r>
        <w:t xml:space="preserve">1.2.4 </w:t>
      </w:r>
      <w:r>
        <w:rPr>
          <w:rFonts w:hint="eastAsia"/>
        </w:rPr>
        <w:t xml:space="preserve">水网自治等级（WNAL）：水利行业的自主等级框架</w:t>
      </w:r>
    </w:p>
    <w:p>
      <w:pPr>
        <w:pStyle w:val="FirstParagraph"/>
      </w:pPr>
      <w:r>
        <w:rPr>
          <w:rFonts w:hint="eastAsia"/>
        </w:rPr>
        <w:t xml:space="preserve">借鉴</w:t>
      </w:r>
      <w:r>
        <w:t xml:space="preserve"> SAE J3016 </w:t>
      </w:r>
      <w:r>
        <w:rPr>
          <w:rFonts w:hint="eastAsia"/>
        </w:rPr>
        <w:t xml:space="preserve">的核心方法论——以“责任边界”而非“算法复杂度”来定义自治等级——本书系列</w:t>
      </w:r>
      <w:r>
        <w:t xml:space="preserve"> [1] </w:t>
      </w:r>
      <w:r>
        <w:rPr>
          <w:rFonts w:hint="eastAsia"/>
        </w:rPr>
        <w:t xml:space="preserve">针对水利系统的特殊性提出了</w:t>
      </w:r>
      <w:r>
        <w:rPr>
          <w:rFonts w:hint="eastAsia"/>
          <w:b/>
          <w:bCs/>
        </w:rPr>
        <w:t xml:space="preserve">水网自治等级（Water</w:t>
      </w:r>
      <w:r>
        <w:rPr>
          <w:b/>
          <w:bCs/>
        </w:rPr>
        <w:t xml:space="preserve"> Network Autonomy </w:t>
      </w:r>
      <w:r>
        <w:rPr>
          <w:rFonts w:hint="eastAsia"/>
          <w:b/>
          <w:bCs/>
        </w:rPr>
        <w:t xml:space="preserve">Level，WNAL）</w:t>
      </w:r>
      <w:r>
        <w:rPr>
          <w:rFonts w:hint="eastAsia"/>
        </w:rPr>
        <w:t xml:space="preserve">框架，作为贯穿本系列标准体系的分级基准。</w:t>
      </w:r>
    </w:p>
    <w:p>
      <w:pPr>
        <w:pStyle w:val="BodyText"/>
      </w:pPr>
      <w:r>
        <w:t xml:space="preserve">WNAL </w:t>
      </w:r>
      <w:r>
        <w:rPr>
          <w:rFonts w:hint="eastAsia"/>
        </w:rPr>
        <w:t xml:space="preserve">框架将水网系统的自动化与智能化程度划分为</w:t>
      </w:r>
      <w:r>
        <w:t xml:space="preserve"> L0 </w:t>
      </w:r>
      <w:r>
        <w:rPr>
          <w:rFonts w:hint="eastAsia"/>
        </w:rPr>
        <w:t xml:space="preserve">至</w:t>
      </w:r>
      <w:r>
        <w:t xml:space="preserve"> L5 </w:t>
      </w:r>
      <w:r>
        <w:rPr>
          <w:rFonts w:hint="eastAsia"/>
        </w:rPr>
        <w:t xml:space="preserve">六个等级（见表1-2），核心判据不是“用了什么算法”，而是“在什么边界条件下、由谁承担最终控制责任”——与</w:t>
      </w:r>
      <w:r>
        <w:t xml:space="preserve"> SAE J3016 </w:t>
      </w:r>
      <w:r>
        <w:rPr>
          <w:rFonts w:hint="eastAsia"/>
        </w:rPr>
        <w:t xml:space="preserve">的精神完全一致，但针对水利领域进行了深度适配。</w:t>
      </w:r>
    </w:p>
    <w:p>
      <w:pPr>
        <w:pStyle w:val="BodyText"/>
      </w:pPr>
      <w:r>
        <w:rPr>
          <w:rFonts w:hint="eastAsia"/>
          <w:b/>
          <w:bCs/>
        </w:rPr>
        <w:t xml:space="preserve">表1-2</w:t>
      </w:r>
      <w:r>
        <w:rPr>
          <w:b/>
          <w:bCs/>
        </w:rPr>
        <w:t xml:space="preserve"> </w:t>
      </w:r>
      <w:r>
        <w:rPr>
          <w:rFonts w:hint="eastAsia"/>
          <w:b/>
          <w:bCs/>
        </w:rPr>
        <w:t xml:space="preserve">水网自治等级（WNAL）分级定义</w:t>
      </w:r>
    </w:p>
    <w:p>
      <w:pPr>
        <w:pStyle w:val="BodyText"/>
      </w:pPr>
      <w:r>
        <w:rPr>
          <w:rFonts w:hint="eastAsia"/>
          <w:b/>
          <w:bCs/>
        </w:rPr>
        <w:t xml:space="preserve">表1-1</w:t>
      </w:r>
    </w:p>
    <w:tbl>
      <w:tblPr>
        <w:tblStyle w:val="Table"/>
        <w:tblW w:type="pct" w:w="5000"/>
        <w:tblLayout w:type="fixed"/>
        <w:tblLook w:firstRow="1" w:lastRow="0" w:firstColumn="0" w:lastColumn="0" w:noHBand="0" w:noVBand="0" w:val="0020"/>
      </w:tblPr>
      <w:tblGrid>
        <w:gridCol w:w="1485"/>
        <w:gridCol w:w="990"/>
        <w:gridCol w:w="1485"/>
        <w:gridCol w:w="1980"/>
        <w:gridCol w:w="1980"/>
      </w:tblGrid>
      <w:tr>
        <w:trPr>
          <w:tblHeader w:val="on"/>
        </w:trPr>
        <w:tc>
          <w:tcPr/>
          <w:p>
            <w:pPr>
              <w:pStyle w:val="Compact"/>
            </w:pPr>
            <w:r>
              <w:rPr>
                <w:rFonts w:hint="eastAsia"/>
              </w:rPr>
              <w:t xml:space="preserve">WNAL等级</w:t>
            </w:r>
          </w:p>
        </w:tc>
        <w:tc>
          <w:tcPr/>
          <w:p>
            <w:pPr>
              <w:pStyle w:val="Compact"/>
            </w:pPr>
            <w:r>
              <w:rPr>
                <w:rFonts w:hint="eastAsia"/>
              </w:rPr>
              <w:t xml:space="preserve">名称</w:t>
            </w:r>
          </w:p>
        </w:tc>
        <w:tc>
          <w:tcPr/>
          <w:p>
            <w:pPr>
              <w:pStyle w:val="Compact"/>
            </w:pPr>
            <w:r>
              <w:rPr>
                <w:rFonts w:hint="eastAsia"/>
              </w:rPr>
              <w:t xml:space="preserve">决策主体</w:t>
            </w:r>
          </w:p>
        </w:tc>
        <w:tc>
          <w:tcPr/>
          <w:p>
            <w:pPr>
              <w:pStyle w:val="Compact"/>
            </w:pPr>
            <w:r>
              <w:rPr>
                <w:rFonts w:hint="eastAsia"/>
              </w:rPr>
              <w:t xml:space="preserve">典型技术实现</w:t>
            </w:r>
          </w:p>
        </w:tc>
        <w:tc>
          <w:tcPr/>
          <w:p>
            <w:pPr>
              <w:pStyle w:val="Compact"/>
            </w:pPr>
            <w:r>
              <w:rPr>
                <w:rFonts w:hint="eastAsia"/>
              </w:rPr>
              <w:t xml:space="preserve">典型水利场景</w:t>
            </w:r>
          </w:p>
        </w:tc>
      </w:tr>
      <w:tr>
        <w:tc>
          <w:tcPr/>
          <w:p>
            <w:pPr>
              <w:pStyle w:val="Compact"/>
            </w:pPr>
            <w:r>
              <w:rPr>
                <w:b/>
                <w:bCs/>
              </w:rPr>
              <w:t xml:space="preserve">L0</w:t>
            </w:r>
          </w:p>
        </w:tc>
        <w:tc>
          <w:tcPr/>
          <w:p>
            <w:pPr>
              <w:pStyle w:val="Compact"/>
            </w:pPr>
            <w:r>
              <w:rPr>
                <w:rFonts w:hint="eastAsia"/>
              </w:rPr>
              <w:t xml:space="preserve">无自动化</w:t>
            </w:r>
          </w:p>
        </w:tc>
        <w:tc>
          <w:tcPr/>
          <w:p>
            <w:pPr>
              <w:pStyle w:val="Compact"/>
            </w:pPr>
            <w:r>
              <w:rPr>
                <w:rFonts w:hint="eastAsia"/>
              </w:rPr>
              <w:t xml:space="preserve">人工全权</w:t>
            </w:r>
          </w:p>
        </w:tc>
        <w:tc>
          <w:tcPr/>
          <w:p>
            <w:pPr>
              <w:pStyle w:val="Compact"/>
            </w:pPr>
            <w:r>
              <w:rPr>
                <w:rFonts w:hint="eastAsia"/>
              </w:rPr>
              <w:t xml:space="preserve">电话/纸质记录</w:t>
            </w:r>
          </w:p>
        </w:tc>
        <w:tc>
          <w:tcPr/>
          <w:p>
            <w:pPr>
              <w:pStyle w:val="Compact"/>
            </w:pPr>
            <w:r>
              <w:rPr>
                <w:rFonts w:hint="eastAsia"/>
              </w:rPr>
              <w:t xml:space="preserve">传统灌区人工控闸</w:t>
            </w:r>
          </w:p>
        </w:tc>
      </w:tr>
      <w:tr>
        <w:tc>
          <w:tcPr/>
          <w:p>
            <w:pPr>
              <w:pStyle w:val="Compact"/>
            </w:pPr>
            <w:r>
              <w:rPr>
                <w:b/>
                <w:bCs/>
              </w:rPr>
              <w:t xml:space="preserve">L1</w:t>
            </w:r>
          </w:p>
        </w:tc>
        <w:tc>
          <w:tcPr/>
          <w:p>
            <w:pPr>
              <w:pStyle w:val="Compact"/>
            </w:pPr>
            <w:r>
              <w:rPr>
                <w:rFonts w:hint="eastAsia"/>
              </w:rPr>
              <w:t xml:space="preserve">辅助自动化</w:t>
            </w:r>
          </w:p>
        </w:tc>
        <w:tc>
          <w:tcPr/>
          <w:p>
            <w:pPr>
              <w:pStyle w:val="Compact"/>
            </w:pPr>
            <w:r>
              <w:rPr>
                <w:rFonts w:hint="eastAsia"/>
              </w:rPr>
              <w:t xml:space="preserve">人工为主，系统提示</w:t>
            </w:r>
          </w:p>
        </w:tc>
        <w:tc>
          <w:tcPr/>
          <w:p>
            <w:pPr>
              <w:pStyle w:val="Compact"/>
            </w:pPr>
            <w:r>
              <w:rPr>
                <w:rFonts w:hint="eastAsia"/>
              </w:rPr>
              <w:t xml:space="preserve">传统</w:t>
            </w:r>
            <w:r>
              <w:t xml:space="preserve"> SCADA、PID </w:t>
            </w:r>
            <w:r>
              <w:rPr>
                <w:rFonts w:hint="eastAsia"/>
              </w:rPr>
              <w:t xml:space="preserve">单点保护</w:t>
            </w:r>
          </w:p>
        </w:tc>
        <w:tc>
          <w:tcPr/>
          <w:p>
            <w:pPr>
              <w:pStyle w:val="Compact"/>
            </w:pPr>
            <w:r>
              <w:rPr>
                <w:rFonts w:hint="eastAsia"/>
              </w:rPr>
              <w:t xml:space="preserve">泵站过载保护联锁</w:t>
            </w:r>
          </w:p>
        </w:tc>
      </w:tr>
      <w:tr>
        <w:tc>
          <w:tcPr/>
          <w:p>
            <w:pPr>
              <w:pStyle w:val="Compact"/>
            </w:pPr>
            <w:r>
              <w:rPr>
                <w:b/>
                <w:bCs/>
              </w:rPr>
              <w:t xml:space="preserve">L2</w:t>
            </w:r>
          </w:p>
        </w:tc>
        <w:tc>
          <w:tcPr/>
          <w:p>
            <w:pPr>
              <w:pStyle w:val="Compact"/>
            </w:pPr>
            <w:r>
              <w:rPr>
                <w:rFonts w:hint="eastAsia"/>
              </w:rPr>
              <w:t xml:space="preserve">条件自动化</w:t>
            </w:r>
          </w:p>
        </w:tc>
        <w:tc>
          <w:tcPr/>
          <w:p>
            <w:pPr>
              <w:pStyle w:val="Compact"/>
            </w:pPr>
            <w:r>
              <w:rPr>
                <w:rFonts w:hint="eastAsia"/>
              </w:rPr>
              <w:t xml:space="preserve">系统执行，人工监督</w:t>
            </w:r>
          </w:p>
        </w:tc>
        <w:tc>
          <w:tcPr/>
          <w:p>
            <w:pPr>
              <w:pStyle w:val="Compact"/>
            </w:pPr>
            <w:r>
              <w:rPr>
                <w:rFonts w:hint="eastAsia"/>
              </w:rPr>
              <w:t xml:space="preserve">规则联动控制、基于</w:t>
            </w:r>
            <w:r>
              <w:t xml:space="preserve"> Skill </w:t>
            </w:r>
            <w:r>
              <w:rPr>
                <w:rFonts w:hint="eastAsia"/>
              </w:rPr>
              <w:t xml:space="preserve">的事件驱动调度</w:t>
            </w:r>
          </w:p>
        </w:tc>
        <w:tc>
          <w:tcPr/>
          <w:p>
            <w:pPr>
              <w:pStyle w:val="Compact"/>
            </w:pPr>
            <w:r>
              <w:rPr>
                <w:rFonts w:hint="eastAsia"/>
              </w:rPr>
              <w:t xml:space="preserve">渠段水位反馈控制</w:t>
            </w:r>
          </w:p>
        </w:tc>
      </w:tr>
      <w:tr>
        <w:tc>
          <w:tcPr/>
          <w:p>
            <w:pPr>
              <w:pStyle w:val="Compact"/>
            </w:pPr>
            <w:r>
              <w:rPr>
                <w:b/>
                <w:bCs/>
              </w:rPr>
              <w:t xml:space="preserve">L3</w:t>
            </w:r>
          </w:p>
        </w:tc>
        <w:tc>
          <w:tcPr/>
          <w:p>
            <w:pPr>
              <w:pStyle w:val="Compact"/>
            </w:pPr>
            <w:r>
              <w:rPr>
                <w:rFonts w:hint="eastAsia"/>
              </w:rPr>
              <w:t xml:space="preserve">有条件自主</w:t>
            </w:r>
          </w:p>
        </w:tc>
        <w:tc>
          <w:tcPr/>
          <w:p>
            <w:pPr>
              <w:pStyle w:val="Compact"/>
            </w:pPr>
            <w:r>
              <w:rPr>
                <w:rFonts w:hint="eastAsia"/>
              </w:rPr>
              <w:t xml:space="preserve">系统自主，人工兜底</w:t>
            </w:r>
          </w:p>
        </w:tc>
        <w:tc>
          <w:tcPr/>
          <w:p>
            <w:pPr>
              <w:pStyle w:val="Compact"/>
            </w:pPr>
            <w:r>
              <w:rPr>
                <w:rFonts w:hint="eastAsia"/>
              </w:rPr>
              <w:t xml:space="preserve">MPC、步长级仿控耦合（Δt</w:t>
            </w:r>
            <w:r>
              <w:t xml:space="preserve"> </w:t>
            </w:r>
            <w:r>
              <w:rPr>
                <w:rFonts w:hint="eastAsia"/>
              </w:rPr>
              <w:t xml:space="preserve">内同步推进）</w:t>
            </w:r>
          </w:p>
        </w:tc>
        <w:tc>
          <w:tcPr/>
          <w:p>
            <w:pPr>
              <w:pStyle w:val="Compact"/>
            </w:pPr>
            <w:r>
              <w:t xml:space="preserve">ODD </w:t>
            </w:r>
            <w:r>
              <w:rPr>
                <w:rFonts w:hint="eastAsia"/>
              </w:rPr>
              <w:t xml:space="preserve">内的闸泵站协同调度</w:t>
            </w:r>
          </w:p>
        </w:tc>
      </w:tr>
      <w:tr>
        <w:tc>
          <w:tcPr/>
          <w:p>
            <w:pPr>
              <w:pStyle w:val="Compact"/>
            </w:pPr>
            <w:r>
              <w:rPr>
                <w:b/>
                <w:bCs/>
              </w:rPr>
              <w:t xml:space="preserve">L4</w:t>
            </w:r>
          </w:p>
        </w:tc>
        <w:tc>
          <w:tcPr/>
          <w:p>
            <w:pPr>
              <w:pStyle w:val="Compact"/>
            </w:pPr>
            <w:r>
              <w:rPr>
                <w:rFonts w:hint="eastAsia"/>
              </w:rPr>
              <w:t xml:space="preserve">高度自主</w:t>
            </w:r>
          </w:p>
        </w:tc>
        <w:tc>
          <w:tcPr/>
          <w:p>
            <w:pPr>
              <w:pStyle w:val="Compact"/>
            </w:pPr>
            <w:r>
              <w:rPr>
                <w:rFonts w:hint="eastAsia"/>
              </w:rPr>
              <w:t xml:space="preserve">系统全自主，人工监督</w:t>
            </w:r>
          </w:p>
        </w:tc>
        <w:tc>
          <w:tcPr/>
          <w:p>
            <w:pPr>
              <w:pStyle w:val="Compact"/>
            </w:pPr>
            <w:r>
              <w:rPr>
                <w:rFonts w:hint="eastAsia"/>
              </w:rPr>
              <w:t xml:space="preserve">物理约束驱动</w:t>
            </w:r>
            <w:r>
              <w:t xml:space="preserve"> </w:t>
            </w:r>
            <w:r>
              <w:rPr>
                <w:rFonts w:hint="eastAsia"/>
              </w:rPr>
              <w:t xml:space="preserve">AI（PIA）+</w:t>
            </w:r>
            <w:r>
              <w:t xml:space="preserve"> </w:t>
            </w:r>
            <w:r>
              <w:rPr>
                <w:rFonts w:hint="eastAsia"/>
              </w:rPr>
              <w:t xml:space="preserve">认知引擎</w:t>
            </w:r>
          </w:p>
        </w:tc>
        <w:tc>
          <w:tcPr/>
          <w:p>
            <w:pPr>
              <w:pStyle w:val="Compact"/>
            </w:pPr>
            <w:r>
              <w:rPr>
                <w:rFonts w:hint="eastAsia"/>
              </w:rPr>
              <w:t xml:space="preserve">复杂场景无人值守运行</w:t>
            </w:r>
          </w:p>
        </w:tc>
      </w:tr>
      <w:tr>
        <w:tc>
          <w:tcPr/>
          <w:p>
            <w:pPr>
              <w:pStyle w:val="Compact"/>
            </w:pPr>
            <w:r>
              <w:rPr>
                <w:b/>
                <w:bCs/>
              </w:rPr>
              <w:t xml:space="preserve">L5</w:t>
            </w:r>
          </w:p>
        </w:tc>
        <w:tc>
          <w:tcPr/>
          <w:p>
            <w:pPr>
              <w:pStyle w:val="Compact"/>
            </w:pPr>
            <w:r>
              <w:rPr>
                <w:rFonts w:hint="eastAsia"/>
              </w:rPr>
              <w:t xml:space="preserve">完全自主</w:t>
            </w:r>
          </w:p>
        </w:tc>
        <w:tc>
          <w:tcPr/>
          <w:p>
            <w:pPr>
              <w:pStyle w:val="Compact"/>
            </w:pPr>
            <w:r>
              <w:rPr>
                <w:rFonts w:hint="eastAsia"/>
              </w:rPr>
              <w:t xml:space="preserve">系统全自主</w:t>
            </w:r>
          </w:p>
        </w:tc>
        <w:tc>
          <w:tcPr/>
          <w:p>
            <w:pPr>
              <w:pStyle w:val="Compact"/>
            </w:pPr>
            <w:r>
              <w:rPr>
                <w:rFonts w:hint="eastAsia"/>
              </w:rPr>
              <w:t xml:space="preserve">跨系统自主演进</w:t>
            </w:r>
          </w:p>
        </w:tc>
        <w:tc>
          <w:tcPr/>
          <w:p>
            <w:pPr>
              <w:pStyle w:val="Compact"/>
            </w:pPr>
            <w:r>
              <w:rPr>
                <w:rFonts w:hint="eastAsia"/>
              </w:rPr>
              <w:t xml:space="preserve">全国水网无人调度（未来目标）</w:t>
            </w:r>
          </w:p>
        </w:tc>
      </w:tr>
    </w:tbl>
    <w:p>
      <w:pPr>
        <w:pStyle w:val="BodyText"/>
      </w:pPr>
      <w:r>
        <w:t xml:space="preserve">WNAL </w:t>
      </w:r>
      <w:r>
        <w:rPr>
          <w:rFonts w:hint="eastAsia"/>
        </w:rPr>
        <w:t xml:space="preserve">框架与</w:t>
      </w:r>
      <w:r>
        <w:t xml:space="preserve"> SAE J3016 </w:t>
      </w:r>
      <w:r>
        <w:rPr>
          <w:rFonts w:hint="eastAsia"/>
        </w:rPr>
        <w:t xml:space="preserve">的核心区别体现在三个维度：</w:t>
      </w:r>
    </w:p>
    <w:p>
      <w:pPr>
        <w:pStyle w:val="BodyText"/>
      </w:pPr>
      <w:r>
        <w:rPr>
          <w:rFonts w:hint="eastAsia"/>
          <w:b/>
          <w:bCs/>
        </w:rPr>
        <w:t xml:space="preserve">第一，责任主体是“组织”而非“个人”。</w:t>
      </w:r>
      <w:r>
        <w:t xml:space="preserve"> </w:t>
      </w:r>
      <w:r>
        <w:rPr>
          <w:rFonts w:hint="eastAsia"/>
        </w:rPr>
        <w:t xml:space="preserve">汽车驾驶中，责任主体是司机个人；水利调度中，“人类兜底”意味着调度班组、调度规程和行政授权的共同履责。WNAL</w:t>
      </w:r>
      <w:r>
        <w:t xml:space="preserve"> </w:t>
      </w:r>
      <w:r>
        <w:rPr>
          <w:rFonts w:hint="eastAsia"/>
        </w:rPr>
        <w:t xml:space="preserve">因此引入</w:t>
      </w:r>
      <w:r>
        <w:rPr>
          <w:rFonts w:hint="eastAsia"/>
          <w:b/>
          <w:bCs/>
        </w:rPr>
        <w:t xml:space="preserve">调度权移交（Control</w:t>
      </w:r>
      <w:r>
        <w:rPr>
          <w:b/>
          <w:bCs/>
        </w:rPr>
        <w:t xml:space="preserve"> Authority </w:t>
      </w:r>
      <w:r>
        <w:rPr>
          <w:rFonts w:hint="eastAsia"/>
          <w:b/>
          <w:bCs/>
        </w:rPr>
        <w:t xml:space="preserve">Transfer）</w:t>
      </w:r>
      <w:r>
        <w:rPr>
          <w:rFonts w:hint="eastAsia"/>
        </w:rPr>
        <w:t xml:space="preserve">的概念，明确在何种条件下、经何种程序，系统可从人工控制权接管（L2→L3），或将控制权归还人工（L3→L2</w:t>
      </w:r>
      <w:r>
        <w:t xml:space="preserve"> </w:t>
      </w:r>
      <w:r>
        <w:rPr>
          <w:rFonts w:hint="eastAsia"/>
        </w:rPr>
        <w:t xml:space="preserve">降级）。调度权移交的程序规范是本书第三篇的核心内容之一，也是行政问责体系的基础。</w:t>
      </w:r>
    </w:p>
    <w:p>
      <w:pPr>
        <w:pStyle w:val="BodyText"/>
      </w:pPr>
      <w:r>
        <w:rPr>
          <w:rFonts w:hint="eastAsia"/>
          <w:b/>
          <w:bCs/>
        </w:rPr>
        <w:t xml:space="preserve">第二，运行设计域（ODD）的刻画维度不同。</w:t>
      </w:r>
      <w:r>
        <w:t xml:space="preserve"> </w:t>
      </w:r>
      <w:r>
        <w:rPr>
          <w:rFonts w:hint="eastAsia"/>
        </w:rPr>
        <w:t xml:space="preserve">汽车</w:t>
      </w:r>
      <w:r>
        <w:t xml:space="preserve"> ODD </w:t>
      </w:r>
      <w:r>
        <w:rPr>
          <w:rFonts w:hint="eastAsia"/>
        </w:rPr>
        <w:t xml:space="preserve">的主要维度是地理、天气、速度；水网</w:t>
      </w:r>
      <w:r>
        <w:t xml:space="preserve"> ODD </w:t>
      </w:r>
      <w:r>
        <w:rPr>
          <w:rFonts w:hint="eastAsia"/>
        </w:rPr>
        <w:t xml:space="preserve">必须包含：水动力学边界条件（水头差范围、流速范围、水力梯度稳定性区间）、设备健康状态（在线率要求、故障冗余配置）、气象水文条件（流量预报置信区间、入流扰动量级），以及通信完好性（关键链路时延上限、数据丢包率）。完整的</w:t>
      </w:r>
      <w:r>
        <w:t xml:space="preserve"> ODD </w:t>
      </w:r>
      <w:r>
        <w:rPr>
          <w:rFonts w:hint="eastAsia"/>
        </w:rPr>
        <w:t xml:space="preserve">定义是</w:t>
      </w:r>
      <w:r>
        <w:t xml:space="preserve"> WNAL L3 </w:t>
      </w:r>
      <w:r>
        <w:rPr>
          <w:rFonts w:hint="eastAsia"/>
        </w:rPr>
        <w:t xml:space="preserve">及以上系统合规上线的先决条件，也是避免“伪智能系统”第</w:t>
      </w:r>
      <w:r>
        <w:t xml:space="preserve"> 1.1.3 </w:t>
      </w:r>
      <w:r>
        <w:rPr>
          <w:rFonts w:hint="eastAsia"/>
        </w:rPr>
        <w:t xml:space="preserve">节所述问题的工程屏障。</w:t>
      </w:r>
    </w:p>
    <w:p>
      <w:pPr>
        <w:pStyle w:val="BodyText"/>
      </w:pPr>
      <w:r>
        <w:rPr>
          <w:rFonts w:hint="eastAsia"/>
          <w:b/>
          <w:bCs/>
        </w:rPr>
        <w:t xml:space="preserve">第三，最小风险状态（MRC）必须是物理安全的。</w:t>
      </w:r>
      <w:r>
        <w:t xml:space="preserve"> </w:t>
      </w:r>
      <w:r>
        <w:t xml:space="preserve">SAE J3016 </w:t>
      </w:r>
      <w:r>
        <w:rPr>
          <w:rFonts w:hint="eastAsia"/>
        </w:rPr>
        <w:t xml:space="preserve">的</w:t>
      </w:r>
      <w:r>
        <w:t xml:space="preserve"> MRC </w:t>
      </w:r>
      <w:r>
        <w:rPr>
          <w:rFonts w:hint="eastAsia"/>
        </w:rPr>
        <w:t xml:space="preserve">是“靠边停车”；水利系统的</w:t>
      </w:r>
      <w:r>
        <w:t xml:space="preserve"> MRC </w:t>
      </w:r>
      <w:r>
        <w:rPr>
          <w:rFonts w:hint="eastAsia"/>
        </w:rPr>
        <w:t xml:space="preserve">不能是“停止”，而是退回到预定义的</w:t>
      </w:r>
      <w:r>
        <w:rPr>
          <w:rFonts w:hint="eastAsia"/>
          <w:b/>
          <w:bCs/>
        </w:rPr>
        <w:t xml:space="preserve">安全运行姿态</w:t>
      </w:r>
      <w:r>
        <w:rPr>
          <w:rFonts w:hint="eastAsia"/>
        </w:rPr>
        <w:t xml:space="preserve">——闸门保持特定开度、泵站以保守流量运行、上下游水位维持在安全区间内。MRC</w:t>
      </w:r>
      <w:r>
        <w:t xml:space="preserve"> </w:t>
      </w:r>
      <w:r>
        <w:rPr>
          <w:rFonts w:hint="eastAsia"/>
        </w:rPr>
        <w:t xml:space="preserve">的物理可达性和响应时间必须经过软件在环（SIL）和硬件在环（HIL）验证，确保在任何故障模式下都能在规定时间内可靠到达（详见本书第四篇）。</w:t>
      </w:r>
    </w:p>
    <w:p>
      <w:pPr>
        <w:pStyle w:val="BodyText"/>
      </w:pPr>
      <w:r>
        <w:rPr>
          <w:b/>
          <w:bCs/>
        </w:rPr>
        <w:t xml:space="preserve">WNAL </w:t>
      </w:r>
      <w:r>
        <w:rPr>
          <w:rFonts w:hint="eastAsia"/>
          <w:b/>
          <w:bCs/>
        </w:rPr>
        <w:t xml:space="preserve">框架在本书中的定位</w:t>
      </w:r>
      <w:r>
        <w:rPr>
          <w:rFonts w:hint="eastAsia"/>
        </w:rPr>
        <w:t xml:space="preserve">：WNAL</w:t>
      </w:r>
      <w:r>
        <w:t xml:space="preserve"> </w:t>
      </w:r>
      <w:r>
        <w:rPr>
          <w:rFonts w:hint="eastAsia"/>
        </w:rPr>
        <w:t xml:space="preserve">是贯穿全书的分级坐标系。第二篇定义</w:t>
      </w:r>
      <w:r>
        <w:t xml:space="preserve"> L0–L5 </w:t>
      </w:r>
      <w:r>
        <w:rPr>
          <w:rFonts w:hint="eastAsia"/>
        </w:rPr>
        <w:t xml:space="preserve">的判定规则与测试矩阵；第三篇规定不同</w:t>
      </w:r>
      <w:r>
        <w:t xml:space="preserve"> WNAL </w:t>
      </w:r>
      <w:r>
        <w:rPr>
          <w:rFonts w:hint="eastAsia"/>
        </w:rPr>
        <w:t xml:space="preserve">等级对应的架构设计约束；第四篇建立</w:t>
      </w:r>
      <w:r>
        <w:t xml:space="preserve"> SIL/HIL </w:t>
      </w:r>
      <w:r>
        <w:rPr>
          <w:rFonts w:hint="eastAsia"/>
        </w:rPr>
        <w:t xml:space="preserve">在环测试与</w:t>
      </w:r>
      <w:r>
        <w:t xml:space="preserve"> WNAL </w:t>
      </w:r>
      <w:r>
        <w:rPr>
          <w:rFonts w:hint="eastAsia"/>
        </w:rPr>
        <w:t xml:space="preserve">等级认证的对应关系；第五篇将</w:t>
      </w:r>
      <w:r>
        <w:t xml:space="preserve"> WNAL </w:t>
      </w:r>
      <w:r>
        <w:rPr>
          <w:rFonts w:hint="eastAsia"/>
        </w:rPr>
        <w:t xml:space="preserve">等级嵌入采购合同的技术规格书与验收否决项清单。</w:t>
      </w:r>
    </w:p>
    <w:p>
      <w:pPr>
        <w:pStyle w:val="BlockText"/>
      </w:pPr>
      <w:r>
        <w:rPr>
          <w:rFonts w:hint="eastAsia"/>
          <w:b/>
          <w:bCs/>
        </w:rPr>
        <w:t xml:space="preserve">与</w:t>
      </w:r>
      <w:r>
        <w:rPr>
          <w:b/>
          <w:bCs/>
        </w:rPr>
        <w:t xml:space="preserve"> T4 </w:t>
      </w:r>
      <w:r>
        <w:rPr>
          <w:rFonts w:hint="eastAsia"/>
          <w:b/>
          <w:bCs/>
        </w:rPr>
        <w:t xml:space="preserve">卷《水网操作系统》的衔接</w:t>
      </w:r>
      <w:r>
        <w:rPr>
          <w:rFonts w:hint="eastAsia"/>
        </w:rPr>
        <w:t xml:space="preserve">：WNAL</w:t>
      </w:r>
      <w:r>
        <w:t xml:space="preserve"> L1–L2 </w:t>
      </w:r>
      <w:r>
        <w:rPr>
          <w:rFonts w:hint="eastAsia"/>
        </w:rPr>
        <w:t xml:space="preserve">的运行能力由</w:t>
      </w:r>
      <w:r>
        <w:t xml:space="preserve"> HydroOS </w:t>
      </w:r>
      <w:r>
        <w:rPr>
          <w:rFonts w:hint="eastAsia"/>
        </w:rPr>
        <w:t xml:space="preserve">的</w:t>
      </w:r>
      <w:r>
        <w:t xml:space="preserve"> Skill </w:t>
      </w:r>
      <w:r>
        <w:rPr>
          <w:rFonts w:hint="eastAsia"/>
        </w:rPr>
        <w:t xml:space="preserve">系统以事件驱动方式实现，属于“Skill</w:t>
      </w:r>
      <w:r>
        <w:t xml:space="preserve"> </w:t>
      </w:r>
      <w:r>
        <w:rPr>
          <w:rFonts w:hint="eastAsia"/>
        </w:rPr>
        <w:t xml:space="preserve">级四预”——异步松耦合，响应粒度为分钟至小时级；WNAL</w:t>
      </w:r>
      <w:r>
        <w:t xml:space="preserve"> L3 </w:t>
      </w:r>
      <w:r>
        <w:rPr>
          <w:rFonts w:hint="eastAsia"/>
        </w:rPr>
        <w:t xml:space="preserve">及以上需要“步长级四预”——预报模型与控制器在同一个</w:t>
      </w:r>
      <w:r>
        <w:t xml:space="preserve"> Δt </w:t>
      </w:r>
      <w:r>
        <w:rPr>
          <w:rFonts w:hint="eastAsia"/>
        </w:rPr>
        <w:t xml:space="preserve">内同步共推进，响应粒度为秒至毫秒级。这一架构边界（L2/L3</w:t>
      </w:r>
      <w:r>
        <w:t xml:space="preserve"> </w:t>
      </w:r>
      <w:r>
        <w:rPr>
          <w:rFonts w:hint="eastAsia"/>
        </w:rPr>
        <w:t xml:space="preserve">之间）是工程实践中最常被忽视的设计决策点，也是本书系列</w:t>
      </w:r>
      <w:r>
        <w:t xml:space="preserve"> T4 </w:t>
      </w:r>
      <w:r>
        <w:rPr>
          <w:rFonts w:hint="eastAsia"/>
        </w:rPr>
        <w:t xml:space="preserve">卷的核心论题。</w:t>
      </w:r>
    </w:p>
    <w:bookmarkEnd w:id="17"/>
    <w:bookmarkEnd w:id="18"/>
    <w:bookmarkStart w:id="21" w:name="agi-浪潮下的失控风险与不变集invariant-set约束"/>
    <w:p>
      <w:pPr>
        <w:pStyle w:val="Heading2"/>
      </w:pPr>
      <w:r>
        <w:t xml:space="preserve">1.3 AGI </w:t>
      </w:r>
      <w:r>
        <w:rPr>
          <w:rFonts w:hint="eastAsia"/>
        </w:rPr>
        <w:t xml:space="preserve">浪潮下的失控风险与不变集（Invariant</w:t>
      </w:r>
      <w:r>
        <w:t xml:space="preserve"> </w:t>
      </w:r>
      <w:r>
        <w:rPr>
          <w:rFonts w:hint="eastAsia"/>
        </w:rPr>
        <w:t xml:space="preserve">Set）约束</w:t>
      </w:r>
    </w:p>
    <w:p>
      <w:pPr>
        <w:pStyle w:val="FirstParagraph"/>
      </w:pPr>
      <w:r>
        <w:rPr>
          <w:rFonts w:hint="eastAsia"/>
        </w:rPr>
        <w:t xml:space="preserve">如果说过去的智能化只是在传统“最优控制理论”的边界内试探，那么今天，以大语言模型（LLM）和强化学习（RL）为代表的通用人工智能（AGI）的爆发，正在重塑一切行业规则。它带来的不仅仅是泛化推理能力的飞跃，更是前所未有的系统性风险。</w:t>
      </w:r>
    </w:p>
    <w:bookmarkStart w:id="19" w:name="大模型黑箱决策对关键基础设施的冲击"/>
    <w:p>
      <w:pPr>
        <w:pStyle w:val="Heading3"/>
      </w:pPr>
      <w:r>
        <w:t xml:space="preserve">1.3.1 </w:t>
      </w:r>
      <w:r>
        <w:rPr>
          <w:rFonts w:hint="eastAsia"/>
        </w:rPr>
        <w:t xml:space="preserve">大模型“黑箱决策”对关键基础设施的冲击</w:t>
      </w:r>
    </w:p>
    <w:p>
      <w:pPr>
        <w:pStyle w:val="FirstParagraph"/>
      </w:pPr>
      <w:r>
        <w:rPr>
          <w:rFonts w:hint="eastAsia"/>
        </w:rPr>
        <w:t xml:space="preserve">行业内已经开始尝试将大模型接入水网调度系统，让</w:t>
      </w:r>
      <w:r>
        <w:t xml:space="preserve"> AI </w:t>
      </w:r>
      <w:r>
        <w:rPr>
          <w:rFonts w:hint="eastAsia"/>
        </w:rPr>
        <w:t xml:space="preserve">直接读取传感器数据、分析水情并生成调度策略。</w:t>
      </w:r>
    </w:p>
    <w:p>
      <w:pPr>
        <w:pStyle w:val="BodyText"/>
      </w:pPr>
      <w:r>
        <w:rPr>
          <w:rFonts w:hint="eastAsia"/>
        </w:rPr>
        <w:t xml:space="preserve">然而，从控制数学的视角来看，以深度神经网络为基础的</w:t>
      </w:r>
      <w:r>
        <w:t xml:space="preserve"> AGI </w:t>
      </w:r>
      <w:r>
        <w:rPr>
          <w:rFonts w:hint="eastAsia"/>
        </w:rPr>
        <w:t xml:space="preserve">本质上是一个巨大的”高维黑箱算子”。它缺乏物理机制的可解释性，且通常不满足</w:t>
      </w:r>
      <w:r>
        <w:rPr>
          <w:rFonts w:hint="eastAsia"/>
          <w:b/>
          <w:bCs/>
        </w:rPr>
        <w:t xml:space="preserve">李普希茨连续性（Lipschitz</w:t>
      </w:r>
      <w:r>
        <w:rPr>
          <w:b/>
          <w:bCs/>
        </w:rPr>
        <w:t xml:space="preserve"> </w:t>
      </w:r>
      <w:r>
        <w:rPr>
          <w:rFonts w:hint="eastAsia"/>
          <w:b/>
          <w:bCs/>
        </w:rPr>
        <w:t xml:space="preserve">continuity）</w:t>
      </w:r>
      <w:r>
        <w:rPr>
          <w:rFonts w:hint="eastAsia"/>
        </w:rPr>
        <w:t xml:space="preserve">——这意味着输入端微小的扰动（如传感器噪声或对抗样本攻击），可能导致输出指令（闸门开度）发生剧烈突变。</w:t>
      </w:r>
    </w:p>
    <w:p>
      <w:pPr>
        <w:pStyle w:val="BodyText"/>
      </w:pPr>
      <w:r>
        <w:rPr>
          <w:rFonts w:hint="eastAsia"/>
        </w:rPr>
        <w:t xml:space="preserve">此外，大模型存在固有的”幻觉（Hallucination）”。在生成文本或画图时，幻觉只是一个令人尴尬的误差；但当大模型接入水网调度链路时，一次”合理看起来但在物理上违背动力学约束”的调度指令，可能在数分钟内引发数十公里渠道范围内的水位异常波动。这并不意味着</w:t>
      </w:r>
      <w:r>
        <w:t xml:space="preserve"> AI </w:t>
      </w:r>
      <w:r>
        <w:rPr>
          <w:rFonts w:hint="eastAsia"/>
        </w:rPr>
        <w:t xml:space="preserve">必然造成灾难——已有工程实践表明，在具备充分安全包络和人类监督的条件下，AI</w:t>
      </w:r>
      <w:r>
        <w:t xml:space="preserve"> </w:t>
      </w:r>
      <w:r>
        <w:rPr>
          <w:rFonts w:hint="eastAsia"/>
        </w:rPr>
        <w:t xml:space="preserve">辅助调度可以显著提升效率——但这确实意味着，</w:t>
      </w:r>
      <w:r>
        <w:rPr>
          <w:rFonts w:hint="eastAsia"/>
          <w:b/>
          <w:bCs/>
        </w:rPr>
        <w:t xml:space="preserve">在没有经过严格的不变集约束验证之前，不应将闸门最终控制权直接委托给任何形式的黑箱模型</w:t>
      </w:r>
      <w:r>
        <w:rPr>
          <w:rFonts w:hint="eastAsia"/>
        </w:rPr>
        <w:t xml:space="preserve">。把关乎公共安全的国家关键基础设施托付给一个缺乏收敛性证明的系统，是在承担不必要的系统性风险。</w:t>
      </w:r>
    </w:p>
    <w:bookmarkEnd w:id="19"/>
    <w:bookmarkStart w:id="20" w:name="在-ai-接入水网前必须确立绝对安全的不变集"/>
    <w:p>
      <w:pPr>
        <w:pStyle w:val="Heading3"/>
      </w:pPr>
      <w:r>
        <w:t xml:space="preserve">1.3.2 </w:t>
      </w:r>
      <w:r>
        <w:rPr>
          <w:rFonts w:hint="eastAsia"/>
        </w:rPr>
        <w:t xml:space="preserve">在</w:t>
      </w:r>
      <w:r>
        <w:t xml:space="preserve"> AI </w:t>
      </w:r>
      <w:r>
        <w:rPr>
          <w:rFonts w:hint="eastAsia"/>
        </w:rPr>
        <w:t xml:space="preserve">接入水网前，必须确立绝对安全的不变集</w:t>
      </w:r>
    </w:p>
    <w:p>
      <w:pPr>
        <w:pStyle w:val="FirstParagraph"/>
      </w:pPr>
      <w:r>
        <w:rPr>
          <w:rFonts w:hint="eastAsia"/>
        </w:rPr>
        <w:t xml:space="preserve">我们不能因为风险就拒绝拥抱</w:t>
      </w:r>
      <w:r>
        <w:t xml:space="preserve"> AGI </w:t>
      </w:r>
      <w:r>
        <w:rPr>
          <w:rFonts w:hint="eastAsia"/>
        </w:rPr>
        <w:t xml:space="preserve">的强大算力，但我们必须为</w:t>
      </w:r>
      <w:r>
        <w:t xml:space="preserve"> AGI </w:t>
      </w:r>
      <w:r>
        <w:rPr>
          <w:rFonts w:hint="eastAsia"/>
        </w:rPr>
        <w:t xml:space="preserve">打造一个具有数学刚性的“笼子”。这就是标准体系必须在今天建立的最紧迫原因。</w:t>
      </w:r>
    </w:p>
    <w:p>
      <w:pPr>
        <w:pStyle w:val="BodyText"/>
      </w:pPr>
      <w:r>
        <w:rPr>
          <w:rFonts w:hint="eastAsia"/>
        </w:rPr>
        <w:t xml:space="preserve">在高级别的智能调控系统中，必须通过标准引入</w:t>
      </w:r>
      <w:r>
        <w:rPr>
          <w:rFonts w:hint="eastAsia"/>
          <w:b/>
          <w:bCs/>
        </w:rPr>
        <w:t xml:space="preserve">运行设计域（ODD）</w:t>
      </w:r>
      <w:r>
        <w:rPr>
          <w:rFonts w:hint="eastAsia"/>
        </w:rPr>
        <w:t xml:space="preserve">和</w:t>
      </w:r>
      <w:r>
        <w:rPr>
          <w:rFonts w:hint="eastAsia"/>
          <w:b/>
          <w:bCs/>
        </w:rPr>
        <w:t xml:space="preserve">最小风险状态（MRC）</w:t>
      </w:r>
      <w:r>
        <w:rPr>
          <w:rFonts w:hint="eastAsia"/>
        </w:rPr>
        <w:t xml:space="preserve">，从而在控制状态空间中划定一个绝对安全的</w:t>
      </w:r>
      <w:r>
        <w:rPr>
          <w:rFonts w:hint="eastAsia"/>
          <w:b/>
          <w:bCs/>
        </w:rPr>
        <w:t xml:space="preserve">不变集（Invariant</w:t>
      </w:r>
      <w:r>
        <w:rPr>
          <w:b/>
          <w:bCs/>
        </w:rPr>
        <w:t xml:space="preserve"> </w:t>
      </w:r>
      <w:r>
        <w:rPr>
          <w:rFonts w:hint="eastAsia"/>
          <w:b/>
          <w:bCs/>
        </w:rPr>
        <w:t xml:space="preserve">Set）</w:t>
      </w:r>
      <w:r>
        <w:t xml:space="preserve">。</w:t>
      </w:r>
      <w:r>
        <w:t xml:space="preserve"> </w:t>
      </w:r>
      <w:r>
        <w:t xml:space="preserve">-</w:t>
      </w:r>
      <w:r>
        <w:rPr>
          <w:rFonts w:hint="eastAsia"/>
          <w:b/>
          <w:bCs/>
        </w:rPr>
        <w:t xml:space="preserve">ODD（系统的合法拓扑子空间）</w:t>
      </w:r>
      <w:r>
        <w:rPr>
          <w:rFonts w:hint="eastAsia"/>
        </w:rPr>
        <w:t xml:space="preserve">：规定了</w:t>
      </w:r>
      <w:r>
        <w:t xml:space="preserve"> AI </w:t>
      </w:r>
      <w:r>
        <w:rPr>
          <w:rFonts w:hint="eastAsia"/>
        </w:rPr>
        <w:t xml:space="preserve">算法只有在限定的边界内（如：特定的流速范围、传感器完好、无极端暴雨）才能拥有控制权。一旦系统状态轨迹游走到</w:t>
      </w:r>
      <w:r>
        <w:t xml:space="preserve"> ODD </w:t>
      </w:r>
      <w:r>
        <w:rPr>
          <w:rFonts w:hint="eastAsia"/>
        </w:rPr>
        <w:t xml:space="preserve">边界，AI</w:t>
      </w:r>
      <w:r>
        <w:t xml:space="preserve"> </w:t>
      </w:r>
      <w:r>
        <w:rPr>
          <w:rFonts w:hint="eastAsia"/>
        </w:rPr>
        <w:t xml:space="preserve">的控制权必须立即被剥夺。</w:t>
      </w:r>
      <w:r>
        <w:t xml:space="preserve"> </w:t>
      </w:r>
      <w:r>
        <w:t xml:space="preserve">-</w:t>
      </w:r>
      <w:r>
        <w:rPr>
          <w:rFonts w:hint="eastAsia"/>
          <w:b/>
          <w:bCs/>
        </w:rPr>
        <w:t xml:space="preserve">MRC（底层硬性安全包络）</w:t>
      </w:r>
      <w:r>
        <w:rPr>
          <w:rFonts w:hint="eastAsia"/>
        </w:rPr>
        <w:t xml:space="preserve">：无论上层的</w:t>
      </w:r>
      <w:r>
        <w:t xml:space="preserve"> AI </w:t>
      </w:r>
      <w:r>
        <w:rPr>
          <w:rFonts w:hint="eastAsia"/>
        </w:rPr>
        <w:t xml:space="preserve">算法给出了多么激进的优化指令，底层必须有一个基于物理定律和硬件联锁的安全包络。当系统检测到风险时，能无条件切断</w:t>
      </w:r>
      <w:r>
        <w:t xml:space="preserve"> AI </w:t>
      </w:r>
      <w:r>
        <w:rPr>
          <w:rFonts w:hint="eastAsia"/>
        </w:rPr>
        <w:t xml:space="preserve">指令，沿着确定的降级轨迹退回到安全的保守状态。</w:t>
      </w:r>
    </w:p>
    <w:p>
      <w:pPr>
        <w:pStyle w:val="BodyText"/>
      </w:pPr>
      <w:r>
        <w:rPr>
          <w:rFonts w:hint="eastAsia"/>
        </w:rPr>
        <w:t xml:space="preserve">建立这套标准体系，</w:t>
      </w:r>
      <w:r>
        <w:rPr>
          <w:rFonts w:hint="eastAsia"/>
          <w:b/>
          <w:bCs/>
        </w:rPr>
        <w:t xml:space="preserve">不是为了限制</w:t>
      </w:r>
      <w:r>
        <w:rPr>
          <w:b/>
          <w:bCs/>
        </w:rPr>
        <w:t xml:space="preserve"> AI </w:t>
      </w:r>
      <w:r>
        <w:rPr>
          <w:rFonts w:hint="eastAsia"/>
          <w:b/>
          <w:bCs/>
        </w:rPr>
        <w:t xml:space="preserve">的发展，恰恰是为了给</w:t>
      </w:r>
      <w:r>
        <w:rPr>
          <w:b/>
          <w:bCs/>
        </w:rPr>
        <w:t xml:space="preserve"> AGI </w:t>
      </w:r>
      <w:r>
        <w:rPr>
          <w:rFonts w:hint="eastAsia"/>
          <w:b/>
          <w:bCs/>
        </w:rPr>
        <w:t xml:space="preserve">提供一个合法、合规、不会导致系统崩溃的落地容器。</w:t>
      </w:r>
      <w:r>
        <w:rPr>
          <w:rFonts w:hint="eastAsia"/>
        </w:rPr>
        <w:t xml:space="preserve">只有在确定的安全边界内，AI</w:t>
      </w:r>
      <w:r>
        <w:t xml:space="preserve"> </w:t>
      </w:r>
      <w:r>
        <w:rPr>
          <w:rFonts w:hint="eastAsia"/>
        </w:rPr>
        <w:t xml:space="preserve">才能在水网中真正释放其巨大的优化生产力。</w:t>
      </w:r>
    </w:p>
    <w:bookmarkEnd w:id="20"/>
    <w:bookmarkEnd w:id="21"/>
    <w:bookmarkStart w:id="22" w:name="从项目建设向生态治理的必然转型"/>
    <w:p>
      <w:pPr>
        <w:pStyle w:val="Heading2"/>
      </w:pPr>
      <w:r>
        <w:t xml:space="preserve">1.4 </w:t>
      </w:r>
      <w:r>
        <w:rPr>
          <w:rFonts w:hint="eastAsia"/>
        </w:rPr>
        <w:t xml:space="preserve">从“项目建设”向“生态治理”的必然转型</w:t>
      </w:r>
    </w:p>
    <w:p>
      <w:pPr>
        <w:pStyle w:val="FirstParagraph"/>
      </w:pPr>
      <w:r>
        <w:rPr>
          <w:rFonts w:hint="eastAsia"/>
        </w:rPr>
        <w:t xml:space="preserve">建立水网智能化标准体系，其终极目的不是为了多几本束之高阁的行业规范，而是为了彻底重塑水网工程的建设与运行生态，建立一个能够抵抗时间熵增的反馈闭环。</w:t>
      </w:r>
    </w:p>
    <w:p>
      <w:pPr>
        <w:pStyle w:val="BodyText"/>
      </w:pPr>
      <w:r>
        <w:rPr>
          <w:rFonts w:hint="eastAsia"/>
        </w:rPr>
        <w:t xml:space="preserve">过去，水利信息化是一个个孤立的“项目”——从立项、招标、开发、验收，交钥匙走人（典型的开环过程）。系统老化了、算法退化了，就再立一个新的项目推倒重来。</w:t>
      </w:r>
      <w:r>
        <w:t xml:space="preserve"> </w:t>
      </w:r>
      <w:r>
        <w:rPr>
          <w:rFonts w:hint="eastAsia"/>
        </w:rPr>
        <w:t xml:space="preserve">未来，水网智能化必须是一套具有反馈校正能力的“生态治理”体系——</w:t>
      </w:r>
      <w:r>
        <w:t xml:space="preserve"> </w:t>
      </w:r>
      <w:r>
        <w:t xml:space="preserve">-</w:t>
      </w:r>
      <w:r>
        <w:rPr>
          <w:rFonts w:hint="eastAsia"/>
          <w:b/>
          <w:bCs/>
        </w:rPr>
        <w:t xml:space="preserve">对建设方（业主）</w:t>
      </w:r>
      <w:r>
        <w:rPr>
          <w:rFonts w:hint="eastAsia"/>
        </w:rPr>
        <w:t xml:space="preserve">，标准提供了清晰的等级状态评估和招标“否决项”机制；</w:t>
      </w:r>
      <w:r>
        <w:t xml:space="preserve"> </w:t>
      </w:r>
      <w:r>
        <w:t xml:space="preserve">-</w:t>
      </w:r>
      <w:r>
        <w:rPr>
          <w:rFonts w:hint="eastAsia"/>
          <w:b/>
          <w:bCs/>
        </w:rPr>
        <w:t xml:space="preserve">对设计院</w:t>
      </w:r>
      <w:r>
        <w:rPr>
          <w:rFonts w:hint="eastAsia"/>
        </w:rPr>
        <w:t xml:space="preserve">，标准明确了模型驱动工程（MBD）的数学约束与责任边界；</w:t>
      </w:r>
      <w:r>
        <w:t xml:space="preserve"> </w:t>
      </w:r>
      <w:r>
        <w:t xml:space="preserve">-</w:t>
      </w:r>
      <w:r>
        <w:rPr>
          <w:rFonts w:hint="eastAsia"/>
          <w:b/>
          <w:bCs/>
        </w:rPr>
        <w:t xml:space="preserve">对厂商</w:t>
      </w:r>
      <w:r>
        <w:rPr>
          <w:rFonts w:hint="eastAsia"/>
        </w:rPr>
        <w:t xml:space="preserve">，标准打通了语义映射与互操作接口，让优秀的算法和硬件可以实现无缝耦合；</w:t>
      </w:r>
      <w:r>
        <w:t xml:space="preserve"> </w:t>
      </w:r>
      <w:r>
        <w:t xml:space="preserve">-</w:t>
      </w:r>
      <w:r>
        <w:rPr>
          <w:rFonts w:hint="eastAsia"/>
          <w:b/>
          <w:bCs/>
        </w:rPr>
        <w:t xml:space="preserve">对运维者</w:t>
      </w:r>
      <w:r>
        <w:rPr>
          <w:rFonts w:hint="eastAsia"/>
        </w:rPr>
        <w:t xml:space="preserve">，标准建立了降级接管规程和状态追踪机制，让人机共融（Human-in-the-loop）成为维持系统稳定的最后一道防线。</w:t>
      </w:r>
    </w:p>
    <w:p>
      <w:pPr>
        <w:pStyle w:val="BodyText"/>
      </w:pPr>
      <w:r>
        <w:rPr>
          <w:rFonts w:hint="eastAsia"/>
        </w:rPr>
        <w:t xml:space="preserve">历史的势能已经积聚。面对大水网时代的“状态空间灾难”与</w:t>
      </w:r>
      <w:r>
        <w:t xml:space="preserve"> AGI </w:t>
      </w:r>
      <w:r>
        <w:rPr>
          <w:rFonts w:hint="eastAsia"/>
        </w:rPr>
        <w:t xml:space="preserve">的浪潮，水利行业绝不能错过这一轮以“标准与合规”为核心的系统工程跨越。这也是《水网智能化标准体系与工程治理》这一专著试图给出的时代答卷。</w:t>
      </w:r>
      <w:r>
        <w:t xml:space="preserve"> </w:t>
      </w:r>
      <w:r>
        <w:t xml:space="preserve">## 1.5 </w:t>
      </w:r>
      <w:r>
        <w:rPr>
          <w:rFonts w:hint="eastAsia"/>
        </w:rPr>
        <w:t xml:space="preserve">本书结构与工程导航</w:t>
      </w:r>
    </w:p>
    <w:p>
      <w:pPr>
        <w:pStyle w:val="BodyText"/>
      </w:pPr>
      <w:r>
        <w:rPr>
          <w:rFonts w:hint="eastAsia"/>
        </w:rPr>
        <w:t xml:space="preserve">本书作为《水系统控制论》</w:t>
      </w:r>
      <w:r>
        <w:t xml:space="preserve"> </w:t>
      </w:r>
      <w:r>
        <w:rPr>
          <w:rFonts w:hint="eastAsia"/>
        </w:rPr>
        <w:t xml:space="preserve">[1]工程与标准体系姊妹篇，旨在为行业提供一套可操作、可审查、可追溯的智能水网建设指南。全书分为五篇：</w:t>
      </w:r>
    </w:p>
    <w:p>
      <w:pPr>
        <w:pStyle w:val="Compact"/>
        <w:numPr>
          <w:ilvl w:val="0"/>
          <w:numId w:val="1001"/>
        </w:numPr>
      </w:pPr>
      <w:r>
        <w:rPr>
          <w:rFonts w:hint="eastAsia"/>
          <w:b/>
          <w:bCs/>
        </w:rPr>
        <w:t xml:space="preserve">第一篇</w:t>
      </w:r>
      <w:r>
        <w:rPr>
          <w:rFonts w:hint="eastAsia"/>
        </w:rPr>
        <w:t xml:space="preserve">（第</w:t>
      </w:r>
      <w:r>
        <w:t xml:space="preserve"> 1-2 </w:t>
      </w:r>
      <w:r>
        <w:rPr>
          <w:rFonts w:hint="eastAsia"/>
        </w:rPr>
        <w:t xml:space="preserve">章）：阐明标准体系的时代背景与路线图，解答”为什么需要标准体系”以及”这套标准体系是什么”；</w:t>
      </w:r>
    </w:p>
    <w:p>
      <w:pPr>
        <w:pStyle w:val="Compact"/>
        <w:numPr>
          <w:ilvl w:val="0"/>
          <w:numId w:val="1001"/>
        </w:numPr>
      </w:pPr>
      <w:r>
        <w:rPr>
          <w:rFonts w:hint="eastAsia"/>
          <w:b/>
          <w:bCs/>
        </w:rPr>
        <w:t xml:space="preserve">第二篇</w:t>
      </w:r>
      <w:r>
        <w:rPr>
          <w:rFonts w:hint="eastAsia"/>
        </w:rPr>
        <w:t xml:space="preserve">（第</w:t>
      </w:r>
      <w:r>
        <w:t xml:space="preserve"> 3-5 </w:t>
      </w:r>
      <w:r>
        <w:rPr>
          <w:rFonts w:hint="eastAsia"/>
        </w:rPr>
        <w:t xml:space="preserve">章）：定义自主等级与责任边界，解答”如何判断一个系统真正处于哪个智能等级”；</w:t>
      </w:r>
    </w:p>
    <w:p>
      <w:pPr>
        <w:pStyle w:val="Compact"/>
        <w:numPr>
          <w:ilvl w:val="0"/>
          <w:numId w:val="1001"/>
        </w:numPr>
      </w:pPr>
      <w:r>
        <w:rPr>
          <w:rFonts w:hint="eastAsia"/>
          <w:b/>
          <w:bCs/>
        </w:rPr>
        <w:t xml:space="preserve">第三篇</w:t>
      </w:r>
      <w:r>
        <w:rPr>
          <w:rFonts w:hint="eastAsia"/>
        </w:rPr>
        <w:t xml:space="preserve">（第</w:t>
      </w:r>
      <w:r>
        <w:t xml:space="preserve"> 6-9 </w:t>
      </w:r>
      <w:r>
        <w:rPr>
          <w:rFonts w:hint="eastAsia"/>
        </w:rPr>
        <w:t xml:space="preserve">章）：规定架构底座与设计阶段审查标准，解答”从一开始就该怎么设计才合规”；</w:t>
      </w:r>
    </w:p>
    <w:p>
      <w:pPr>
        <w:pStyle w:val="Compact"/>
        <w:numPr>
          <w:ilvl w:val="0"/>
          <w:numId w:val="1001"/>
        </w:numPr>
      </w:pPr>
      <w:r>
        <w:rPr>
          <w:rFonts w:hint="eastAsia"/>
          <w:b/>
          <w:bCs/>
        </w:rPr>
        <w:t xml:space="preserve">第四篇</w:t>
      </w:r>
      <w:r>
        <w:rPr>
          <w:rFonts w:hint="eastAsia"/>
        </w:rPr>
        <w:t xml:space="preserve">（第</w:t>
      </w:r>
      <w:r>
        <w:t xml:space="preserve"> 10-12 </w:t>
      </w:r>
      <w:r>
        <w:rPr>
          <w:rFonts w:hint="eastAsia"/>
        </w:rPr>
        <w:t xml:space="preserve">章）：确立测试验证与持续准入的闭环流程，解答”如何用实验证明系统安全”；</w:t>
      </w:r>
    </w:p>
    <w:p>
      <w:pPr>
        <w:pStyle w:val="Compact"/>
        <w:numPr>
          <w:ilvl w:val="0"/>
          <w:numId w:val="1001"/>
        </w:numPr>
      </w:pPr>
      <w:r>
        <w:rPr>
          <w:rFonts w:hint="eastAsia"/>
          <w:b/>
          <w:bCs/>
        </w:rPr>
        <w:t xml:space="preserve">第五篇</w:t>
      </w:r>
      <w:r>
        <w:rPr>
          <w:rFonts w:hint="eastAsia"/>
        </w:rPr>
        <w:t xml:space="preserve">（第</w:t>
      </w:r>
      <w:r>
        <w:t xml:space="preserve"> 13 </w:t>
      </w:r>
      <w:r>
        <w:rPr>
          <w:rFonts w:hint="eastAsia"/>
        </w:rPr>
        <w:t xml:space="preserve">章）：落脚于招采治理与组织重塑，解答”如何将标准转化为采购权力与生态卡位”。</w:t>
      </w:r>
    </w:p>
    <w:p>
      <w:pPr>
        <w:pStyle w:val="FirstParagraph"/>
      </w:pPr>
      <w:r>
        <w:rPr>
          <w:rFonts w:hint="eastAsia"/>
          <w:b/>
          <w:bCs/>
        </w:rPr>
        <w:t xml:space="preserve">不同读者的推荐阅读路径：</w:t>
      </w:r>
    </w:p>
    <w:p>
      <w:pPr>
        <w:pStyle w:val="BodyText"/>
      </w:pPr>
      <w:r>
        <w:rPr>
          <w:rFonts w:hint="eastAsia"/>
          <w:b/>
          <w:bCs/>
        </w:rPr>
        <w:t xml:space="preserve">表1-2</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rPr>
                <w:rFonts w:hint="eastAsia"/>
              </w:rPr>
              <w:t xml:space="preserve">角色</w:t>
            </w:r>
          </w:p>
        </w:tc>
        <w:tc>
          <w:tcPr/>
          <w:p>
            <w:pPr>
              <w:pStyle w:val="Compact"/>
            </w:pPr>
            <w:r>
              <w:rPr>
                <w:rFonts w:hint="eastAsia"/>
              </w:rPr>
              <w:t xml:space="preserve">核心关切</w:t>
            </w:r>
          </w:p>
        </w:tc>
        <w:tc>
          <w:tcPr/>
          <w:p>
            <w:pPr>
              <w:pStyle w:val="Compact"/>
            </w:pPr>
            <w:r>
              <w:rPr>
                <w:rFonts w:hint="eastAsia"/>
              </w:rPr>
              <w:t xml:space="preserve">推荐优先阅读</w:t>
            </w:r>
          </w:p>
        </w:tc>
      </w:tr>
      <w:tr>
        <w:tc>
          <w:tcPr/>
          <w:p>
            <w:pPr>
              <w:pStyle w:val="Compact"/>
            </w:pPr>
            <w:r>
              <w:rPr>
                <w:rFonts w:hint="eastAsia"/>
                <w:b/>
                <w:bCs/>
              </w:rPr>
              <w:t xml:space="preserve">厅局管理者</w:t>
            </w:r>
          </w:p>
        </w:tc>
        <w:tc>
          <w:tcPr/>
          <w:p>
            <w:pPr>
              <w:pStyle w:val="Compact"/>
            </w:pPr>
            <w:r>
              <w:rPr>
                <w:rFonts w:hint="eastAsia"/>
              </w:rPr>
              <w:t xml:space="preserve">政策依据、监管权限、风险兜底</w:t>
            </w:r>
          </w:p>
        </w:tc>
        <w:tc>
          <w:tcPr/>
          <w:p>
            <w:pPr>
              <w:pStyle w:val="Compact"/>
            </w:pPr>
            <w:r>
              <w:rPr>
                <w:rFonts w:hint="eastAsia"/>
              </w:rPr>
              <w:t xml:space="preserve">第</w:t>
            </w:r>
            <w:r>
              <w:t xml:space="preserve"> 1、2、13 </w:t>
            </w:r>
            <w:r>
              <w:rPr>
                <w:rFonts w:hint="eastAsia"/>
              </w:rPr>
              <w:t xml:space="preserve">章（战略决策层）</w:t>
            </w:r>
          </w:p>
        </w:tc>
      </w:tr>
      <w:tr>
        <w:tc>
          <w:tcPr/>
          <w:p>
            <w:pPr>
              <w:pStyle w:val="Compact"/>
            </w:pPr>
            <w:r>
              <w:rPr>
                <w:rFonts w:hint="eastAsia"/>
                <w:b/>
                <w:bCs/>
              </w:rPr>
              <w:t xml:space="preserve">设计院总工</w:t>
            </w:r>
          </w:p>
        </w:tc>
        <w:tc>
          <w:tcPr/>
          <w:p>
            <w:pPr>
              <w:pStyle w:val="Compact"/>
            </w:pPr>
            <w:r>
              <w:rPr>
                <w:rFonts w:hint="eastAsia"/>
              </w:rPr>
              <w:t xml:space="preserve">设计规范、责任边界、模型合规</w:t>
            </w:r>
          </w:p>
        </w:tc>
        <w:tc>
          <w:tcPr/>
          <w:p>
            <w:pPr>
              <w:pStyle w:val="Compact"/>
            </w:pPr>
            <w:r>
              <w:rPr>
                <w:rFonts w:hint="eastAsia"/>
              </w:rPr>
              <w:t xml:space="preserve">第</w:t>
            </w:r>
            <w:r>
              <w:t xml:space="preserve"> 3-6、8 </w:t>
            </w:r>
            <w:r>
              <w:rPr>
                <w:rFonts w:hint="eastAsia"/>
              </w:rPr>
              <w:t xml:space="preserve">章（技术规范层）</w:t>
            </w:r>
          </w:p>
        </w:tc>
      </w:tr>
      <w:tr>
        <w:tc>
          <w:tcPr/>
          <w:p>
            <w:pPr>
              <w:pStyle w:val="Compact"/>
            </w:pPr>
            <w:r>
              <w:rPr>
                <w:rFonts w:hint="eastAsia"/>
                <w:b/>
                <w:bCs/>
              </w:rPr>
              <w:t xml:space="preserve">集成商技术总监</w:t>
            </w:r>
          </w:p>
        </w:tc>
        <w:tc>
          <w:tcPr/>
          <w:p>
            <w:pPr>
              <w:pStyle w:val="Compact"/>
            </w:pPr>
            <w:r>
              <w:rPr>
                <w:rFonts w:hint="eastAsia"/>
              </w:rPr>
              <w:t xml:space="preserve">验收标准、接口要求、测试方法</w:t>
            </w:r>
          </w:p>
        </w:tc>
        <w:tc>
          <w:tcPr/>
          <w:p>
            <w:pPr>
              <w:pStyle w:val="Compact"/>
            </w:pPr>
            <w:r>
              <w:rPr>
                <w:rFonts w:hint="eastAsia"/>
              </w:rPr>
              <w:t xml:space="preserve">第</w:t>
            </w:r>
            <w:r>
              <w:t xml:space="preserve"> 4-5、10-12 </w:t>
            </w:r>
            <w:r>
              <w:rPr>
                <w:rFonts w:hint="eastAsia"/>
              </w:rPr>
              <w:t xml:space="preserve">章（工程实施层）</w:t>
            </w:r>
          </w:p>
        </w:tc>
      </w:tr>
      <w:tr>
        <w:tc>
          <w:tcPr/>
          <w:p>
            <w:pPr>
              <w:pStyle w:val="Compact"/>
            </w:pPr>
            <w:r>
              <w:rPr>
                <w:rFonts w:hint="eastAsia"/>
                <w:b/>
                <w:bCs/>
              </w:rPr>
              <w:t xml:space="preserve">招投标评审专家</w:t>
            </w:r>
          </w:p>
        </w:tc>
        <w:tc>
          <w:tcPr/>
          <w:p>
            <w:pPr>
              <w:pStyle w:val="Compact"/>
            </w:pPr>
            <w:r>
              <w:rPr>
                <w:rFonts w:hint="eastAsia"/>
              </w:rPr>
              <w:t xml:space="preserve">否决项清单、评分维度、证据要求</w:t>
            </w:r>
          </w:p>
        </w:tc>
        <w:tc>
          <w:tcPr/>
          <w:p>
            <w:pPr>
              <w:pStyle w:val="Compact"/>
            </w:pPr>
            <w:r>
              <w:rPr>
                <w:rFonts w:hint="eastAsia"/>
              </w:rPr>
              <w:t xml:space="preserve">第</w:t>
            </w:r>
            <w:r>
              <w:t xml:space="preserve"> 2、13 </w:t>
            </w:r>
            <w:r>
              <w:rPr>
                <w:rFonts w:hint="eastAsia"/>
              </w:rPr>
              <w:t xml:space="preserve">章</w:t>
            </w:r>
            <w:r>
              <w:t xml:space="preserve"> + </w:t>
            </w:r>
            <w:r>
              <w:rPr>
                <w:rFonts w:hint="eastAsia"/>
              </w:rPr>
              <w:t xml:space="preserve">附录标准模板</w:t>
            </w:r>
          </w:p>
        </w:tc>
      </w:tr>
      <w:tr>
        <w:tc>
          <w:tcPr/>
          <w:p>
            <w:pPr>
              <w:pStyle w:val="Compact"/>
            </w:pPr>
            <w:r>
              <w:rPr>
                <w:rFonts w:hint="eastAsia"/>
                <w:b/>
                <w:bCs/>
              </w:rPr>
              <w:t xml:space="preserve">科研人员</w:t>
            </w:r>
          </w:p>
        </w:tc>
        <w:tc>
          <w:tcPr/>
          <w:p>
            <w:pPr>
              <w:pStyle w:val="Compact"/>
            </w:pPr>
            <w:r>
              <w:rPr>
                <w:rFonts w:hint="eastAsia"/>
              </w:rPr>
              <w:t xml:space="preserve">理论基础、算法合规、模型封装</w:t>
            </w:r>
          </w:p>
        </w:tc>
        <w:tc>
          <w:tcPr/>
          <w:p>
            <w:pPr>
              <w:pStyle w:val="Compact"/>
            </w:pPr>
            <w:r>
              <w:rPr>
                <w:rFonts w:hint="eastAsia"/>
              </w:rPr>
              <w:t xml:space="preserve">第</w:t>
            </w:r>
            <w:r>
              <w:t xml:space="preserve"> 1-3、7-8 </w:t>
            </w:r>
            <w:r>
              <w:rPr>
                <w:rFonts w:hint="eastAsia"/>
              </w:rPr>
              <w:t xml:space="preserve">章（理论链接层）</w:t>
            </w:r>
          </w:p>
        </w:tc>
      </w:tr>
    </w:tbl>
    <w:p>
      <w:pPr>
        <w:pStyle w:val="BodyText"/>
      </w:pPr>
      <w:r>
        <w:rPr>
          <w:rFonts w:hint="eastAsia"/>
        </w:rPr>
        <w:t xml:space="preserve">历史的势能已经积聚。面对大水网时代的”状态空间灾难”与</w:t>
      </w:r>
      <w:r>
        <w:t xml:space="preserve"> AGI </w:t>
      </w:r>
      <w:r>
        <w:rPr>
          <w:rFonts w:hint="eastAsia"/>
        </w:rPr>
        <w:t xml:space="preserve">的浪潮，水利行业绝不能错过这一轮以”标准与合规”为核心的系统工程跨越。这也是《水网智能化标准体系与工程治理》这一专著试图给出的时代答卷。</w:t>
      </w:r>
    </w:p>
    <w:bookmarkEnd w:id="22"/>
    <w:bookmarkStart w:id="23"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r>
        <w:pict>
          <v:rect style="width:0;height:1.5pt" o:hralign="center" o:hrstd="t" o:hr="t"/>
        </w:pict>
      </w:r>
    </w:p>
    <w:bookmarkEnd w:id="23"/>
    <w:bookmarkStart w:id="24" w:name="思考与练习"/>
    <w:p>
      <w:pPr>
        <w:pStyle w:val="Heading2"/>
      </w:pPr>
      <w:r>
        <w:rPr>
          <w:rFonts w:hint="eastAsia"/>
        </w:rPr>
        <w:t xml:space="preserve">思考与练习</w:t>
      </w:r>
    </w:p>
    <w:p>
      <w:pPr>
        <w:numPr>
          <w:ilvl w:val="0"/>
          <w:numId w:val="1002"/>
        </w:numPr>
      </w:pPr>
      <w:r>
        <w:rPr>
          <w:rFonts w:hint="eastAsia"/>
        </w:rPr>
        <w:t xml:space="preserve">[概念题]</w:t>
      </w:r>
      <w:r>
        <w:t xml:space="preserve"> </w:t>
      </w:r>
      <w:r>
        <w:rPr>
          <w:rFonts w:hint="eastAsia"/>
        </w:rPr>
        <w:t xml:space="preserve">本章将水网智能化建设中的”状态空间灾难”归纳为三种典型表现。请用控制论语言（状态变量、状态空间维度、收敛性）分别描述”四水协同壁垒”、</w:t>
      </w:r>
      <w:r>
        <w:rPr>
          <w:rFonts w:hint="eastAsia"/>
        </w:rPr>
        <w:t xml:space="preserve">“高维非线性状态空间爆炸”</w:t>
      </w:r>
      <w:r>
        <w:rPr>
          <w:rFonts w:hint="eastAsia"/>
        </w:rPr>
        <w:t xml:space="preserve">和”伪智能系统失稳”的根本成因，并说明三者之间的内在逻辑递进关系。</w:t>
      </w:r>
    </w:p>
    <w:p>
      <w:pPr>
        <w:numPr>
          <w:ilvl w:val="0"/>
          <w:numId w:val="1002"/>
        </w:numPr>
      </w:pPr>
      <w:r>
        <w:rPr>
          <w:rFonts w:hint="eastAsia"/>
        </w:rPr>
        <w:t xml:space="preserve">[概念题]</w:t>
      </w:r>
      <w:r>
        <w:t xml:space="preserve"> SAE J3016 </w:t>
      </w:r>
      <w:r>
        <w:rPr>
          <w:rFonts w:hint="eastAsia"/>
        </w:rPr>
        <w:t xml:space="preserve">对自动驾驶的分级定义之所以能统一全球产业认知，其核心方法论在于以”责任边界”而非”算法复杂度”作为分级依据。请对比分析：（1）SAE</w:t>
      </w:r>
      <w:r>
        <w:t xml:space="preserve"> J3016 </w:t>
      </w:r>
      <w:r>
        <w:rPr>
          <w:rFonts w:hint="eastAsia"/>
        </w:rPr>
        <w:t xml:space="preserve">中”动态驾驶任务（DDT）</w:t>
      </w:r>
      <w:r>
        <w:rPr>
          <w:rFonts w:hint="eastAsia"/>
        </w:rPr>
        <w:t xml:space="preserve">“与水网</w:t>
      </w:r>
      <w:r>
        <w:t xml:space="preserve"> WNAL </w:t>
      </w:r>
      <w:r>
        <w:rPr>
          <w:rFonts w:hint="eastAsia"/>
        </w:rPr>
        <w:t xml:space="preserve">框架中”</w:t>
      </w:r>
      <w:r>
        <w:rPr>
          <w:rFonts w:hint="eastAsia"/>
        </w:rPr>
        <w:t xml:space="preserve">调度控制任务”的类比关系；（2）汽车</w:t>
      </w:r>
      <w:r>
        <w:t xml:space="preserve"> ODD </w:t>
      </w:r>
      <w:r>
        <w:rPr>
          <w:rFonts w:hint="eastAsia"/>
        </w:rPr>
        <w:t xml:space="preserve">的主要刻画维度（地理/天气/速度）与水网</w:t>
      </w:r>
      <w:r>
        <w:t xml:space="preserve"> ODD </w:t>
      </w:r>
      <w:r>
        <w:rPr>
          <w:rFonts w:hint="eastAsia"/>
        </w:rPr>
        <w:t xml:space="preserve">六维参数（水动力学边界/设备健康/气象水文/通信完好性等）的异同；（3）</w:t>
      </w:r>
      <w:r>
        <w:rPr>
          <w:rFonts w:hint="eastAsia"/>
        </w:rPr>
        <w:t xml:space="preserve">“靠边停车”</w:t>
      </w:r>
      <w:r>
        <w:rPr>
          <w:rFonts w:hint="eastAsia"/>
        </w:rPr>
        <w:t xml:space="preserve">型</w:t>
      </w:r>
      <w:r>
        <w:t xml:space="preserve"> MRC </w:t>
      </w:r>
      <w:r>
        <w:rPr>
          <w:rFonts w:hint="eastAsia"/>
        </w:rPr>
        <w:t xml:space="preserve">与”保守运行姿态”型</w:t>
      </w:r>
      <w:r>
        <w:t xml:space="preserve"> MRC </w:t>
      </w:r>
      <w:r>
        <w:rPr>
          <w:rFonts w:hint="eastAsia"/>
        </w:rPr>
        <w:t xml:space="preserve">在物理可达性要求上的本质差异。</w:t>
      </w:r>
    </w:p>
    <w:p>
      <w:pPr>
        <w:numPr>
          <w:ilvl w:val="0"/>
          <w:numId w:val="1002"/>
        </w:numPr>
      </w:pPr>
      <w:r>
        <w:rPr>
          <w:rFonts w:hint="eastAsia"/>
        </w:rPr>
        <w:t xml:space="preserve">[应用题]</w:t>
      </w:r>
      <w:r>
        <w:t xml:space="preserve"> </w:t>
      </w:r>
      <w:r>
        <w:rPr>
          <w:rFonts w:hint="eastAsia"/>
        </w:rPr>
        <w:t xml:space="preserve">南水北调东线一期工程包含</w:t>
      </w:r>
      <w:r>
        <w:t xml:space="preserve"> 13 </w:t>
      </w:r>
      <w:r>
        <w:rPr>
          <w:rFonts w:hint="eastAsia"/>
        </w:rPr>
        <w:t xml:space="preserve">个梯级泵站，调度系统的状态空间维度估计超过</w:t>
      </w:r>
      <w:r>
        <w:t xml:space="preserve"> </w:t>
      </w:r>
      <m:oMath>
        <m:sSup>
          <m:e>
            <m:r>
              <m:t>10</m:t>
            </m:r>
          </m:e>
          <m:sup>
            <m:r>
              <m:t>4</m:t>
            </m:r>
          </m:sup>
        </m:sSup>
      </m:oMath>
      <w:r>
        <w:rPr>
          <w:rFonts w:hint="eastAsia"/>
        </w:rPr>
        <w:t xml:space="preserve">。试分析：（1）当某台前级泵站突发断电时，该高维状态空间中会引发怎样的”非线性耦合扰动链”？请用状态转移方程</w:t>
      </w:r>
      <w:r>
        <w:t xml:space="preserve"> </w:t>
      </w:r>
      <m:oMath>
        <m:acc>
          <m:accPr>
            <m:chr m:val="̇"/>
          </m:accPr>
          <m:e>
            <m:r>
              <m:t>x</m:t>
            </m:r>
          </m:e>
        </m:acc>
        <m:r>
          <m:rPr>
            <m:sty m:val="p"/>
          </m:rPr>
          <m:t>(</m:t>
        </m:r>
        <m:r>
          <m:t>t</m:t>
        </m:r>
        <m:r>
          <m:rPr>
            <m:sty m:val="p"/>
          </m:rPr>
          <m:t>)</m:t>
        </m:r>
        <m:r>
          <m:rPr>
            <m:sty m:val="p"/>
          </m:rPr>
          <m:t>=</m:t>
        </m:r>
        <m:r>
          <m:t>f</m:t>
        </m:r>
        <m:r>
          <m:rPr>
            <m:sty m:val="p"/>
          </m:rPr>
          <m:t>(</m:t>
        </m:r>
        <m:r>
          <m:t>x</m:t>
        </m:r>
        <m:r>
          <m:rPr>
            <m:sty m:val="p"/>
          </m:rPr>
          <m:t>(</m:t>
        </m:r>
        <m:r>
          <m:t>t</m:t>
        </m:r>
        <m:r>
          <m:rPr>
            <m:sty m:val="p"/>
          </m:rPr>
          <m:t>)</m:t>
        </m:r>
        <m:r>
          <m:rPr>
            <m:sty m:val="p"/>
          </m:rPr>
          <m:t>,</m:t>
        </m:r>
        <m:r>
          <m:t>u</m:t>
        </m:r>
        <m:r>
          <m:rPr>
            <m:sty m:val="p"/>
          </m:rPr>
          <m:t>(</m:t>
        </m:r>
        <m:r>
          <m:t>t</m:t>
        </m:r>
        <m:r>
          <m:rPr>
            <m:sty m:val="p"/>
          </m:rPr>
          <m:t>)</m:t>
        </m:r>
        <m:r>
          <m:rPr>
            <m:sty m:val="p"/>
          </m:rPr>
          <m:t>,</m:t>
        </m:r>
        <m:r>
          <m:t>d</m:t>
        </m:r>
        <m:r>
          <m:rPr>
            <m:sty m:val="p"/>
          </m:rPr>
          <m:t>(</m:t>
        </m:r>
        <m:r>
          <m:t>t</m:t>
        </m:r>
        <m:r>
          <m:rPr>
            <m:sty m:val="p"/>
          </m:rPr>
          <m:t>)</m:t>
        </m:r>
        <m:r>
          <m:rPr>
            <m:sty m:val="p"/>
          </m:rPr>
          <m:t>)</m:t>
        </m:r>
      </m:oMath>
      <w:r>
        <w:t xml:space="preserve"> </w:t>
      </w:r>
      <w:r>
        <w:rPr>
          <w:rFonts w:hint="eastAsia"/>
        </w:rPr>
        <w:t xml:space="preserve">的形式说明扰动</w:t>
      </w:r>
      <w:r>
        <w:t xml:space="preserve"> </w:t>
      </w:r>
      <m:oMath>
        <m:r>
          <m:t>d</m:t>
        </m:r>
        <m:r>
          <m:rPr>
            <m:sty m:val="p"/>
          </m:rPr>
          <m:t>(</m:t>
        </m:r>
        <m:r>
          <m:t>t</m:t>
        </m:r>
        <m:r>
          <m:rPr>
            <m:sty m:val="p"/>
          </m:rPr>
          <m:t>)</m:t>
        </m:r>
      </m:oMath>
      <w:r>
        <w:t xml:space="preserve"> </w:t>
      </w:r>
      <w:r>
        <w:rPr>
          <w:rFonts w:hint="eastAsia"/>
        </w:rPr>
        <w:t xml:space="preserve">对后级泵站状态</w:t>
      </w:r>
      <w:r>
        <w:t xml:space="preserve"> </w:t>
      </w:r>
      <m:oMath>
        <m:r>
          <m:t>x</m:t>
        </m:r>
        <m:r>
          <m:rPr>
            <m:sty m:val="p"/>
          </m:rPr>
          <m:t>(</m:t>
        </m:r>
        <m:r>
          <m:t>t</m:t>
        </m:r>
        <m:r>
          <m:rPr>
            <m:sty m:val="p"/>
          </m:rPr>
          <m:t>)</m:t>
        </m:r>
      </m:oMath>
      <w:r>
        <w:t xml:space="preserve"> </w:t>
      </w:r>
      <w:r>
        <w:rPr>
          <w:rFonts w:hint="eastAsia"/>
        </w:rPr>
        <w:t xml:space="preserve">的传播机制；（2）为什么调度员在这种高维扰动场景下极易陷入”报警风暴”而无法求解最优控制向量</w:t>
      </w:r>
      <w:r>
        <w:t xml:space="preserve"> </w:t>
      </w:r>
      <m:oMath>
        <m:r>
          <m:t>u</m:t>
        </m:r>
        <m:r>
          <m:rPr>
            <m:sty m:val="p"/>
          </m:rPr>
          <m:t>(</m:t>
        </m:r>
        <m:r>
          <m:t>t</m:t>
        </m:r>
        <m:r>
          <m:rPr>
            <m:sty m:val="p"/>
          </m:rPr>
          <m:t>)</m:t>
        </m:r>
      </m:oMath>
      <w:r>
        <w:rPr>
          <w:rFonts w:hint="eastAsia"/>
        </w:rPr>
        <w:t xml:space="preserve">？（3）从第</w:t>
      </w:r>
      <w:r>
        <w:t xml:space="preserve"> 1.1.3 </w:t>
      </w:r>
      <w:r>
        <w:rPr>
          <w:rFonts w:hint="eastAsia"/>
        </w:rPr>
        <w:t xml:space="preserve">节案例出发，分析”过拟合于历史数据”的深度强化学习模型为何会在”训练集外的长尾场景”中输出极端指令，并解释</w:t>
      </w:r>
      <w:r>
        <w:t xml:space="preserve"> ODD </w:t>
      </w:r>
      <w:r>
        <w:rPr>
          <w:rFonts w:hint="eastAsia"/>
        </w:rPr>
        <w:t xml:space="preserve">边界与算法泛化能力的工程关系。</w:t>
      </w:r>
    </w:p>
    <w:p>
      <w:pPr>
        <w:numPr>
          <w:ilvl w:val="0"/>
          <w:numId w:val="1002"/>
        </w:numPr>
      </w:pPr>
      <w:r>
        <w:rPr>
          <w:rFonts w:hint="eastAsia"/>
        </w:rPr>
        <w:t xml:space="preserve">[设计题]</w:t>
      </w:r>
      <w:r>
        <w:t xml:space="preserve"> </w:t>
      </w:r>
      <w:r>
        <w:rPr>
          <w:rFonts w:hint="eastAsia"/>
        </w:rPr>
        <w:t xml:space="preserve">结合实际水利工程，为一条典型的中型跨省引调水工程（干渠全长约</w:t>
      </w:r>
      <w:r>
        <w:t xml:space="preserve"> 400 </w:t>
      </w:r>
      <w:r>
        <w:rPr>
          <w:rFonts w:hint="eastAsia"/>
        </w:rPr>
        <w:t xml:space="preserve">km，含</w:t>
      </w:r>
      <w:r>
        <w:t xml:space="preserve"> 8 </w:t>
      </w:r>
      <w:r>
        <w:rPr>
          <w:rFonts w:hint="eastAsia"/>
        </w:rPr>
        <w:t xml:space="preserve">个梯级泵站、3</w:t>
      </w:r>
      <w:r>
        <w:t xml:space="preserve"> </w:t>
      </w:r>
      <w:r>
        <w:rPr>
          <w:rFonts w:hint="eastAsia"/>
        </w:rPr>
        <w:t xml:space="preserve">座调蓄水库和若干节制闸，年调水量约</w:t>
      </w:r>
      <w:r>
        <w:t xml:space="preserve"> 15 </w:t>
      </w:r>
      <w:r>
        <w:rPr>
          <w:rFonts w:hint="eastAsia"/>
        </w:rPr>
        <w:t xml:space="preserve">亿</w:t>
      </w:r>
      <w:r>
        <w:t xml:space="preserve"> </w:t>
      </w:r>
      <w:r>
        <w:rPr>
          <w:rFonts w:hint="eastAsia"/>
        </w:rPr>
        <w:t xml:space="preserve">m³）设计初步的</w:t>
      </w:r>
      <w:r>
        <w:t xml:space="preserve"> WNAL </w:t>
      </w:r>
      <w:r>
        <w:rPr>
          <w:rFonts w:hint="eastAsia"/>
        </w:rPr>
        <w:t xml:space="preserve">分级方案。要求：（1）对不同功能节点（调蓄水库段、高动态梯级泵站段、平原渠道段）分别推荐</w:t>
      </w:r>
      <w:r>
        <w:t xml:space="preserve"> WNAL </w:t>
      </w:r>
      <w:r>
        <w:rPr>
          <w:rFonts w:hint="eastAsia"/>
        </w:rPr>
        <w:t xml:space="preserve">等级，并说明每个节点的临长时间常数</w:t>
      </w:r>
      <w:r>
        <w:t xml:space="preserve"> </w:t>
      </w:r>
      <m:oMath>
        <m:sSub>
          <m:e>
            <m:r>
              <m:t>T</m:t>
            </m:r>
          </m:e>
          <m:sub>
            <m:r>
              <m:t>c</m:t>
            </m:r>
          </m:sub>
        </m:sSub>
      </m:oMath>
      <w:r>
        <w:t xml:space="preserve"> </w:t>
      </w:r>
      <w:r>
        <w:rPr>
          <w:rFonts w:hint="eastAsia"/>
        </w:rPr>
        <w:t xml:space="preserve">估算逻辑；（2）针对最高等级节点，列举</w:t>
      </w:r>
      <w:r>
        <w:t xml:space="preserve"> ODD </w:t>
      </w:r>
      <w:r>
        <w:rPr>
          <w:rFonts w:hint="eastAsia"/>
        </w:rPr>
        <w:t xml:space="preserve">的主要约束参数（至少包含水动力学维度、设备健康维度和通信完好性维度各</w:t>
      </w:r>
      <w:r>
        <w:t xml:space="preserve"> 2 </w:t>
      </w:r>
      <w:r>
        <w:rPr>
          <w:rFonts w:hint="eastAsia"/>
        </w:rPr>
        <w:t xml:space="preserve">项指标及其阈值）；（3）定义该节点的</w:t>
      </w:r>
      <w:r>
        <w:t xml:space="preserve"> MRC </w:t>
      </w:r>
      <w:r>
        <w:rPr>
          <w:rFonts w:hint="eastAsia"/>
        </w:rPr>
        <w:t xml:space="preserve">物理安全姿态（闸门开度、泵机运行状态、上下游水位保持范围），并说明</w:t>
      </w:r>
      <w:r>
        <w:t xml:space="preserve"> MRC </w:t>
      </w:r>
      <w:r>
        <w:rPr>
          <w:rFonts w:hint="eastAsia"/>
        </w:rPr>
        <w:t xml:space="preserve">需经过</w:t>
      </w:r>
      <w:r>
        <w:t xml:space="preserve"> HIL </w:t>
      </w:r>
      <w:r>
        <w:rPr>
          <w:rFonts w:hint="eastAsia"/>
        </w:rPr>
        <w:t xml:space="preserve">验证的原因。</w:t>
      </w:r>
    </w:p>
    <w:p>
      <w:pPr>
        <w:numPr>
          <w:ilvl w:val="0"/>
          <w:numId w:val="1002"/>
        </w:numPr>
      </w:pPr>
      <w:r>
        <w:rPr>
          <w:rFonts w:hint="eastAsia"/>
        </w:rPr>
        <w:t xml:space="preserve">[编程题]</w:t>
      </w:r>
      <w:r>
        <w:t xml:space="preserve"> </w:t>
      </w:r>
      <w:r>
        <w:rPr>
          <w:rFonts w:hint="eastAsia"/>
        </w:rPr>
        <w:t xml:space="preserve">用</w:t>
      </w:r>
      <w:r>
        <w:t xml:space="preserve"> Python </w:t>
      </w:r>
      <w:r>
        <w:rPr>
          <w:rFonts w:hint="eastAsia"/>
        </w:rPr>
        <w:t xml:space="preserve">实现一个简化的渠道水位控制状态机模拟器。系统模型基于以下假设：正常水位目标为</w:t>
      </w:r>
      <w:r>
        <w:t xml:space="preserve"> </w:t>
      </w:r>
      <m:oMath>
        <m:sSub>
          <m:e>
            <m:r>
              <m:t>h</m:t>
            </m:r>
          </m:e>
          <m:sub>
            <m:r>
              <m:t>s</m:t>
            </m:r>
            <m:r>
              <m:t>e</m:t>
            </m:r>
            <m:r>
              <m:t>t</m:t>
            </m:r>
          </m:sub>
        </m:sSub>
        <m:r>
          <m:rPr>
            <m:sty m:val="p"/>
          </m:rPr>
          <m:t>=</m:t>
        </m:r>
        <m:r>
          <m:t>3.0</m:t>
        </m:r>
      </m:oMath>
      <w:r>
        <w:t xml:space="preserve"> </w:t>
      </w:r>
      <w:r>
        <w:rPr>
          <w:rFonts w:hint="eastAsia"/>
        </w:rPr>
        <w:t xml:space="preserve">m，ODD</w:t>
      </w:r>
      <w:r>
        <w:t xml:space="preserve"> </w:t>
      </w:r>
      <w:r>
        <w:rPr>
          <w:rFonts w:hint="eastAsia"/>
        </w:rPr>
        <w:t xml:space="preserve">边界为水位偏差</w:t>
      </w:r>
      <w:r>
        <w:t xml:space="preserve"> </w:t>
      </w:r>
      <m:oMath>
        <m:r>
          <m:rPr>
            <m:sty m:val="p"/>
          </m:rPr>
          <m:t>|</m:t>
        </m:r>
        <m:r>
          <m:t>e</m:t>
        </m:r>
        <m:r>
          <m:rPr>
            <m:sty m:val="p"/>
          </m:rPr>
          <m:t>|</m:t>
        </m:r>
        <m:r>
          <m:rPr>
            <m:sty m:val="p"/>
          </m:rPr>
          <m:t>≤</m:t>
        </m:r>
        <m:r>
          <m:t>0.5</m:t>
        </m:r>
      </m:oMath>
      <w:r>
        <w:t xml:space="preserve"> </w:t>
      </w:r>
      <w:r>
        <w:rPr>
          <w:rFonts w:hint="eastAsia"/>
        </w:rPr>
        <w:t xml:space="preserve">m，预警阈值为</w:t>
      </w:r>
      <w:r>
        <w:t xml:space="preserve"> </w:t>
      </w:r>
      <m:oMath>
        <m:r>
          <m:rPr>
            <m:sty m:val="p"/>
          </m:rPr>
          <m:t>|</m:t>
        </m:r>
        <m:r>
          <m:t>e</m:t>
        </m:r>
        <m:r>
          <m:rPr>
            <m:sty m:val="p"/>
          </m:rPr>
          <m:t>|</m:t>
        </m:r>
        <m:r>
          <m:rPr>
            <m:sty m:val="p"/>
          </m:rPr>
          <m:t>=</m:t>
        </m:r>
        <m:r>
          <m:t>0.4</m:t>
        </m:r>
      </m:oMath>
      <w:r>
        <w:t xml:space="preserve"> </w:t>
      </w:r>
      <w:r>
        <w:rPr>
          <w:rFonts w:hint="eastAsia"/>
        </w:rPr>
        <w:t xml:space="preserve">m，MRC</w:t>
      </w:r>
      <w:r>
        <w:t xml:space="preserve"> </w:t>
      </w:r>
      <w:r>
        <w:rPr>
          <w:rFonts w:hint="eastAsia"/>
        </w:rPr>
        <w:t xml:space="preserve">触发条件为</w:t>
      </w:r>
      <w:r>
        <w:t xml:space="preserve"> </w:t>
      </w:r>
      <m:oMath>
        <m:r>
          <m:rPr>
            <m:sty m:val="p"/>
          </m:rPr>
          <m:t>|</m:t>
        </m:r>
        <m:r>
          <m:t>e</m:t>
        </m:r>
        <m:r>
          <m:rPr>
            <m:sty m:val="p"/>
          </m:rPr>
          <m:t>|</m:t>
        </m:r>
        <m:r>
          <m:rPr>
            <m:sty m:val="p"/>
          </m:rPr>
          <m:t>&gt;</m:t>
        </m:r>
        <m:r>
          <m:t>0.5</m:t>
        </m:r>
      </m:oMath>
      <w:r>
        <w:t xml:space="preserve"> </w:t>
      </w:r>
      <w:r>
        <w:t xml:space="preserve">m </w:t>
      </w:r>
      <w:r>
        <w:rPr>
          <w:rFonts w:hint="eastAsia"/>
        </w:rPr>
        <w:t xml:space="preserve">或传感器离线。程序须实现以下功能：（1）定义四态机枚举类</w:t>
      </w:r>
      <w:r>
        <w:t xml:space="preserve"> </w:t>
      </w:r>
      <w:r>
        <w:rPr>
          <w:rStyle w:val="VerbatimChar"/>
        </w:rPr>
        <w:t xml:space="preserve">WNALState</w:t>
      </w:r>
      <w:r>
        <w:rPr>
          <w:rFonts w:hint="eastAsia"/>
        </w:rPr>
        <w:t xml:space="preserve">，包含</w:t>
      </w:r>
      <w:r>
        <w:t xml:space="preserve"> </w:t>
      </w:r>
      <w:r>
        <w:rPr>
          <w:rStyle w:val="VerbatimChar"/>
        </w:rPr>
        <w:t xml:space="preserve">NORMAL</w:t>
      </w:r>
      <w:r>
        <w:t xml:space="preserve">、</w:t>
      </w:r>
      <w:r>
        <w:rPr>
          <w:rStyle w:val="VerbatimChar"/>
        </w:rPr>
        <w:t xml:space="preserve">WARNING</w:t>
      </w:r>
      <w:r>
        <w:t xml:space="preserve">、</w:t>
      </w:r>
      <w:r>
        <w:rPr>
          <w:rStyle w:val="VerbatimChar"/>
        </w:rPr>
        <w:t xml:space="preserve">DEGRADED</w:t>
      </w:r>
      <w:r>
        <w:t xml:space="preserve">、</w:t>
      </w:r>
      <w:r>
        <w:rPr>
          <w:rStyle w:val="VerbatimChar"/>
        </w:rPr>
        <w:t xml:space="preserve">MRC</w:t>
      </w:r>
      <w:r>
        <w:t xml:space="preserve"> </w:t>
      </w:r>
      <w:r>
        <w:rPr>
          <w:rFonts w:hint="eastAsia"/>
        </w:rPr>
        <w:t xml:space="preserve">四个状态；（2）实现状态跃迁函数，根据当前水位偏差和传感器在线状态自动切换状态；（3）模拟</w:t>
      </w:r>
      <w:r>
        <w:t xml:space="preserve"> 20 </w:t>
      </w:r>
      <w:r>
        <w:rPr>
          <w:rFonts w:hint="eastAsia"/>
        </w:rPr>
        <w:t xml:space="preserve">个时间步长，其中在第</w:t>
      </w:r>
      <w:r>
        <w:t xml:space="preserve"> 10 </w:t>
      </w:r>
      <w:r>
        <w:rPr>
          <w:rFonts w:hint="eastAsia"/>
        </w:rPr>
        <w:t xml:space="preserve">步引入超出</w:t>
      </w:r>
      <w:r>
        <w:t xml:space="preserve"> ODD </w:t>
      </w:r>
      <w:r>
        <w:rPr>
          <w:rFonts w:hint="eastAsia"/>
        </w:rPr>
        <w:t xml:space="preserve">的阶跃扰动（水位骤升</w:t>
      </w:r>
      <w:r>
        <w:t xml:space="preserve"> 0.6 </w:t>
      </w:r>
      <w:r>
        <w:rPr>
          <w:rFonts w:hint="eastAsia"/>
        </w:rPr>
        <w:t xml:space="preserve">m），在第</w:t>
      </w:r>
      <w:r>
        <w:t xml:space="preserve"> 15 </w:t>
      </w:r>
      <w:r>
        <w:rPr>
          <w:rFonts w:hint="eastAsia"/>
        </w:rPr>
        <w:t xml:space="preserve">步模拟传感器掉线事件；（4）打印每步的状态、水位偏差、跃迁原因，并在</w:t>
      </w:r>
      <w:r>
        <w:t xml:space="preserve"> MRC </w:t>
      </w:r>
      <w:r>
        <w:rPr>
          <w:rFonts w:hint="eastAsia"/>
        </w:rPr>
        <w:t xml:space="preserve">触发时输出”MRC</w:t>
      </w:r>
      <w:r>
        <w:t xml:space="preserve"> </w:t>
      </w:r>
      <w:r>
        <w:rPr>
          <w:rFonts w:hint="eastAsia"/>
        </w:rPr>
        <w:t xml:space="preserve">已激活：闸门切换至保守开度，等待人工接管审计”的提示信息。</w:t>
      </w:r>
    </w:p>
    <w:p>
      <w:r>
        <w:pict>
          <v:rect style="width:0;height:1.5pt" o:hralign="center" o:hrstd="t" o:hr="t"/>
        </w:pict>
      </w:r>
    </w:p>
    <w:bookmarkEnd w:id="24"/>
    <w:bookmarkStart w:id="25"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2026-03-21T23:05:16Z</dcterms:created>
  <dcterms:modified xsi:type="dcterms:W3CDTF">2026-03-21T23:05:16Z</dcterms:modified>
</cp:coreProperties>
</file>

<file path=docProps/custom.xml><?xml version="1.0" encoding="utf-8"?>
<Properties xmlns="http://schemas.openxmlformats.org/officeDocument/2006/custom-properties" xmlns:vt="http://schemas.openxmlformats.org/officeDocument/2006/docPropsVTypes"/>
</file>