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第-11-章基于-mbd-设计范式的招采重构与设计院能力评价"/>
    <w:p>
      <w:pPr>
        <w:pStyle w:val="Heading1"/>
      </w:pPr>
      <w:r>
        <w:rPr>
          <w:rFonts w:hint="eastAsia"/>
        </w:rPr>
        <w:t xml:space="preserve">第</w:t>
      </w:r>
      <w:r>
        <w:t xml:space="preserve"> 11 </w:t>
      </w:r>
      <w:r>
        <w:rPr>
          <w:rFonts w:hint="eastAsia"/>
        </w:rPr>
        <w:t xml:space="preserve">章：基于</w:t>
      </w:r>
      <w:r>
        <w:t xml:space="preserve"> MBD </w:t>
      </w:r>
      <w:r>
        <w:rPr>
          <w:rFonts w:hint="eastAsia"/>
        </w:rPr>
        <w:t xml:space="preserve">设计范式的招采重构与设计院能力评价</w:t>
      </w:r>
    </w:p>
    <w:bookmarkStart w:id="9" w:name="引言"/>
    <w:p>
      <w:pPr>
        <w:pStyle w:val="Heading2"/>
      </w:pPr>
      <w:r>
        <w:rPr>
          <w:rFonts w:hint="eastAsia"/>
        </w:rPr>
        <w:t xml:space="preserve">引言</w:t>
      </w:r>
    </w:p>
    <w:p>
      <w:pPr>
        <w:pStyle w:val="FirstParagraph"/>
      </w:pPr>
      <w:r>
        <w:rPr>
          <w:rFonts w:hint="eastAsia"/>
        </w:rPr>
        <w:t xml:space="preserve">在前述章节中，我们确立了水网自主运行等级（WNAL）、运行设计域（ODD）以及状态空间约束等严密的准入判据。然而，</w:t>
      </w:r>
      <w:r>
        <w:rPr>
          <w:rFonts w:hint="eastAsia"/>
          <w:b/>
          <w:bCs/>
        </w:rPr>
        <w:t xml:space="preserve">如果我们将这些标准的落地仅仅视为”工程后期的信息化系统采购”，那就犯了方向性的战略错误。</w:t>
      </w:r>
      <w:r>
        <w:rPr>
          <w:rFonts w:hint="eastAsia"/>
        </w:rPr>
        <w:t xml:space="preserve">当前，水网智能化建设面临的最大阻力，并非缺乏优秀的软件开发商，而是</w:t>
      </w:r>
      <w:r>
        <w:rPr>
          <w:rFonts w:hint="eastAsia"/>
          <w:b/>
          <w:bCs/>
        </w:rPr>
        <w:t xml:space="preserve">工程设计范式的落后</w:t>
      </w:r>
      <w:r>
        <w:rPr>
          <w:rFonts w:hint="eastAsia"/>
        </w:rPr>
        <w:t xml:space="preserve">。在传统的工程建设中，设计院交付的是图纸（CAD）和静态的说明书；到了信息化阶段，再由集成商根据这些静态文档去”猜测”控制逻辑并编写代码。这种”物理设计与控制设计严重脱节”的瀑布式流程，注定了系统无法应对高动态的复杂扰动。</w:t>
      </w:r>
    </w:p>
    <w:p>
      <w:pPr>
        <w:pStyle w:val="BodyText"/>
      </w:pPr>
      <w:r>
        <w:rPr>
          <w:rFonts w:hint="eastAsia"/>
        </w:rPr>
        <w:t xml:space="preserve">真正的改变，必须从源头发生——</w:t>
      </w:r>
      <w:r>
        <w:rPr>
          <w:rFonts w:hint="eastAsia"/>
          <w:b/>
          <w:bCs/>
        </w:rPr>
        <w:t xml:space="preserve">将水网智能化标准体系的推行，转化为整个行业设计范式的革命</w:t>
      </w:r>
      <w:r>
        <w:rPr>
          <w:rFonts w:hint="eastAsia"/>
        </w:rPr>
        <w:t xml:space="preserve">。本章将详细阐述如何引入</w:t>
      </w:r>
      <w:r>
        <w:rPr>
          <w:rFonts w:hint="eastAsia"/>
          <w:b/>
          <w:bCs/>
        </w:rPr>
        <w:t xml:space="preserve">基于模型的设计（MBD,</w:t>
      </w:r>
      <w:r>
        <w:rPr>
          <w:b/>
          <w:bCs/>
        </w:rPr>
        <w:t xml:space="preserve"> Model-Based </w:t>
      </w:r>
      <w:r>
        <w:rPr>
          <w:rFonts w:hint="eastAsia"/>
          <w:b/>
          <w:bCs/>
        </w:rPr>
        <w:t xml:space="preserve">Design）</w:t>
      </w:r>
      <w:r>
        <w:rPr>
          <w:rFonts w:hint="eastAsia"/>
        </w:rPr>
        <w:t xml:space="preserve">，如何评估设计方案本身的智能化等级，以及如何在招投标和工程审查中，对传统”水利设计院”的</w:t>
      </w:r>
      <w:r>
        <w:rPr>
          <w:rFonts w:hint="eastAsia"/>
          <w:b/>
          <w:bCs/>
        </w:rPr>
        <w:t xml:space="preserve">智能化设计能力（DIL,</w:t>
      </w:r>
      <w:r>
        <w:rPr>
          <w:b/>
          <w:bCs/>
        </w:rPr>
        <w:t xml:space="preserve"> Design Intelligence </w:t>
      </w:r>
      <w:r>
        <w:rPr>
          <w:rFonts w:hint="eastAsia"/>
          <w:b/>
          <w:bCs/>
        </w:rPr>
        <w:t xml:space="preserve">Level）</w:t>
      </w:r>
      <w:r>
        <w:rPr>
          <w:rFonts w:hint="eastAsia"/>
        </w:rPr>
        <w:t xml:space="preserve">进行刚性约束。</w:t>
      </w:r>
    </w:p>
    <w:p>
      <w:r>
        <w:pict>
          <v:rect style="width:0;height:1.5pt" o:hralign="center" o:hrstd="t" o:hr="t"/>
        </w:pict>
      </w:r>
    </w:p>
    <w:bookmarkEnd w:id="9"/>
    <w:bookmarkStart w:id="12" w:name="从信息化采购向数字化工程设计的范式转移"/>
    <w:p>
      <w:pPr>
        <w:pStyle w:val="Heading2"/>
      </w:pPr>
      <w:r>
        <w:t xml:space="preserve">11.1 </w:t>
      </w:r>
      <w:r>
        <w:rPr>
          <w:rFonts w:hint="eastAsia"/>
        </w:rPr>
        <w:t xml:space="preserve">从”信息化采购”向”数字化工程设计”的范式转移</w:t>
      </w:r>
    </w:p>
    <w:p>
      <w:pPr>
        <w:pStyle w:val="FirstParagraph"/>
      </w:pPr>
      <w:r>
        <w:rPr>
          <w:rFonts w:hint="eastAsia"/>
        </w:rPr>
        <w:t xml:space="preserve">试图用传统”买软件、买大屏”的</w:t>
      </w:r>
      <w:r>
        <w:t xml:space="preserve"> IT </w:t>
      </w:r>
      <w:r>
        <w:rPr>
          <w:rFonts w:hint="eastAsia"/>
        </w:rPr>
        <w:t xml:space="preserve">采购逻辑去建设</w:t>
      </w:r>
      <w:r>
        <w:t xml:space="preserve"> L2/L3 </w:t>
      </w:r>
      <w:r>
        <w:rPr>
          <w:rFonts w:hint="eastAsia"/>
        </w:rPr>
        <w:t xml:space="preserve">级自治控制系统，必然导致”劣币驱逐良币”的系统性陷阱。我们必须通过标准，倒逼工程设计院承担起”控制论设计”的法定责任。</w:t>
      </w:r>
    </w:p>
    <w:bookmarkStart w:id="10" w:name="传统文档化设计的失效"/>
    <w:p>
      <w:pPr>
        <w:pStyle w:val="Heading3"/>
      </w:pPr>
      <w:r>
        <w:t xml:space="preserve">11.1.1 </w:t>
      </w:r>
      <w:r>
        <w:rPr>
          <w:rFonts w:hint="eastAsia"/>
        </w:rPr>
        <w:t xml:space="preserve">传统文档化设计的失效</w:t>
      </w:r>
    </w:p>
    <w:p>
      <w:pPr>
        <w:pStyle w:val="FirstParagraph"/>
      </w:pPr>
      <w:r>
        <w:rPr>
          <w:rFonts w:hint="eastAsia"/>
        </w:rPr>
        <w:t xml:space="preserve">在长距离调水或复杂泵站群工程中，设计院在初设阶段通常只提供《水力过渡过程计算报告》和《自动化控制策略说明》。这些用自然语言和静态图表写成的文档，既无法被计算机执行，也无法进行连续的闭环验证。当系统发生”水锤效应”或”谐振”导致物理损坏时，设计院往往以”软件厂商未按要求编程”为由免责，而软件厂商则辩称”设计边界不清晰”。</w:t>
      </w:r>
    </w:p>
    <w:bookmarkEnd w:id="10"/>
    <w:bookmarkStart w:id="11" w:name="引入-mbd基于模型的设计作为法定交付物"/>
    <w:p>
      <w:pPr>
        <w:pStyle w:val="Heading3"/>
      </w:pPr>
      <w:r>
        <w:t xml:space="preserve">11.1.2 </w:t>
      </w:r>
      <w:r>
        <w:rPr>
          <w:rFonts w:hint="eastAsia"/>
        </w:rPr>
        <w:t xml:space="preserve">引入</w:t>
      </w:r>
      <w:r>
        <w:t xml:space="preserve"> </w:t>
      </w:r>
      <w:r>
        <w:rPr>
          <w:rFonts w:hint="eastAsia"/>
        </w:rPr>
        <w:t xml:space="preserve">MBD（基于模型的设计）作为法定交付物</w:t>
      </w:r>
    </w:p>
    <w:p>
      <w:pPr>
        <w:pStyle w:val="FirstParagraph"/>
      </w:pPr>
      <w:r>
        <w:rPr>
          <w:rFonts w:hint="eastAsia"/>
        </w:rPr>
        <w:t xml:space="preserve">在新的标准体系下，</w:t>
      </w:r>
      <w:r>
        <w:rPr>
          <w:b/>
          <w:bCs/>
        </w:rPr>
        <w:t xml:space="preserve">MBD </w:t>
      </w:r>
      <w:r>
        <w:rPr>
          <w:rFonts w:hint="eastAsia"/>
          <w:b/>
          <w:bCs/>
        </w:rPr>
        <w:t xml:space="preserve">不再是一种推荐工具，而是</w:t>
      </w:r>
      <w:r>
        <w:rPr>
          <w:b/>
          <w:bCs/>
        </w:rPr>
        <w:t xml:space="preserve"> L2+ </w:t>
      </w:r>
      <w:r>
        <w:rPr>
          <w:rFonts w:hint="eastAsia"/>
          <w:b/>
          <w:bCs/>
        </w:rPr>
        <w:t xml:space="preserve">级工程的法定设计范式</w:t>
      </w:r>
      <w:r>
        <w:rPr>
          <w:rFonts w:hint="eastAsia"/>
        </w:rPr>
        <w:t xml:space="preserve">。设计院必须将传统的”写文档”，升级为”建模型”。他们交付给建设方和后续集成商的，不应只是一叠图纸，而必须是一个个符合</w:t>
      </w:r>
      <w:r>
        <w:t xml:space="preserve"> </w:t>
      </w:r>
      <w:r>
        <w:rPr>
          <w:rFonts w:hint="eastAsia"/>
        </w:rPr>
        <w:t xml:space="preserve">FMI（功能模拟接口）标准</w:t>
      </w:r>
      <w:r>
        <w:t xml:space="preserve"> [7] </w:t>
      </w:r>
      <w:r>
        <w:rPr>
          <w:rFonts w:hint="eastAsia"/>
        </w:rPr>
        <w:t xml:space="preserve">的</w:t>
      </w:r>
      <w:r>
        <w:rPr>
          <w:rFonts w:hint="eastAsia"/>
          <w:b/>
          <w:bCs/>
        </w:rPr>
        <w:t xml:space="preserve">可执行数学模型（FMU）</w:t>
      </w:r>
      <w:r>
        <w:rPr>
          <w:rFonts w:hint="eastAsia"/>
        </w:rPr>
        <w:t xml:space="preserve">和</w:t>
      </w:r>
      <w:r>
        <w:rPr>
          <w:rFonts w:hint="eastAsia"/>
          <w:b/>
          <w:bCs/>
        </w:rPr>
        <w:t xml:space="preserve">控制算法模型</w:t>
      </w:r>
      <w:r>
        <w:rPr>
          <w:rFonts w:hint="eastAsia"/>
        </w:rPr>
        <w:t xml:space="preserve">。这些模型在设计阶段就已经通过了</w:t>
      </w:r>
      <w:r>
        <w:t xml:space="preserve"> </w:t>
      </w:r>
      <w:r>
        <w:rPr>
          <w:rFonts w:hint="eastAsia"/>
        </w:rPr>
        <w:t xml:space="preserve">MIL（模型在环）测试</w:t>
      </w:r>
      <w:r>
        <w:t xml:space="preserve"> </w:t>
      </w:r>
      <w:r>
        <w:rPr>
          <w:rFonts w:hint="eastAsia"/>
        </w:rPr>
        <w:t xml:space="preserve">[2]，证明了水动力学过程的收敛性与控制策略的安全性。后续的软件开发，仅仅是这些数学模型向</w:t>
      </w:r>
      <w:r>
        <w:t xml:space="preserve"> C/C++ </w:t>
      </w:r>
      <w:r>
        <w:rPr>
          <w:rFonts w:hint="eastAsia"/>
        </w:rPr>
        <w:t xml:space="preserve">或</w:t>
      </w:r>
      <w:r>
        <w:t xml:space="preserve"> PLC </w:t>
      </w:r>
      <w:r>
        <w:rPr>
          <w:rFonts w:hint="eastAsia"/>
        </w:rPr>
        <w:t xml:space="preserve">梯形图的”自动代码生成”与硬件映射。</w:t>
      </w:r>
    </w:p>
    <w:p>
      <w:r>
        <w:pict>
          <v:rect style="width:0;height:1.5pt" o:hralign="center" o:hrstd="t" o:hr="t"/>
        </w:pict>
      </w:r>
    </w:p>
    <w:bookmarkEnd w:id="11"/>
    <w:bookmarkEnd w:id="12"/>
    <w:bookmarkStart w:id="16" w:name="设计智能化水平dil的分级与评价"/>
    <w:p>
      <w:pPr>
        <w:pStyle w:val="Heading2"/>
      </w:pPr>
      <w:r>
        <w:t xml:space="preserve">11.2 </w:t>
      </w:r>
      <w:r>
        <w:rPr>
          <w:rFonts w:hint="eastAsia"/>
        </w:rPr>
        <w:t xml:space="preserve">设计智能化水平（DIL）的分级与评价</w:t>
      </w:r>
    </w:p>
    <w:p>
      <w:pPr>
        <w:pStyle w:val="FirstParagraph"/>
      </w:pPr>
      <w:r>
        <w:rPr>
          <w:rFonts w:hint="eastAsia"/>
        </w:rPr>
        <w:t xml:space="preserve">为了衡量设计院是否具备承接高等级智能化水网工程的能力，标准体系引入了</w:t>
      </w:r>
      <w:r>
        <w:rPr>
          <w:rFonts w:hint="eastAsia"/>
          <w:b/>
          <w:bCs/>
        </w:rPr>
        <w:t xml:space="preserve">设计智能化水平（DIL,</w:t>
      </w:r>
      <w:r>
        <w:rPr>
          <w:b/>
          <w:bCs/>
        </w:rPr>
        <w:t xml:space="preserve"> Design Intelligence </w:t>
      </w:r>
      <w:r>
        <w:rPr>
          <w:rFonts w:hint="eastAsia"/>
          <w:b/>
          <w:bCs/>
        </w:rPr>
        <w:t xml:space="preserve">Level）</w:t>
      </w:r>
      <w:r>
        <w:rPr>
          <w:rFonts w:hint="eastAsia"/>
        </w:rPr>
        <w:t xml:space="preserve">的评价维度，并将其与项目的目标</w:t>
      </w:r>
      <w:r>
        <w:t xml:space="preserve"> WNAL </w:t>
      </w:r>
      <w:r>
        <w:rPr>
          <w:rFonts w:hint="eastAsia"/>
        </w:rPr>
        <w:t xml:space="preserve">强制绑定。</w:t>
      </w:r>
    </w:p>
    <w:bookmarkStart w:id="13" w:name="dil-的分级定义dil-0---dil-5"/>
    <w:p>
      <w:pPr>
        <w:pStyle w:val="Heading3"/>
      </w:pPr>
      <w:r>
        <w:t xml:space="preserve">11.2.1 DIL </w:t>
      </w:r>
      <w:r>
        <w:rPr>
          <w:rFonts w:hint="eastAsia"/>
        </w:rPr>
        <w:t xml:space="preserve">的分级定义（DIL</w:t>
      </w:r>
      <w:r>
        <w:t xml:space="preserve"> 0 - DIL </w:t>
      </w:r>
      <w:r>
        <w:rPr>
          <w:rFonts w:hint="eastAsia"/>
        </w:rPr>
        <w:t xml:space="preserve">5）</w:t>
      </w:r>
    </w:p>
    <w:p>
      <w:pPr>
        <w:pStyle w:val="Compact"/>
        <w:numPr>
          <w:ilvl w:val="0"/>
          <w:numId w:val="1001"/>
        </w:numPr>
      </w:pPr>
      <w:r>
        <w:rPr>
          <w:b/>
          <w:bCs/>
        </w:rPr>
        <w:t xml:space="preserve">DIL </w:t>
      </w:r>
      <w:r>
        <w:rPr>
          <w:rFonts w:hint="eastAsia"/>
          <w:b/>
          <w:bCs/>
        </w:rPr>
        <w:t xml:space="preserve">0（文档化设计）</w:t>
      </w:r>
      <w:r>
        <w:rPr>
          <w:rFonts w:hint="eastAsia"/>
        </w:rPr>
        <w:t xml:space="preserve">：传统</w:t>
      </w:r>
      <w:r>
        <w:t xml:space="preserve"> CAD </w:t>
      </w:r>
      <w:r>
        <w:rPr>
          <w:rFonts w:hint="eastAsia"/>
        </w:rPr>
        <w:t xml:space="preserve">图纸+文本说明，无动态仿真模型交付。</w:t>
      </w:r>
    </w:p>
    <w:p>
      <w:pPr>
        <w:pStyle w:val="Compact"/>
        <w:numPr>
          <w:ilvl w:val="0"/>
          <w:numId w:val="1001"/>
        </w:numPr>
      </w:pPr>
      <w:r>
        <w:rPr>
          <w:b/>
          <w:bCs/>
        </w:rPr>
        <w:t xml:space="preserve">DIL </w:t>
      </w:r>
      <w:r>
        <w:rPr>
          <w:rFonts w:hint="eastAsia"/>
          <w:b/>
          <w:bCs/>
        </w:rPr>
        <w:t xml:space="preserve">1（静态数字化设计）</w:t>
      </w:r>
      <w:r>
        <w:rPr>
          <w:rFonts w:hint="eastAsia"/>
        </w:rPr>
        <w:t xml:space="preserve">：具备</w:t>
      </w:r>
      <w:r>
        <w:t xml:space="preserve"> BIM </w:t>
      </w:r>
      <w:r>
        <w:rPr>
          <w:rFonts w:hint="eastAsia"/>
        </w:rPr>
        <w:t xml:space="preserve">三维几何模型交付能力，但无动力学属性。</w:t>
      </w:r>
    </w:p>
    <w:p>
      <w:pPr>
        <w:pStyle w:val="Compact"/>
        <w:numPr>
          <w:ilvl w:val="0"/>
          <w:numId w:val="1001"/>
        </w:numPr>
      </w:pPr>
      <w:r>
        <w:rPr>
          <w:b/>
          <w:bCs/>
        </w:rPr>
        <w:t xml:space="preserve">DIL </w:t>
      </w:r>
      <w:r>
        <w:rPr>
          <w:rFonts w:hint="eastAsia"/>
          <w:b/>
          <w:bCs/>
        </w:rPr>
        <w:t xml:space="preserve">2（局部</w:t>
      </w:r>
      <w:r>
        <w:rPr>
          <w:b/>
          <w:bCs/>
        </w:rPr>
        <w:t xml:space="preserve"> MBD </w:t>
      </w:r>
      <w:r>
        <w:rPr>
          <w:rFonts w:hint="eastAsia"/>
          <w:b/>
          <w:bCs/>
        </w:rPr>
        <w:t xml:space="preserve">设计）</w:t>
      </w:r>
      <w:r>
        <w:rPr>
          <w:rFonts w:hint="eastAsia"/>
        </w:rPr>
        <w:t xml:space="preserve">：能够提供关键节点（如核心泵站、长倒虹吸）的零维/一维水动力学可执行模型（如基于</w:t>
      </w:r>
      <w:r>
        <w:t xml:space="preserve"> Modelica </w:t>
      </w:r>
      <w:r>
        <w:rPr>
          <w:rFonts w:hint="eastAsia"/>
        </w:rPr>
        <w:t xml:space="preserve">封装），并完成该节点的</w:t>
      </w:r>
      <w:r>
        <w:t xml:space="preserve"> MIL </w:t>
      </w:r>
      <w:r>
        <w:rPr>
          <w:rFonts w:hint="eastAsia"/>
        </w:rPr>
        <w:t xml:space="preserve">测试。</w:t>
      </w:r>
    </w:p>
    <w:p>
      <w:pPr>
        <w:pStyle w:val="Compact"/>
        <w:numPr>
          <w:ilvl w:val="0"/>
          <w:numId w:val="1001"/>
        </w:numPr>
      </w:pPr>
      <w:r>
        <w:rPr>
          <w:b/>
          <w:bCs/>
        </w:rPr>
        <w:t xml:space="preserve">DIL </w:t>
      </w:r>
      <w:r>
        <w:rPr>
          <w:rFonts w:hint="eastAsia"/>
          <w:b/>
          <w:bCs/>
        </w:rPr>
        <w:t xml:space="preserve">3（系统级</w:t>
      </w:r>
      <w:r>
        <w:rPr>
          <w:b/>
          <w:bCs/>
        </w:rPr>
        <w:t xml:space="preserve"> MBD </w:t>
      </w:r>
      <w:r>
        <w:rPr>
          <w:rFonts w:hint="eastAsia"/>
          <w:b/>
          <w:bCs/>
        </w:rPr>
        <w:t xml:space="preserve">与</w:t>
      </w:r>
      <w:r>
        <w:rPr>
          <w:b/>
          <w:bCs/>
        </w:rPr>
        <w:t xml:space="preserve"> ODD </w:t>
      </w:r>
      <w:r>
        <w:rPr>
          <w:rFonts w:hint="eastAsia"/>
          <w:b/>
          <w:bCs/>
        </w:rPr>
        <w:t xml:space="preserve">定义）</w:t>
      </w:r>
      <w:r>
        <w:rPr>
          <w:rFonts w:hint="eastAsia"/>
        </w:rPr>
        <w:t xml:space="preserve">：能够提供全线级联的水动力学控制模型，</w:t>
      </w:r>
      <w:r>
        <w:rPr>
          <w:rFonts w:hint="eastAsia"/>
          <w:b/>
          <w:bCs/>
        </w:rPr>
        <w:t xml:space="preserve">能够以数学方程形式输出完整的</w:t>
      </w:r>
      <w:r>
        <w:rPr>
          <w:b/>
          <w:bCs/>
        </w:rPr>
        <w:t xml:space="preserve"> </w:t>
      </w:r>
      <w:r>
        <w:rPr>
          <w:rFonts w:hint="eastAsia"/>
          <w:b/>
          <w:bCs/>
        </w:rPr>
        <w:t xml:space="preserve">ODD（运行设计域）边界参数</w:t>
      </w:r>
      <w:r>
        <w:rPr>
          <w:rFonts w:hint="eastAsia"/>
        </w:rPr>
        <w:t xml:space="preserve">，并交付全系统的</w:t>
      </w:r>
      <w:r>
        <w:t xml:space="preserve"> </w:t>
      </w:r>
      <w:r>
        <w:rPr>
          <w:rFonts w:hint="eastAsia"/>
        </w:rPr>
        <w:t xml:space="preserve">SIL（软件在环）仿真验证报告。</w:t>
      </w:r>
    </w:p>
    <w:p>
      <w:pPr>
        <w:pStyle w:val="Compact"/>
        <w:numPr>
          <w:ilvl w:val="0"/>
          <w:numId w:val="1001"/>
        </w:numPr>
      </w:pPr>
      <w:r>
        <w:rPr>
          <w:b/>
          <w:bCs/>
        </w:rPr>
        <w:t xml:space="preserve">DIL </w:t>
      </w:r>
      <w:r>
        <w:rPr>
          <w:rFonts w:hint="eastAsia"/>
          <w:b/>
          <w:bCs/>
        </w:rPr>
        <w:t xml:space="preserve">4（全链路模型驱动）</w:t>
      </w:r>
      <w:r>
        <w:rPr>
          <w:rFonts w:hint="eastAsia"/>
        </w:rPr>
        <w:t xml:space="preserve">：具备</w:t>
      </w:r>
      <w:r>
        <w:t xml:space="preserve"> </w:t>
      </w:r>
      <w:r>
        <w:rPr>
          <w:rFonts w:hint="eastAsia"/>
        </w:rPr>
        <w:t xml:space="preserve">HIL（硬件在环）测试的规划与边界设定能力，能够为业主提供”数字安全包络”与”物理安全包络”的双重验证基线。</w:t>
      </w:r>
    </w:p>
    <w:p>
      <w:pPr>
        <w:pStyle w:val="Compact"/>
        <w:numPr>
          <w:ilvl w:val="0"/>
          <w:numId w:val="1001"/>
        </w:numPr>
      </w:pPr>
      <w:r>
        <w:rPr>
          <w:b/>
          <w:bCs/>
        </w:rPr>
        <w:t xml:space="preserve">DIL </w:t>
      </w:r>
      <w:r>
        <w:rPr>
          <w:rFonts w:hint="eastAsia"/>
          <w:b/>
          <w:bCs/>
        </w:rPr>
        <w:t xml:space="preserve">5（自演进设计）</w:t>
      </w:r>
      <w:r>
        <w:rPr>
          <w:rFonts w:hint="eastAsia"/>
        </w:rPr>
        <w:t xml:space="preserve">：具备在系统运行期接收反馈数据并自动化迭代设计模型的能力。</w:t>
      </w:r>
    </w:p>
    <w:bookmarkEnd w:id="13"/>
    <w:bookmarkStart w:id="14" w:name="目标-wnal-与-dil-的强制映射"/>
    <w:p>
      <w:pPr>
        <w:pStyle w:val="Heading3"/>
      </w:pPr>
      <w:r>
        <w:t xml:space="preserve">11.2.2 </w:t>
      </w:r>
      <w:r>
        <w:rPr>
          <w:rFonts w:hint="eastAsia"/>
        </w:rPr>
        <w:t xml:space="preserve">目标</w:t>
      </w:r>
      <w:r>
        <w:t xml:space="preserve"> WNAL </w:t>
      </w:r>
      <w:r>
        <w:rPr>
          <w:rFonts w:hint="eastAsia"/>
        </w:rPr>
        <w:t xml:space="preserve">与</w:t>
      </w:r>
      <w:r>
        <w:t xml:space="preserve"> DIL </w:t>
      </w:r>
      <w:r>
        <w:rPr>
          <w:rFonts w:hint="eastAsia"/>
        </w:rPr>
        <w:t xml:space="preserve">的强制映射</w:t>
      </w:r>
    </w:p>
    <w:p>
      <w:pPr>
        <w:pStyle w:val="FirstParagraph"/>
      </w:pPr>
      <w:r>
        <w:rPr>
          <w:rFonts w:hint="eastAsia"/>
        </w:rPr>
        <w:t xml:space="preserve">在工程立项与招投标中，必须确立以下强制性逻辑判断门：</w:t>
      </w:r>
    </w:p>
    <w:p>
      <w:pPr>
        <w:pStyle w:val="Compact"/>
        <w:numPr>
          <w:ilvl w:val="0"/>
          <w:numId w:val="1002"/>
        </w:numPr>
      </w:pPr>
      <w:r>
        <w:rPr>
          <w:rFonts w:hint="eastAsia"/>
          <w:b/>
          <w:bCs/>
        </w:rPr>
        <w:t xml:space="preserve">建设目标为</w:t>
      </w:r>
      <w:r>
        <w:rPr>
          <w:b/>
          <w:bCs/>
        </w:rPr>
        <w:t xml:space="preserve"> WNAL L2 </w:t>
      </w:r>
      <w:r>
        <w:rPr>
          <w:rFonts w:hint="eastAsia"/>
          <w:b/>
          <w:bCs/>
        </w:rPr>
        <w:t xml:space="preserve">的工程</w:t>
      </w:r>
      <w:r>
        <w:rPr>
          <w:rFonts w:hint="eastAsia"/>
        </w:rPr>
        <w:t xml:space="preserve">：主责设计院的评定能力必须</w:t>
      </w:r>
      <w:r>
        <w:t xml:space="preserve"> </w:t>
      </w:r>
      <m:oMath>
        <m:r>
          <m:rPr>
            <m:sty m:val="p"/>
          </m:rPr>
          <m:t>≥</m:t>
        </m:r>
      </m:oMath>
      <w:r>
        <w:t xml:space="preserve"> </w:t>
      </w:r>
      <w:r>
        <w:rPr>
          <w:b/>
          <w:bCs/>
        </w:rPr>
        <w:t xml:space="preserve">DIL 2</w:t>
      </w:r>
      <w:r>
        <w:t xml:space="preserve">。</w:t>
      </w:r>
    </w:p>
    <w:p>
      <w:pPr>
        <w:pStyle w:val="Compact"/>
        <w:numPr>
          <w:ilvl w:val="0"/>
          <w:numId w:val="1002"/>
        </w:numPr>
      </w:pPr>
      <w:r>
        <w:rPr>
          <w:rFonts w:hint="eastAsia"/>
          <w:b/>
          <w:bCs/>
        </w:rPr>
        <w:t xml:space="preserve">建设目标为</w:t>
      </w:r>
      <w:r>
        <w:rPr>
          <w:b/>
          <w:bCs/>
        </w:rPr>
        <w:t xml:space="preserve"> WNAL L3 </w:t>
      </w:r>
      <w:r>
        <w:rPr>
          <w:rFonts w:hint="eastAsia"/>
          <w:b/>
          <w:bCs/>
        </w:rPr>
        <w:t xml:space="preserve">及以上的工程</w:t>
      </w:r>
      <w:r>
        <w:rPr>
          <w:rFonts w:hint="eastAsia"/>
        </w:rPr>
        <w:t xml:space="preserve">：主责设计院的评定能力必须</w:t>
      </w:r>
      <w:r>
        <w:t xml:space="preserve"> </w:t>
      </w:r>
      <m:oMath>
        <m:r>
          <m:rPr>
            <m:sty m:val="p"/>
          </m:rPr>
          <m:t>≥</m:t>
        </m:r>
      </m:oMath>
      <w:r>
        <w:t xml:space="preserve"> </w:t>
      </w:r>
      <w:r>
        <w:rPr>
          <w:b/>
          <w:bCs/>
        </w:rPr>
        <w:t xml:space="preserve">DIL 3</w:t>
      </w:r>
      <w:r>
        <w:rPr>
          <w:rFonts w:hint="eastAsia"/>
        </w:rPr>
        <w:t xml:space="preserve">。如果设计院无法在初设阶段交付可计算的</w:t>
      </w:r>
      <w:r>
        <w:t xml:space="preserve"> ODD </w:t>
      </w:r>
      <w:r>
        <w:rPr>
          <w:rFonts w:hint="eastAsia"/>
        </w:rPr>
        <w:t xml:space="preserve">模型和系统级</w:t>
      </w:r>
      <w:r>
        <w:t xml:space="preserve"> MIL </w:t>
      </w:r>
      <w:r>
        <w:rPr>
          <w:rFonts w:hint="eastAsia"/>
        </w:rPr>
        <w:t xml:space="preserve">报告，则其设计方案将被”一票否决”，不得进入施工图与招标阶段。</w:t>
      </w:r>
    </w:p>
    <w:bookmarkEnd w:id="14"/>
    <w:bookmarkStart w:id="15" w:name="dil-评价的具体操作流程"/>
    <w:p>
      <w:pPr>
        <w:pStyle w:val="Heading3"/>
      </w:pPr>
      <w:r>
        <w:t xml:space="preserve">11.2.3 DIL </w:t>
      </w:r>
      <w:r>
        <w:rPr>
          <w:rFonts w:hint="eastAsia"/>
        </w:rPr>
        <w:t xml:space="preserve">评价的具体操作流程</w:t>
      </w:r>
    </w:p>
    <w:p>
      <w:pPr>
        <w:pStyle w:val="FirstParagraph"/>
      </w:pPr>
      <w:r>
        <w:t xml:space="preserve">DIL </w:t>
      </w:r>
      <w:r>
        <w:rPr>
          <w:rFonts w:hint="eastAsia"/>
        </w:rPr>
        <w:t xml:space="preserve">评价采用”申报</w:t>
      </w:r>
      <w:r>
        <w:t xml:space="preserve"> → </w:t>
      </w:r>
      <w:r>
        <w:rPr>
          <w:rFonts w:hint="eastAsia"/>
        </w:rPr>
        <w:t xml:space="preserve">预评</w:t>
      </w:r>
      <w:r>
        <w:t xml:space="preserve"> → </w:t>
      </w:r>
      <w:r>
        <w:rPr>
          <w:rFonts w:hint="eastAsia"/>
        </w:rPr>
        <w:t xml:space="preserve">现场核查</w:t>
      </w:r>
      <w:r>
        <w:t xml:space="preserve"> → </w:t>
      </w:r>
      <w:r>
        <w:rPr>
          <w:rFonts w:hint="eastAsia"/>
        </w:rPr>
        <w:t xml:space="preserve">评级结论”四步操作，由具备资质的第三方评价机构（建议由行业协会认定）实施，评价结论有效期为</w:t>
      </w:r>
      <w:r>
        <w:t xml:space="preserve"> 3 </w:t>
      </w:r>
      <w:r>
        <w:rPr>
          <w:rFonts w:hint="eastAsia"/>
        </w:rPr>
        <w:t xml:space="preserve">年。</w:t>
      </w:r>
    </w:p>
    <w:p>
      <w:pPr>
        <w:pStyle w:val="BodyText"/>
      </w:pPr>
      <w:r>
        <w:rPr>
          <w:rFonts w:hint="eastAsia"/>
          <w:b/>
          <w:bCs/>
        </w:rPr>
        <w:t xml:space="preserve">第一步：申报（自评）</w:t>
      </w:r>
    </w:p>
    <w:p>
      <w:pPr>
        <w:pStyle w:val="BodyText"/>
      </w:pPr>
      <w:r>
        <w:rPr>
          <w:rFonts w:hint="eastAsia"/>
        </w:rPr>
        <w:t xml:space="preserve">设计院提交”DIL</w:t>
      </w:r>
      <w:r>
        <w:t xml:space="preserve"> </w:t>
      </w:r>
      <w:r>
        <w:rPr>
          <w:rFonts w:hint="eastAsia"/>
        </w:rPr>
        <w:t xml:space="preserve">自评申报材料”，须包含：近</w:t>
      </w:r>
      <w:r>
        <w:t xml:space="preserve"> 3 </w:t>
      </w:r>
      <w:r>
        <w:rPr>
          <w:rFonts w:hint="eastAsia"/>
        </w:rPr>
        <w:t xml:space="preserve">年内承接的智能化水利工程项目清单（注明每个项目的</w:t>
      </w:r>
      <w:r>
        <w:t xml:space="preserve"> WNAL </w:t>
      </w:r>
      <w:r>
        <w:rPr>
          <w:rFonts w:hint="eastAsia"/>
        </w:rPr>
        <w:t xml:space="preserve">目标与实际达成情况）；设计工具清单（须注明是否具备</w:t>
      </w:r>
      <w:r>
        <w:t xml:space="preserve"> Modelica、Matlab-Simulink、MIKE </w:t>
      </w:r>
      <w:r>
        <w:rPr>
          <w:rFonts w:hint="eastAsia"/>
        </w:rPr>
        <w:t xml:space="preserve">等可执行建模工具及工程师资质）；至少</w:t>
      </w:r>
      <w:r>
        <w:t xml:space="preserve"> 1 </w:t>
      </w:r>
      <w:r>
        <w:rPr>
          <w:rFonts w:hint="eastAsia"/>
        </w:rPr>
        <w:t xml:space="preserve">个代表性项目的</w:t>
      </w:r>
      <w:r>
        <w:t xml:space="preserve"> FMU </w:t>
      </w:r>
      <w:r>
        <w:rPr>
          <w:rFonts w:hint="eastAsia"/>
        </w:rPr>
        <w:t xml:space="preserve">样本（可脱敏处理）。</w:t>
      </w:r>
    </w:p>
    <w:p>
      <w:pPr>
        <w:pStyle w:val="BodyText"/>
      </w:pPr>
      <w:r>
        <w:rPr>
          <w:rFonts w:hint="eastAsia"/>
          <w:b/>
          <w:bCs/>
        </w:rPr>
        <w:t xml:space="preserve">第二步：预评（书面审查）</w:t>
      </w:r>
    </w:p>
    <w:p>
      <w:pPr>
        <w:pStyle w:val="BodyText"/>
      </w:pPr>
      <w:r>
        <w:rPr>
          <w:rFonts w:hint="eastAsia"/>
        </w:rPr>
        <w:t xml:space="preserve">评价机构对申报材料进行书面审查，按照以下计分标准初步评定</w:t>
      </w:r>
      <w:r>
        <w:t xml:space="preserve"> DIL </w:t>
      </w:r>
      <w:r>
        <w:rPr>
          <w:rFonts w:hint="eastAsia"/>
        </w:rPr>
        <w:t xml:space="preserve">候选等级：</w:t>
      </w:r>
    </w:p>
    <w:p>
      <w:pPr>
        <w:pStyle w:val="BodyText"/>
      </w:pPr>
      <w:r>
        <w:rPr>
          <w:rFonts w:hint="eastAsia"/>
          <w:b/>
          <w:bCs/>
        </w:rPr>
        <w:t xml:space="preserve">表</w:t>
      </w:r>
      <w:r>
        <w:rPr>
          <w:b/>
          <w:bCs/>
        </w:rPr>
        <w:t xml:space="preserve"> 11-1 DIL </w:t>
      </w:r>
      <w:r>
        <w:rPr>
          <w:rFonts w:hint="eastAsia"/>
          <w:b/>
          <w:bCs/>
        </w:rPr>
        <w:t xml:space="preserve">书面审查计分标准</w:t>
      </w:r>
    </w:p>
    <w:p>
      <w:pPr>
        <w:pStyle w:val="BodyText"/>
      </w:pPr>
      <w:r>
        <w:rPr>
          <w:rFonts w:hint="eastAsia"/>
          <w:b/>
          <w:bCs/>
        </w:rPr>
        <w:t xml:space="preserve">表11-1</w:t>
      </w:r>
    </w:p>
    <w:tbl>
      <w:tblPr>
        <w:tblStyle w:val="Table"/>
        <w:tblW w:type="pct" w:w="5000"/>
        <w:tblLayout w:type="fixed"/>
        <w:tblLook w:firstRow="1" w:lastRow="0" w:firstColumn="0" w:lastColumn="0" w:noHBand="0" w:noVBand="0" w:val="0020"/>
      </w:tblPr>
      <w:tblGrid>
        <w:gridCol w:w="3046"/>
        <w:gridCol w:w="1827"/>
        <w:gridCol w:w="3046"/>
      </w:tblGrid>
      <w:tr>
        <w:trPr>
          <w:tblHeader w:val="on"/>
        </w:trPr>
        <w:tc>
          <w:tcPr/>
          <w:p>
            <w:pPr>
              <w:pStyle w:val="Compact"/>
            </w:pPr>
            <w:r>
              <w:rPr>
                <w:rFonts w:hint="eastAsia"/>
              </w:rPr>
              <w:t xml:space="preserve">评价维度</w:t>
            </w:r>
          </w:p>
        </w:tc>
        <w:tc>
          <w:tcPr/>
          <w:p>
            <w:pPr>
              <w:pStyle w:val="Compact"/>
            </w:pPr>
            <w:r>
              <w:rPr>
                <w:rFonts w:hint="eastAsia"/>
              </w:rPr>
              <w:t xml:space="preserve">满分</w:t>
            </w:r>
          </w:p>
        </w:tc>
        <w:tc>
          <w:tcPr/>
          <w:p>
            <w:pPr>
              <w:pStyle w:val="Compact"/>
            </w:pPr>
            <w:r>
              <w:rPr>
                <w:rFonts w:hint="eastAsia"/>
              </w:rPr>
              <w:t xml:space="preserve">评分标准</w:t>
            </w:r>
          </w:p>
        </w:tc>
      </w:tr>
      <w:tr>
        <w:tc>
          <w:tcPr/>
          <w:p>
            <w:pPr>
              <w:pStyle w:val="Compact"/>
            </w:pPr>
            <w:r>
              <w:rPr>
                <w:rFonts w:hint="eastAsia"/>
              </w:rPr>
              <w:t xml:space="preserve">建模工具成熟度</w:t>
            </w:r>
          </w:p>
        </w:tc>
        <w:tc>
          <w:tcPr/>
          <w:p>
            <w:pPr>
              <w:pStyle w:val="Compact"/>
            </w:pPr>
            <w:r>
              <w:t xml:space="preserve">20</w:t>
            </w:r>
          </w:p>
        </w:tc>
        <w:tc>
          <w:tcPr/>
          <w:p>
            <w:pPr>
              <w:pStyle w:val="Compact"/>
            </w:pPr>
            <w:r>
              <w:rPr>
                <w:rFonts w:hint="eastAsia"/>
              </w:rPr>
              <w:t xml:space="preserve">有自研工具链</w:t>
            </w:r>
            <w:r>
              <w:t xml:space="preserve"> </w:t>
            </w:r>
            <w:r>
              <w:rPr>
                <w:rFonts w:hint="eastAsia"/>
              </w:rPr>
              <w:t xml:space="preserve">20；使用主流商业工具</w:t>
            </w:r>
            <w:r>
              <w:t xml:space="preserve"> </w:t>
            </w:r>
            <w:r>
              <w:rPr>
                <w:rFonts w:hint="eastAsia"/>
              </w:rPr>
              <w:t xml:space="preserve">15；仅使用</w:t>
            </w:r>
            <w:r>
              <w:t xml:space="preserve"> Excel 5</w:t>
            </w:r>
          </w:p>
        </w:tc>
      </w:tr>
      <w:tr>
        <w:tc>
          <w:tcPr/>
          <w:p>
            <w:pPr>
              <w:pStyle w:val="Compact"/>
            </w:pPr>
            <w:r>
              <w:t xml:space="preserve">MIL </w:t>
            </w:r>
            <w:r>
              <w:rPr>
                <w:rFonts w:hint="eastAsia"/>
              </w:rPr>
              <w:t xml:space="preserve">经验</w:t>
            </w:r>
          </w:p>
        </w:tc>
        <w:tc>
          <w:tcPr/>
          <w:p>
            <w:pPr>
              <w:pStyle w:val="Compact"/>
            </w:pPr>
            <w:r>
              <w:t xml:space="preserve">20</w:t>
            </w:r>
          </w:p>
        </w:tc>
        <w:tc>
          <w:tcPr/>
          <w:p>
            <w:pPr>
              <w:pStyle w:val="Compact"/>
            </w:pPr>
            <w:r>
              <w:rPr>
                <w:rFonts w:hint="eastAsia"/>
              </w:rPr>
              <w:t xml:space="preserve">有独立</w:t>
            </w:r>
            <w:r>
              <w:t xml:space="preserve"> MIL </w:t>
            </w:r>
            <w:r>
              <w:rPr>
                <w:rFonts w:hint="eastAsia"/>
              </w:rPr>
              <w:t xml:space="preserve">报告</w:t>
            </w:r>
            <w:r>
              <w:t xml:space="preserve"> </w:t>
            </w:r>
            <w:r>
              <w:rPr>
                <w:rFonts w:hint="eastAsia"/>
              </w:rPr>
              <w:t xml:space="preserve">20；有内部仿真记录</w:t>
            </w:r>
            <w:r>
              <w:t xml:space="preserve"> </w:t>
            </w:r>
            <w:r>
              <w:rPr>
                <w:rFonts w:hint="eastAsia"/>
              </w:rPr>
              <w:t xml:space="preserve">10；无</w:t>
            </w:r>
            <w:r>
              <w:t xml:space="preserve"> 0</w:t>
            </w:r>
          </w:p>
        </w:tc>
      </w:tr>
      <w:tr>
        <w:tc>
          <w:tcPr/>
          <w:p>
            <w:pPr>
              <w:pStyle w:val="Compact"/>
            </w:pPr>
            <w:r>
              <w:t xml:space="preserve">ODD </w:t>
            </w:r>
            <w:r>
              <w:rPr>
                <w:rFonts w:hint="eastAsia"/>
              </w:rPr>
              <w:t xml:space="preserve">定量化能力</w:t>
            </w:r>
          </w:p>
        </w:tc>
        <w:tc>
          <w:tcPr/>
          <w:p>
            <w:pPr>
              <w:pStyle w:val="Compact"/>
            </w:pPr>
            <w:r>
              <w:t xml:space="preserve">25</w:t>
            </w:r>
          </w:p>
        </w:tc>
        <w:tc>
          <w:tcPr/>
          <w:p>
            <w:pPr>
              <w:pStyle w:val="Compact"/>
            </w:pPr>
            <w:r>
              <w:rPr>
                <w:rFonts w:hint="eastAsia"/>
              </w:rPr>
              <w:t xml:space="preserve">能输出六维量化</w:t>
            </w:r>
            <w:r>
              <w:t xml:space="preserve"> ODD </w:t>
            </w:r>
            <w:r>
              <w:rPr>
                <w:rFonts w:hint="eastAsia"/>
              </w:rPr>
              <w:t xml:space="preserve">25；部分量化</w:t>
            </w:r>
            <w:r>
              <w:t xml:space="preserve"> </w:t>
            </w:r>
            <w:r>
              <w:rPr>
                <w:rFonts w:hint="eastAsia"/>
              </w:rPr>
              <w:t xml:space="preserve">15；仅定性描述</w:t>
            </w:r>
            <w:r>
              <w:t xml:space="preserve"> 5</w:t>
            </w:r>
          </w:p>
        </w:tc>
      </w:tr>
      <w:tr>
        <w:tc>
          <w:tcPr/>
          <w:p>
            <w:pPr>
              <w:pStyle w:val="Compact"/>
            </w:pPr>
            <w:r>
              <w:t xml:space="preserve">SIL/HIL </w:t>
            </w:r>
            <w:r>
              <w:rPr>
                <w:rFonts w:hint="eastAsia"/>
              </w:rPr>
              <w:t xml:space="preserve">参与度</w:t>
            </w:r>
          </w:p>
        </w:tc>
        <w:tc>
          <w:tcPr/>
          <w:p>
            <w:pPr>
              <w:pStyle w:val="Compact"/>
            </w:pPr>
            <w:r>
              <w:t xml:space="preserve">20</w:t>
            </w:r>
          </w:p>
        </w:tc>
        <w:tc>
          <w:tcPr/>
          <w:p>
            <w:pPr>
              <w:pStyle w:val="Compact"/>
            </w:pPr>
            <w:r>
              <w:rPr>
                <w:rFonts w:hint="eastAsia"/>
              </w:rPr>
              <w:t xml:space="preserve">独立完成过</w:t>
            </w:r>
            <w:r>
              <w:t xml:space="preserve"> SIL+HIL </w:t>
            </w:r>
            <w:r>
              <w:rPr>
                <w:rFonts w:hint="eastAsia"/>
              </w:rPr>
              <w:t xml:space="preserve">20；参与过</w:t>
            </w:r>
            <w:r>
              <w:t xml:space="preserve"> </w:t>
            </w:r>
            <w:r>
              <w:rPr>
                <w:rFonts w:hint="eastAsia"/>
              </w:rPr>
              <w:t xml:space="preserve">10；无</w:t>
            </w:r>
            <w:r>
              <w:t xml:space="preserve"> 0</w:t>
            </w:r>
          </w:p>
        </w:tc>
      </w:tr>
      <w:tr>
        <w:tc>
          <w:tcPr/>
          <w:p>
            <w:pPr>
              <w:pStyle w:val="Compact"/>
            </w:pPr>
            <w:r>
              <w:rPr>
                <w:rFonts w:hint="eastAsia"/>
              </w:rPr>
              <w:t xml:space="preserve">代码生成能力</w:t>
            </w:r>
          </w:p>
        </w:tc>
        <w:tc>
          <w:tcPr/>
          <w:p>
            <w:pPr>
              <w:pStyle w:val="Compact"/>
            </w:pPr>
            <w:r>
              <w:t xml:space="preserve">15</w:t>
            </w:r>
          </w:p>
        </w:tc>
        <w:tc>
          <w:tcPr/>
          <w:p>
            <w:pPr>
              <w:pStyle w:val="Compact"/>
            </w:pPr>
            <w:r>
              <w:rPr>
                <w:rFonts w:hint="eastAsia"/>
              </w:rPr>
              <w:t xml:space="preserve">有自动代码生成工具链</w:t>
            </w:r>
            <w:r>
              <w:t xml:space="preserve"> </w:t>
            </w:r>
            <w:r>
              <w:rPr>
                <w:rFonts w:hint="eastAsia"/>
              </w:rPr>
              <w:t xml:space="preserve">15；手动对应</w:t>
            </w:r>
            <w:r>
              <w:t xml:space="preserve"> </w:t>
            </w:r>
            <w:r>
              <w:rPr>
                <w:rFonts w:hint="eastAsia"/>
              </w:rPr>
              <w:t xml:space="preserve">8；无</w:t>
            </w:r>
            <w:r>
              <w:t xml:space="preserve"> 0</w:t>
            </w:r>
          </w:p>
        </w:tc>
      </w:tr>
    </w:tbl>
    <w:p>
      <w:pPr>
        <w:pStyle w:val="BodyText"/>
      </w:pPr>
      <w:r>
        <w:rPr>
          <w:rFonts w:hint="eastAsia"/>
        </w:rPr>
        <w:t xml:space="preserve">书面审查得分</w:t>
      </w:r>
      <w:r>
        <w:t xml:space="preserve"> </w:t>
      </w:r>
      <m:oMath>
        <m:r>
          <m:rPr>
            <m:sty m:val="p"/>
          </m:rPr>
          <m:t>≥</m:t>
        </m:r>
        <m:r>
          <m:t>80</m:t>
        </m:r>
      </m:oMath>
      <w:r>
        <w:t xml:space="preserve"> </w:t>
      </w:r>
      <w:r>
        <w:rPr>
          <w:rFonts w:hint="eastAsia"/>
        </w:rPr>
        <w:t xml:space="preserve">分进入现场核查，得分</w:t>
      </w:r>
      <w:r>
        <w:t xml:space="preserve"> </w:t>
      </w:r>
      <m:oMath>
        <m:r>
          <m:t>60</m:t>
        </m:r>
        <m:r>
          <m:rPr>
            <m:sty m:val="p"/>
          </m:rPr>
          <m:t>∼</m:t>
        </m:r>
        <m:r>
          <m:t>79</m:t>
        </m:r>
      </m:oMath>
      <w:r>
        <w:t xml:space="preserve"> </w:t>
      </w:r>
      <w:r>
        <w:rPr>
          <w:rFonts w:hint="eastAsia"/>
        </w:rPr>
        <w:t xml:space="preserve">为”有条件申报”，</w:t>
      </w:r>
      <m:oMath>
        <m:r>
          <m:rPr>
            <m:sty m:val="p"/>
          </m:rPr>
          <m:t>&lt;</m:t>
        </m:r>
        <m:r>
          <m:t>60</m:t>
        </m:r>
      </m:oMath>
      <w:r>
        <w:t xml:space="preserve"> </w:t>
      </w:r>
      <w:r>
        <w:rPr>
          <w:rFonts w:hint="eastAsia"/>
        </w:rPr>
        <w:t xml:space="preserve">分退回申报。</w:t>
      </w:r>
    </w:p>
    <w:p>
      <w:pPr>
        <w:pStyle w:val="BodyText"/>
      </w:pPr>
      <w:r>
        <w:rPr>
          <w:rFonts w:hint="eastAsia"/>
          <w:b/>
          <w:bCs/>
        </w:rPr>
        <w:t xml:space="preserve">第三步：现场核查</w:t>
      </w:r>
    </w:p>
    <w:p>
      <w:pPr>
        <w:pStyle w:val="BodyText"/>
      </w:pPr>
      <w:r>
        <w:rPr>
          <w:rFonts w:hint="eastAsia"/>
        </w:rPr>
        <w:t xml:space="preserve">评价机构专家组（水利工程专家</w:t>
      </w:r>
      <w:r>
        <w:t xml:space="preserve"> 1 </w:t>
      </w:r>
      <w:r>
        <w:rPr>
          <w:rFonts w:hint="eastAsia"/>
        </w:rPr>
        <w:t xml:space="preserve">人</w:t>
      </w:r>
      <w:r>
        <w:t xml:space="preserve"> + </w:t>
      </w:r>
      <w:r>
        <w:rPr>
          <w:rFonts w:hint="eastAsia"/>
        </w:rPr>
        <w:t xml:space="preserve">控制系统专家</w:t>
      </w:r>
      <w:r>
        <w:t xml:space="preserve"> 1 </w:t>
      </w:r>
      <w:r>
        <w:rPr>
          <w:rFonts w:hint="eastAsia"/>
        </w:rPr>
        <w:t xml:space="preserve">人</w:t>
      </w:r>
      <w:r>
        <w:t xml:space="preserve"> + </w:t>
      </w:r>
      <w:r>
        <w:rPr>
          <w:rFonts w:hint="eastAsia"/>
        </w:rPr>
        <w:t xml:space="preserve">信息安全专家</w:t>
      </w:r>
      <w:r>
        <w:t xml:space="preserve"> 1 </w:t>
      </w:r>
      <w:r>
        <w:rPr>
          <w:rFonts w:hint="eastAsia"/>
        </w:rPr>
        <w:t xml:space="preserve">人）赴设计院开展</w:t>
      </w:r>
      <w:r>
        <w:t xml:space="preserve"> </w:t>
      </w:r>
      <m:oMath>
        <m:r>
          <m:t>1</m:t>
        </m:r>
        <m:r>
          <m:rPr>
            <m:sty m:val="p"/>
          </m:rPr>
          <m:t>∼</m:t>
        </m:r>
        <m:r>
          <m:t>2</m:t>
        </m:r>
      </m:oMath>
      <w:r>
        <w:t xml:space="preserve"> </w:t>
      </w:r>
      <w:r>
        <w:rPr>
          <w:rFonts w:hint="eastAsia"/>
        </w:rPr>
        <w:t xml:space="preserve">天现场核查，重点核查内容包括：随机抽取</w:t>
      </w:r>
      <w:r>
        <w:t xml:space="preserve"> 1 </w:t>
      </w:r>
      <w:r>
        <w:rPr>
          <w:rFonts w:hint="eastAsia"/>
        </w:rPr>
        <w:t xml:space="preserve">个项目的</w:t>
      </w:r>
      <w:r>
        <w:t xml:space="preserve"> FMU </w:t>
      </w:r>
      <w:r>
        <w:rPr>
          <w:rFonts w:hint="eastAsia"/>
        </w:rPr>
        <w:t xml:space="preserve">文件，在标准平台上独立加载并运行，检验其是否符合</w:t>
      </w:r>
      <w:r>
        <w:t xml:space="preserve"> FMI 2.0 </w:t>
      </w:r>
      <w:r>
        <w:rPr>
          <w:rFonts w:hint="eastAsia"/>
        </w:rPr>
        <w:t xml:space="preserve">规范；要求设计院工程师现场演示”从物理参数标定到</w:t>
      </w:r>
      <w:r>
        <w:t xml:space="preserve"> ODD </w:t>
      </w:r>
      <w:r>
        <w:rPr>
          <w:rFonts w:hint="eastAsia"/>
        </w:rPr>
        <w:t xml:space="preserve">边界量化”的完整操作流程，评估操作熟练度；核查是否具备工程级质量管理体系（如设计模型的版本管理规范、模型移交归档制度）。</w:t>
      </w:r>
    </w:p>
    <w:p>
      <w:pPr>
        <w:pStyle w:val="BodyText"/>
      </w:pPr>
      <w:r>
        <w:rPr>
          <w:rFonts w:hint="eastAsia"/>
          <w:b/>
          <w:bCs/>
        </w:rPr>
        <w:t xml:space="preserve">第四步：评级结论</w:t>
      </w:r>
    </w:p>
    <w:p>
      <w:pPr>
        <w:pStyle w:val="BodyText"/>
      </w:pPr>
      <w:r>
        <w:rPr>
          <w:rFonts w:hint="eastAsia"/>
        </w:rPr>
        <w:t xml:space="preserve">综合书面审查分与现场核查意见，由评价机构出具</w:t>
      </w:r>
      <w:r>
        <w:t xml:space="preserve"> DIL </w:t>
      </w:r>
      <w:r>
        <w:rPr>
          <w:rFonts w:hint="eastAsia"/>
        </w:rPr>
        <w:t xml:space="preserve">等级证书。证书注明：有效期（3</w:t>
      </w:r>
      <w:r>
        <w:t xml:space="preserve"> </w:t>
      </w:r>
      <w:r>
        <w:rPr>
          <w:rFonts w:hint="eastAsia"/>
        </w:rPr>
        <w:t xml:space="preserve">年）、适用范围（项目类型、规模上限）以及下次评价建议时间。评级结论作为招标资格预审的法定依据。</w:t>
      </w:r>
    </w:p>
    <w:p>
      <w:r>
        <w:pict>
          <v:rect style="width:0;height:1.5pt" o:hralign="center" o:hrstd="t" o:hr="t"/>
        </w:pict>
      </w:r>
    </w:p>
    <w:bookmarkEnd w:id="15"/>
    <w:bookmarkEnd w:id="16"/>
    <w:bookmarkStart w:id="20" w:name="招标文件技术规格书核心条款模板"/>
    <w:p>
      <w:pPr>
        <w:pStyle w:val="Heading2"/>
      </w:pPr>
      <w:r>
        <w:t xml:space="preserve">11.3 </w:t>
      </w:r>
      <w:r>
        <w:rPr>
          <w:rFonts w:hint="eastAsia"/>
        </w:rPr>
        <w:t xml:space="preserve">招标文件技术规格书：核心条款模板</w:t>
      </w:r>
    </w:p>
    <w:p>
      <w:pPr>
        <w:pStyle w:val="FirstParagraph"/>
      </w:pPr>
      <w:r>
        <w:rPr>
          <w:rFonts w:hint="eastAsia"/>
        </w:rPr>
        <w:t xml:space="preserve">在上述范式转移的背景下，建设单位（业主方）的招标文件必须从”向软件商买功能”转变为”</w:t>
      </w:r>
      <w:r>
        <w:rPr>
          <w:rFonts w:hint="eastAsia"/>
          <w:b/>
          <w:bCs/>
        </w:rPr>
        <w:t xml:space="preserve">向设计院买可计算模型，向集成商买硬件映射与在环证明</w:t>
      </w:r>
      <w:r>
        <w:rPr>
          <w:rFonts w:hint="eastAsia"/>
        </w:rPr>
        <w:t xml:space="preserve">”。招标文件技术规格书的核心条款须包含以下强制内容。</w:t>
      </w:r>
    </w:p>
    <w:bookmarkStart w:id="17" w:name="wnal-目标声明与-odd-数学边界交付条款"/>
    <w:p>
      <w:pPr>
        <w:pStyle w:val="Heading3"/>
      </w:pPr>
      <w:r>
        <w:t xml:space="preserve">11.3.1 WNAL </w:t>
      </w:r>
      <w:r>
        <w:rPr>
          <w:rFonts w:hint="eastAsia"/>
        </w:rPr>
        <w:t xml:space="preserve">目标声明与</w:t>
      </w:r>
      <w:r>
        <w:t xml:space="preserve"> ODD </w:t>
      </w:r>
      <w:r>
        <w:rPr>
          <w:rFonts w:hint="eastAsia"/>
        </w:rPr>
        <w:t xml:space="preserve">数学边界交付条款</w:t>
      </w:r>
    </w:p>
    <w:p>
      <w:pPr>
        <w:pStyle w:val="FirstParagraph"/>
      </w:pPr>
      <w:r>
        <w:rPr>
          <w:rFonts w:hint="eastAsia"/>
        </w:rPr>
        <w:t xml:space="preserve">【技术规格书第</w:t>
      </w:r>
      <w:r>
        <w:t xml:space="preserve"> X.1 </w:t>
      </w:r>
      <w:r>
        <w:rPr>
          <w:rFonts w:hint="eastAsia"/>
        </w:rPr>
        <w:t xml:space="preserve">条——针对设计院】</w:t>
      </w:r>
    </w:p>
    <w:p>
      <w:pPr>
        <w:pStyle w:val="BodyText"/>
      </w:pPr>
      <w:r>
        <w:rPr>
          <w:rFonts w:hint="eastAsia"/>
        </w:rPr>
        <w:t xml:space="preserve">投标方案必须明确声明本工程建成后预期达到的</w:t>
      </w:r>
      <w:r>
        <w:rPr>
          <w:rFonts w:hint="eastAsia"/>
          <w:b/>
          <w:bCs/>
        </w:rPr>
        <w:t xml:space="preserve">水网自主运行等级（WNAL）</w:t>
      </w:r>
      <w:r>
        <w:rPr>
          <w:rFonts w:hint="eastAsia"/>
        </w:rPr>
        <w:t xml:space="preserve">，并提供达成该等级的技术路径说明。</w:t>
      </w:r>
    </w:p>
    <w:p>
      <w:pPr>
        <w:pStyle w:val="BodyText"/>
      </w:pPr>
      <w:r>
        <w:rPr>
          <w:rFonts w:hint="eastAsia"/>
        </w:rPr>
        <w:t xml:space="preserve">设计院必须在技术方案中提交</w:t>
      </w:r>
      <w:r>
        <w:rPr>
          <w:rFonts w:hint="eastAsia"/>
          <w:b/>
          <w:bCs/>
        </w:rPr>
        <w:t xml:space="preserve">运行设计域（ODD）数学约束白皮书</w:t>
      </w:r>
      <w:r>
        <w:rPr>
          <w:rFonts w:hint="eastAsia"/>
        </w:rPr>
        <w:t xml:space="preserve">，白皮书须以六维参数矩阵形式明确界定算法能够有效生效的边界范围，如表</w:t>
      </w:r>
      <w:r>
        <w:t xml:space="preserve"> 11-2 </w:t>
      </w:r>
      <w:r>
        <w:rPr>
          <w:rFonts w:hint="eastAsia"/>
        </w:rPr>
        <w:t xml:space="preserve">所示（以明渠调水为例）：</w:t>
      </w:r>
    </w:p>
    <w:p>
      <w:pPr>
        <w:pStyle w:val="BodyText"/>
      </w:pPr>
      <w:r>
        <w:rPr>
          <w:rFonts w:hint="eastAsia"/>
          <w:b/>
          <w:bCs/>
        </w:rPr>
        <w:t xml:space="preserve">表</w:t>
      </w:r>
      <w:r>
        <w:rPr>
          <w:b/>
          <w:bCs/>
        </w:rPr>
        <w:t xml:space="preserve"> 11-2 ODD </w:t>
      </w:r>
      <w:r>
        <w:rPr>
          <w:rFonts w:hint="eastAsia"/>
          <w:b/>
          <w:bCs/>
        </w:rPr>
        <w:t xml:space="preserve">六维参数矩阵示例（明渠调水工程）</w:t>
      </w:r>
    </w:p>
    <w:p>
      <w:pPr>
        <w:pStyle w:val="BodyText"/>
      </w:pPr>
      <w:r>
        <w:rPr>
          <w:rFonts w:hint="eastAsia"/>
          <w:b/>
          <w:bCs/>
        </w:rPr>
        <w:t xml:space="preserve">表11-2</w:t>
      </w:r>
    </w:p>
    <w:tbl>
      <w:tblPr>
        <w:tblStyle w:val="Table"/>
        <w:tblW w:type="pct" w:w="5000"/>
        <w:tblLayout w:type="fixed"/>
        <w:tblLook w:firstRow="1" w:lastRow="0" w:firstColumn="0" w:lastColumn="0" w:noHBand="0" w:noVBand="0" w:val="0020"/>
      </w:tblPr>
      <w:tblGrid>
        <w:gridCol w:w="969"/>
        <w:gridCol w:w="1293"/>
        <w:gridCol w:w="2101"/>
        <w:gridCol w:w="2101"/>
        <w:gridCol w:w="1454"/>
      </w:tblGrid>
      <w:tr>
        <w:trPr>
          <w:tblHeader w:val="on"/>
        </w:trPr>
        <w:tc>
          <w:tcPr/>
          <w:p>
            <w:pPr>
              <w:pStyle w:val="Compact"/>
            </w:pPr>
            <w:r>
              <w:rPr>
                <w:rFonts w:hint="eastAsia"/>
              </w:rPr>
              <w:t xml:space="preserve">维度</w:t>
            </w:r>
          </w:p>
        </w:tc>
        <w:tc>
          <w:tcPr/>
          <w:p>
            <w:pPr>
              <w:pStyle w:val="Compact"/>
            </w:pPr>
            <w:r>
              <w:rPr>
                <w:rFonts w:hint="eastAsia"/>
              </w:rPr>
              <w:t xml:space="preserve">参数项</w:t>
            </w:r>
          </w:p>
        </w:tc>
        <w:tc>
          <w:tcPr/>
          <w:p>
            <w:pPr>
              <w:pStyle w:val="Compact"/>
            </w:pPr>
            <w:r>
              <w:rPr>
                <w:rFonts w:hint="eastAsia"/>
              </w:rPr>
              <w:t xml:space="preserve">正常运行范围</w:t>
            </w:r>
          </w:p>
        </w:tc>
        <w:tc>
          <w:tcPr/>
          <w:p>
            <w:pPr>
              <w:pStyle w:val="Compact"/>
            </w:pPr>
            <w:r>
              <w:rPr>
                <w:rFonts w:hint="eastAsia"/>
              </w:rPr>
              <w:t xml:space="preserve">一级告警阈值</w:t>
            </w:r>
          </w:p>
        </w:tc>
        <w:tc>
          <w:tcPr/>
          <w:p>
            <w:pPr>
              <w:pStyle w:val="Compact"/>
            </w:pPr>
            <w:r>
              <w:rPr>
                <w:rFonts w:hint="eastAsia"/>
              </w:rPr>
              <w:t xml:space="preserve">硬停阈值</w:t>
            </w:r>
          </w:p>
        </w:tc>
      </w:tr>
      <w:tr>
        <w:tc>
          <w:tcPr/>
          <w:p>
            <w:pPr>
              <w:pStyle w:val="Compact"/>
            </w:pPr>
            <w:r>
              <w:rPr>
                <w:rFonts w:hint="eastAsia"/>
              </w:rPr>
              <w:t xml:space="preserve">水文</w:t>
            </w:r>
          </w:p>
        </w:tc>
        <w:tc>
          <w:tcPr/>
          <w:p>
            <w:pPr>
              <w:pStyle w:val="Compact"/>
            </w:pPr>
            <w:r>
              <w:rPr>
                <w:rFonts w:hint="eastAsia"/>
              </w:rPr>
              <w:t xml:space="preserve">渠道水位偏差</w:t>
            </w:r>
          </w:p>
        </w:tc>
        <w:tc>
          <w:tcPr/>
          <w:p>
            <w:pPr>
              <w:pStyle w:val="Compact"/>
            </w:pPr>
            <m:oMath>
              <m:r>
                <m:rPr>
                  <m:sty m:val="p"/>
                </m:rPr>
                <m:t>±</m:t>
              </m:r>
              <m:r>
                <m:t>0.20</m:t>
              </m:r>
            </m:oMath>
            <w:r>
              <w:t xml:space="preserve"> </w:t>
            </w:r>
            <w:r>
              <w:t xml:space="preserve">m</w:t>
            </w:r>
          </w:p>
        </w:tc>
        <w:tc>
          <w:tcPr/>
          <w:p>
            <w:pPr>
              <w:pStyle w:val="Compact"/>
            </w:pPr>
            <m:oMath>
              <m:r>
                <m:rPr>
                  <m:sty m:val="p"/>
                </m:rPr>
                <m:t>±</m:t>
              </m:r>
              <m:r>
                <m:t>0.35</m:t>
              </m:r>
            </m:oMath>
            <w:r>
              <w:t xml:space="preserve"> </w:t>
            </w:r>
            <w:r>
              <w:t xml:space="preserve">m</w:t>
            </w:r>
          </w:p>
        </w:tc>
        <w:tc>
          <w:tcPr/>
          <w:p>
            <w:pPr>
              <w:pStyle w:val="Compact"/>
            </w:pPr>
            <m:oMath>
              <m:r>
                <m:rPr>
                  <m:sty m:val="p"/>
                </m:rPr>
                <m:t>±</m:t>
              </m:r>
              <m:r>
                <m:t>0.50</m:t>
              </m:r>
            </m:oMath>
            <w:r>
              <w:t xml:space="preserve"> </w:t>
            </w:r>
            <w:r>
              <w:t xml:space="preserve">m</w:t>
            </w:r>
          </w:p>
        </w:tc>
      </w:tr>
      <w:tr>
        <w:tc>
          <w:tcPr/>
          <w:p>
            <w:pPr>
              <w:pStyle w:val="Compact"/>
            </w:pPr>
            <w:r>
              <w:rPr>
                <w:rFonts w:hint="eastAsia"/>
              </w:rPr>
              <w:t xml:space="preserve">水文</w:t>
            </w:r>
          </w:p>
        </w:tc>
        <w:tc>
          <w:tcPr/>
          <w:p>
            <w:pPr>
              <w:pStyle w:val="Compact"/>
            </w:pPr>
            <w:r>
              <w:rPr>
                <w:rFonts w:hint="eastAsia"/>
              </w:rPr>
              <w:t xml:space="preserve">渠首入流量偏差</w:t>
            </w:r>
          </w:p>
        </w:tc>
        <w:tc>
          <w:tcPr/>
          <w:p>
            <w:pPr>
              <w:pStyle w:val="Compact"/>
            </w:pPr>
            <m:oMath>
              <m:r>
                <m:rPr>
                  <m:sty m:val="p"/>
                </m:rPr>
                <m:t>±</m:t>
              </m:r>
              <m:r>
                <m:t>15</m:t>
              </m:r>
              <m:r>
                <m:rPr>
                  <m:sty m:val="p"/>
                </m:rPr>
                <m:t>%</m:t>
              </m:r>
            </m:oMath>
          </w:p>
        </w:tc>
        <w:tc>
          <w:tcPr/>
          <w:p>
            <w:pPr>
              <w:pStyle w:val="Compact"/>
            </w:pPr>
            <m:oMath>
              <m:r>
                <m:rPr>
                  <m:sty m:val="p"/>
                </m:rPr>
                <m:t>±</m:t>
              </m:r>
              <m:r>
                <m:t>25</m:t>
              </m:r>
              <m:r>
                <m:rPr>
                  <m:sty m:val="p"/>
                </m:rPr>
                <m:t>%</m:t>
              </m:r>
            </m:oMath>
          </w:p>
        </w:tc>
        <w:tc>
          <w:tcPr/>
          <w:p>
            <w:pPr>
              <w:pStyle w:val="Compact"/>
            </w:pPr>
            <m:oMath>
              <m:r>
                <m:rPr>
                  <m:sty m:val="p"/>
                </m:rPr>
                <m:t>±</m:t>
              </m:r>
              <m:r>
                <m:t>35</m:t>
              </m:r>
              <m:r>
                <m:rPr>
                  <m:sty m:val="p"/>
                </m:rPr>
                <m:t>%</m:t>
              </m:r>
            </m:oMath>
          </w:p>
        </w:tc>
      </w:tr>
      <w:tr>
        <w:tc>
          <w:tcPr/>
          <w:p>
            <w:pPr>
              <w:pStyle w:val="Compact"/>
            </w:pPr>
            <w:r>
              <w:rPr>
                <w:rFonts w:hint="eastAsia"/>
              </w:rPr>
              <w:t xml:space="preserve">设备</w:t>
            </w:r>
          </w:p>
        </w:tc>
        <w:tc>
          <w:tcPr/>
          <w:p>
            <w:pPr>
              <w:pStyle w:val="Compact"/>
            </w:pPr>
            <w:r>
              <w:rPr>
                <w:rFonts w:hint="eastAsia"/>
              </w:rPr>
              <w:t xml:space="preserve">闸门响应延迟</w:t>
            </w:r>
          </w:p>
        </w:tc>
        <w:tc>
          <w:tcPr/>
          <w:p>
            <w:pPr>
              <w:pStyle w:val="Compact"/>
            </w:pPr>
            <m:oMath>
              <m:r>
                <m:rPr>
                  <m:sty m:val="p"/>
                </m:rPr>
                <m:t>≤</m:t>
              </m:r>
              <m:r>
                <m:t>3</m:t>
              </m:r>
            </m:oMath>
            <w:r>
              <w:t xml:space="preserve"> </w:t>
            </w:r>
            <w:r>
              <w:t xml:space="preserve">s</w:t>
            </w:r>
          </w:p>
        </w:tc>
        <w:tc>
          <w:tcPr/>
          <w:p>
            <w:pPr>
              <w:pStyle w:val="Compact"/>
            </w:pPr>
            <m:oMath>
              <m:r>
                <m:t>3</m:t>
              </m:r>
              <m:r>
                <m:rPr>
                  <m:sty m:val="p"/>
                </m:rPr>
                <m:t>∼</m:t>
              </m:r>
              <m:r>
                <m:t>8</m:t>
              </m:r>
            </m:oMath>
            <w:r>
              <w:t xml:space="preserve"> </w:t>
            </w:r>
            <w:r>
              <w:t xml:space="preserve">s</w:t>
            </w:r>
          </w:p>
        </w:tc>
        <w:tc>
          <w:tcPr/>
          <w:p>
            <w:pPr>
              <w:pStyle w:val="Compact"/>
            </w:pPr>
            <m:oMath>
              <m:r>
                <m:rPr>
                  <m:sty m:val="p"/>
                </m:rPr>
                <m:t>&gt;</m:t>
              </m:r>
              <m:r>
                <m:t>8</m:t>
              </m:r>
            </m:oMath>
            <w:r>
              <w:t xml:space="preserve"> </w:t>
            </w:r>
            <w:r>
              <w:t xml:space="preserve">s</w:t>
            </w:r>
          </w:p>
        </w:tc>
      </w:tr>
      <w:tr>
        <w:tc>
          <w:tcPr/>
          <w:p>
            <w:pPr>
              <w:pStyle w:val="Compact"/>
            </w:pPr>
            <w:r>
              <w:rPr>
                <w:rFonts w:hint="eastAsia"/>
              </w:rPr>
              <w:t xml:space="preserve">设备</w:t>
            </w:r>
          </w:p>
        </w:tc>
        <w:tc>
          <w:tcPr/>
          <w:p>
            <w:pPr>
              <w:pStyle w:val="Compact"/>
            </w:pPr>
            <w:r>
              <w:rPr>
                <w:rFonts w:hint="eastAsia"/>
              </w:rPr>
              <w:t xml:space="preserve">传感器精度</w:t>
            </w:r>
          </w:p>
        </w:tc>
        <w:tc>
          <w:tcPr/>
          <w:p>
            <w:pPr>
              <w:pStyle w:val="Compact"/>
            </w:pPr>
            <m:oMath>
              <m:r>
                <m:rPr>
                  <m:sty m:val="p"/>
                </m:rPr>
                <m:t>&lt;</m:t>
              </m:r>
              <m:r>
                <m:t>1</m:t>
              </m:r>
              <m:r>
                <m:rPr>
                  <m:sty m:val="p"/>
                </m:rPr>
                <m:t>%</m:t>
              </m:r>
            </m:oMath>
            <w:r>
              <w:t xml:space="preserve"> </w:t>
            </w:r>
            <w:r>
              <w:t xml:space="preserve">FS</w:t>
            </w:r>
          </w:p>
        </w:tc>
        <w:tc>
          <w:tcPr/>
          <w:p>
            <w:pPr>
              <w:pStyle w:val="Compact"/>
            </w:pPr>
            <m:oMath>
              <m:r>
                <m:t>1</m:t>
              </m:r>
              <m:r>
                <m:rPr>
                  <m:sty m:val="p"/>
                </m:rPr>
                <m:t>%</m:t>
              </m:r>
              <m:r>
                <m:rPr>
                  <m:sty m:val="p"/>
                </m:rPr>
                <m:t>∼</m:t>
              </m:r>
              <m:r>
                <m:t>3</m:t>
              </m:r>
              <m:r>
                <m:rPr>
                  <m:sty m:val="p"/>
                </m:rPr>
                <m:t>%</m:t>
              </m:r>
            </m:oMath>
            <w:r>
              <w:t xml:space="preserve"> </w:t>
            </w:r>
            <w:r>
              <w:t xml:space="preserve">FS</w:t>
            </w:r>
          </w:p>
        </w:tc>
        <w:tc>
          <w:tcPr/>
          <w:p>
            <w:pPr>
              <w:pStyle w:val="Compact"/>
            </w:pPr>
            <m:oMath>
              <m:r>
                <m:rPr>
                  <m:sty m:val="p"/>
                </m:rPr>
                <m:t>&gt;</m:t>
              </m:r>
              <m:r>
                <m:t>3</m:t>
              </m:r>
              <m:r>
                <m:rPr>
                  <m:sty m:val="p"/>
                </m:rPr>
                <m:t>%</m:t>
              </m:r>
            </m:oMath>
            <w:r>
              <w:t xml:space="preserve"> </w:t>
            </w:r>
            <w:r>
              <w:t xml:space="preserve">FS</w:t>
            </w:r>
          </w:p>
        </w:tc>
      </w:tr>
      <w:tr>
        <w:tc>
          <w:tcPr/>
          <w:p>
            <w:pPr>
              <w:pStyle w:val="Compact"/>
            </w:pPr>
            <w:r>
              <w:rPr>
                <w:rFonts w:hint="eastAsia"/>
              </w:rPr>
              <w:t xml:space="preserve">环境</w:t>
            </w:r>
          </w:p>
        </w:tc>
        <w:tc>
          <w:tcPr/>
          <w:p>
            <w:pPr>
              <w:pStyle w:val="Compact"/>
            </w:pPr>
            <w:r>
              <w:rPr>
                <w:rFonts w:hint="eastAsia"/>
              </w:rPr>
              <w:t xml:space="preserve">环境温度（电气）</w:t>
            </w:r>
          </w:p>
        </w:tc>
        <w:tc>
          <w:tcPr/>
          <w:p>
            <w:pPr>
              <w:pStyle w:val="Compact"/>
            </w:pPr>
            <m:oMath>
              <m:r>
                <m:rPr>
                  <m:sty m:val="p"/>
                </m:rPr>
                <m:t>−</m:t>
              </m:r>
              <m:r>
                <m:t>10</m:t>
              </m:r>
              <m:r>
                <m:rPr>
                  <m:sty m:val="p"/>
                </m:rPr>
                <m:t>∼</m:t>
              </m:r>
              <m:r>
                <m:t>50</m:t>
              </m:r>
            </m:oMath>
            <w:r>
              <w:t xml:space="preserve"> </w:t>
            </w:r>
            <w:r>
              <w:t xml:space="preserve">°C</w:t>
            </w:r>
          </w:p>
        </w:tc>
        <w:tc>
          <w:tcPr/>
          <w:p>
            <w:pPr>
              <w:pStyle w:val="Compact"/>
            </w:pPr>
            <m:oMath>
              <m:r>
                <m:rPr>
                  <m:sty m:val="p"/>
                </m:rPr>
                <m:t>−</m:t>
              </m:r>
              <m:r>
                <m:t>15</m:t>
              </m:r>
              <m:r>
                <m:rPr>
                  <m:sty m:val="p"/>
                </m:rPr>
                <m:t>∼</m:t>
              </m:r>
              <m:r>
                <m:t>55</m:t>
              </m:r>
            </m:oMath>
            <w:r>
              <w:t xml:space="preserve"> </w:t>
            </w:r>
            <w:r>
              <w:t xml:space="preserve">°C</w:t>
            </w:r>
          </w:p>
        </w:tc>
        <w:tc>
          <w:tcPr/>
          <w:p>
            <w:pPr>
              <w:pStyle w:val="Compact"/>
            </w:pPr>
            <w:r>
              <w:rPr>
                <w:rFonts w:hint="eastAsia"/>
              </w:rPr>
              <w:t xml:space="preserve">超出范围</w:t>
            </w:r>
          </w:p>
        </w:tc>
      </w:tr>
      <w:tr>
        <w:tc>
          <w:tcPr/>
          <w:p>
            <w:pPr>
              <w:pStyle w:val="Compact"/>
            </w:pPr>
            <w:r>
              <w:rPr>
                <w:rFonts w:hint="eastAsia"/>
              </w:rPr>
              <w:t xml:space="preserve">网络</w:t>
            </w:r>
          </w:p>
        </w:tc>
        <w:tc>
          <w:tcPr/>
          <w:p>
            <w:pPr>
              <w:pStyle w:val="Compact"/>
            </w:pPr>
            <w:r>
              <w:rPr>
                <w:rFonts w:hint="eastAsia"/>
              </w:rPr>
              <w:t xml:space="preserve">通信延迟</w:t>
            </w:r>
          </w:p>
        </w:tc>
        <w:tc>
          <w:tcPr/>
          <w:p>
            <w:pPr>
              <w:pStyle w:val="Compact"/>
            </w:pPr>
            <m:oMath>
              <m:r>
                <m:rPr>
                  <m:sty m:val="p"/>
                </m:rPr>
                <m:t>&lt;</m:t>
              </m:r>
              <m:r>
                <m:t>50</m:t>
              </m:r>
            </m:oMath>
            <w:r>
              <w:t xml:space="preserve"> </w:t>
            </w:r>
            <w:r>
              <w:t xml:space="preserve">ms</w:t>
            </w:r>
          </w:p>
        </w:tc>
        <w:tc>
          <w:tcPr/>
          <w:p>
            <w:pPr>
              <w:pStyle w:val="Compact"/>
            </w:pPr>
            <m:oMath>
              <m:r>
                <m:t>50</m:t>
              </m:r>
              <m:r>
                <m:rPr>
                  <m:sty m:val="p"/>
                </m:rPr>
                <m:t>∼</m:t>
              </m:r>
              <m:r>
                <m:t>200</m:t>
              </m:r>
            </m:oMath>
            <w:r>
              <w:t xml:space="preserve"> </w:t>
            </w:r>
            <w:r>
              <w:t xml:space="preserve">ms</w:t>
            </w:r>
          </w:p>
        </w:tc>
        <w:tc>
          <w:tcPr/>
          <w:p>
            <w:pPr>
              <w:pStyle w:val="Compact"/>
            </w:pPr>
            <m:oMath>
              <m:r>
                <m:rPr>
                  <m:sty m:val="p"/>
                </m:rPr>
                <m:t>&gt;</m:t>
              </m:r>
              <m:r>
                <m:t>200</m:t>
              </m:r>
            </m:oMath>
            <w:r>
              <w:t xml:space="preserve"> </w:t>
            </w:r>
            <w:r>
              <w:t xml:space="preserve">ms</w:t>
            </w:r>
          </w:p>
        </w:tc>
      </w:tr>
      <w:tr>
        <w:tc>
          <w:tcPr/>
          <w:p>
            <w:pPr>
              <w:pStyle w:val="Compact"/>
            </w:pPr>
            <w:r>
              <w:rPr>
                <w:rFonts w:hint="eastAsia"/>
              </w:rPr>
              <w:t xml:space="preserve">治理</w:t>
            </w:r>
          </w:p>
        </w:tc>
        <w:tc>
          <w:tcPr/>
          <w:p>
            <w:pPr>
              <w:pStyle w:val="Compact"/>
            </w:pPr>
            <w:r>
              <w:rPr>
                <w:rFonts w:hint="eastAsia"/>
              </w:rPr>
              <w:t xml:space="preserve">调度员响应时间</w:t>
            </w:r>
          </w:p>
        </w:tc>
        <w:tc>
          <w:tcPr/>
          <w:p>
            <w:pPr>
              <w:pStyle w:val="Compact"/>
            </w:pPr>
            <m:oMath>
              <m:r>
                <m:rPr>
                  <m:sty m:val="p"/>
                </m:rPr>
                <m:t>&lt;</m:t>
              </m:r>
              <m:r>
                <m:t>5</m:t>
              </m:r>
            </m:oMath>
            <w:r>
              <w:t xml:space="preserve"> </w:t>
            </w:r>
            <w:r>
              <w:t xml:space="preserve">min</w:t>
            </w:r>
          </w:p>
        </w:tc>
        <w:tc>
          <w:tcPr/>
          <w:p>
            <w:pPr>
              <w:pStyle w:val="Compact"/>
            </w:pPr>
            <m:oMath>
              <m:r>
                <m:t>5</m:t>
              </m:r>
              <m:r>
                <m:rPr>
                  <m:sty m:val="p"/>
                </m:rPr>
                <m:t>∼</m:t>
              </m:r>
              <m:r>
                <m:t>15</m:t>
              </m:r>
            </m:oMath>
            <w:r>
              <w:t xml:space="preserve"> </w:t>
            </w:r>
            <w:r>
              <w:t xml:space="preserve">min</w:t>
            </w:r>
          </w:p>
        </w:tc>
        <w:tc>
          <w:tcPr/>
          <w:p>
            <w:pPr>
              <w:pStyle w:val="Compact"/>
            </w:pPr>
            <m:oMath>
              <m:r>
                <m:rPr>
                  <m:sty m:val="p"/>
                </m:rPr>
                <m:t>&gt;</m:t>
              </m:r>
              <m:r>
                <m:t>15</m:t>
              </m:r>
            </m:oMath>
            <w:r>
              <w:t xml:space="preserve"> </w:t>
            </w:r>
            <w:r>
              <w:t xml:space="preserve">min</w:t>
            </w:r>
          </w:p>
        </w:tc>
      </w:tr>
    </w:tbl>
    <w:p>
      <w:pPr>
        <w:pStyle w:val="BodyText"/>
      </w:pPr>
      <w:r>
        <w:rPr>
          <w:rFonts w:hint="eastAsia"/>
          <w:b/>
          <w:bCs/>
        </w:rPr>
        <w:t xml:space="preserve">未提供量化、可计算的</w:t>
      </w:r>
      <w:r>
        <w:rPr>
          <w:b/>
          <w:bCs/>
        </w:rPr>
        <w:t xml:space="preserve"> ODD </w:t>
      </w:r>
      <w:r>
        <w:rPr>
          <w:rFonts w:hint="eastAsia"/>
          <w:b/>
          <w:bCs/>
        </w:rPr>
        <w:t xml:space="preserve">边界模型的，直接判定为设计不合格，不得进入评标环节。</w:t>
      </w:r>
    </w:p>
    <w:bookmarkEnd w:id="17"/>
    <w:bookmarkStart w:id="18" w:name="mbd-模型资产移交与-fmi-封装条款"/>
    <w:p>
      <w:pPr>
        <w:pStyle w:val="Heading3"/>
      </w:pPr>
      <w:r>
        <w:t xml:space="preserve">11.3.2 MBD </w:t>
      </w:r>
      <w:r>
        <w:rPr>
          <w:rFonts w:hint="eastAsia"/>
        </w:rPr>
        <w:t xml:space="preserve">模型资产移交与</w:t>
      </w:r>
      <w:r>
        <w:t xml:space="preserve"> FMI </w:t>
      </w:r>
      <w:r>
        <w:rPr>
          <w:rFonts w:hint="eastAsia"/>
        </w:rPr>
        <w:t xml:space="preserve">封装条款</w:t>
      </w:r>
    </w:p>
    <w:p>
      <w:pPr>
        <w:pStyle w:val="FirstParagraph"/>
      </w:pPr>
      <w:r>
        <w:rPr>
          <w:rFonts w:hint="eastAsia"/>
        </w:rPr>
        <w:t xml:space="preserve">【技术规格书第</w:t>
      </w:r>
      <w:r>
        <w:t xml:space="preserve"> X.2 </w:t>
      </w:r>
      <w:r>
        <w:rPr>
          <w:rFonts w:hint="eastAsia"/>
        </w:rPr>
        <w:t xml:space="preserve">条——针对设计院及科研单位】</w:t>
      </w:r>
    </w:p>
    <w:p>
      <w:pPr>
        <w:pStyle w:val="BodyText"/>
      </w:pPr>
      <w:r>
        <w:rPr>
          <w:rFonts w:hint="eastAsia"/>
        </w:rPr>
        <w:t xml:space="preserve">投标方交付的”控制策略”不能仅为文字描述，必须包含符合</w:t>
      </w:r>
      <w:r>
        <w:t xml:space="preserve"> </w:t>
      </w:r>
      <w:r>
        <w:rPr>
          <w:rFonts w:hint="eastAsia"/>
          <w:b/>
          <w:bCs/>
        </w:rPr>
        <w:t xml:space="preserve">FMI（Functional</w:t>
      </w:r>
      <w:r>
        <w:rPr>
          <w:b/>
          <w:bCs/>
        </w:rPr>
        <w:t xml:space="preserve"> Mock-up </w:t>
      </w:r>
      <w:r>
        <w:rPr>
          <w:rFonts w:hint="eastAsia"/>
          <w:b/>
          <w:bCs/>
        </w:rPr>
        <w:t xml:space="preserve">Interface）2.0</w:t>
      </w:r>
      <w:r>
        <w:rPr>
          <w:b/>
          <w:bCs/>
        </w:rPr>
        <w:t xml:space="preserve"> </w:t>
      </w:r>
      <w:r>
        <w:rPr>
          <w:rFonts w:hint="eastAsia"/>
          <w:b/>
          <w:bCs/>
        </w:rPr>
        <w:t xml:space="preserve">标准</w:t>
      </w:r>
      <w:r>
        <w:rPr>
          <w:rFonts w:hint="eastAsia"/>
        </w:rPr>
        <w:t xml:space="preserve">的控制律模型（FMU）。业主方拥有对这些模型单元进行独立调用、与其他厂商系统进行级联仿真的绝对权利。</w:t>
      </w:r>
      <w:r>
        <w:rPr>
          <w:rFonts w:hint="eastAsia"/>
          <w:b/>
          <w:bCs/>
        </w:rPr>
        <w:t xml:space="preserve">拒绝移交可执行模型资产的设计方案，视为无效设计。</w:t>
      </w:r>
    </w:p>
    <w:p>
      <w:pPr>
        <w:pStyle w:val="BodyText"/>
      </w:pPr>
      <w:r>
        <w:t xml:space="preserve">FMU </w:t>
      </w:r>
      <w:r>
        <w:rPr>
          <w:rFonts w:hint="eastAsia"/>
        </w:rPr>
        <w:t xml:space="preserve">文件须附”模型说明卡”，标注：模型适用范围、参数率定数据集、建模精度指标（RMSE</w:t>
      </w:r>
      <w:r>
        <w:t xml:space="preserve"> </w:t>
      </w:r>
      <m:oMath>
        <m:r>
          <m:rPr>
            <m:sty m:val="p"/>
          </m:rPr>
          <m:t>&lt;</m:t>
        </m:r>
        <m:r>
          <m:t>5</m:t>
        </m:r>
        <m:r>
          <m:rPr>
            <m:sty m:val="p"/>
          </m:rPr>
          <m:t>%</m:t>
        </m:r>
      </m:oMath>
      <w:r>
        <w:rPr>
          <w:rFonts w:hint="eastAsia"/>
        </w:rPr>
        <w:t xml:space="preserve">）、模型签发人与版本号。</w:t>
      </w:r>
    </w:p>
    <w:bookmarkEnd w:id="18"/>
    <w:bookmarkStart w:id="19" w:name="xil-在环测试门槛条款含否决项格式"/>
    <w:p>
      <w:pPr>
        <w:pStyle w:val="Heading3"/>
      </w:pPr>
      <w:r>
        <w:t xml:space="preserve">11.3.3 XIL </w:t>
      </w:r>
      <w:r>
        <w:rPr>
          <w:rFonts w:hint="eastAsia"/>
        </w:rPr>
        <w:t xml:space="preserve">在环测试门槛条款（含否决项格式）</w:t>
      </w:r>
    </w:p>
    <w:p>
      <w:pPr>
        <w:pStyle w:val="FirstParagraph"/>
      </w:pPr>
      <w:r>
        <w:rPr>
          <w:rFonts w:hint="eastAsia"/>
        </w:rPr>
        <w:t xml:space="preserve">【技术规格书第</w:t>
      </w:r>
      <w:r>
        <w:t xml:space="preserve"> X.3 </w:t>
      </w:r>
      <w:r>
        <w:rPr>
          <w:rFonts w:hint="eastAsia"/>
        </w:rPr>
        <w:t xml:space="preserve">条——针对集成商】</w:t>
      </w:r>
    </w:p>
    <w:p>
      <w:pPr>
        <w:pStyle w:val="BodyText"/>
      </w:pPr>
      <w:r>
        <w:rPr>
          <w:rFonts w:hint="eastAsia"/>
        </w:rPr>
        <w:t xml:space="preserve">系统上线前，集成方必须基于设计院提供的</w:t>
      </w:r>
      <w:r>
        <w:t xml:space="preserve"> FMU </w:t>
      </w:r>
      <w:r>
        <w:rPr>
          <w:rFonts w:hint="eastAsia"/>
        </w:rPr>
        <w:t xml:space="preserve">模型，在独立测试平台上生成并提交</w:t>
      </w:r>
      <w:r>
        <w:rPr>
          <w:rFonts w:hint="eastAsia"/>
          <w:b/>
          <w:bCs/>
        </w:rPr>
        <w:t xml:space="preserve">硬件在环（HIL）</w:t>
      </w:r>
      <w:r>
        <w:rPr>
          <w:rFonts w:hint="eastAsia"/>
        </w:rPr>
        <w:t xml:space="preserve">测试报告。该报告须由符合</w:t>
      </w:r>
      <w:r>
        <w:t xml:space="preserve"> CMA </w:t>
      </w:r>
      <w:r>
        <w:rPr>
          <w:rFonts w:hint="eastAsia"/>
        </w:rPr>
        <w:t xml:space="preserve">认证资质的独立第三方</w:t>
      </w:r>
      <w:r>
        <w:t xml:space="preserve"> CAB </w:t>
      </w:r>
      <w:r>
        <w:rPr>
          <w:rFonts w:hint="eastAsia"/>
        </w:rPr>
        <w:t xml:space="preserve">机构出具。</w:t>
      </w:r>
    </w:p>
    <w:p>
      <w:pPr>
        <w:pStyle w:val="BodyText"/>
      </w:pPr>
      <w:r>
        <w:rPr>
          <w:rFonts w:hint="eastAsia"/>
          <w:b/>
          <w:bCs/>
        </w:rPr>
        <w:t xml:space="preserve">否决项（一票否决，以下任一情形均直接判定为不通过）：</w:t>
      </w:r>
    </w:p>
    <w:p>
      <w:pPr>
        <w:pStyle w:val="Compact"/>
        <w:numPr>
          <w:ilvl w:val="0"/>
          <w:numId w:val="1003"/>
        </w:numPr>
      </w:pPr>
      <w:r>
        <w:t xml:space="preserve">P0 </w:t>
      </w:r>
      <w:r>
        <w:rPr>
          <w:rFonts w:hint="eastAsia"/>
        </w:rPr>
        <w:t xml:space="preserve">级场景中任意一项</w:t>
      </w:r>
      <w:r>
        <w:t xml:space="preserve"> HIL </w:t>
      </w:r>
      <w:r>
        <w:rPr>
          <w:rFonts w:hint="eastAsia"/>
        </w:rPr>
        <w:t xml:space="preserve">测试失败，且无有效修复验证记录；</w:t>
      </w:r>
    </w:p>
    <w:p>
      <w:pPr>
        <w:pStyle w:val="Compact"/>
        <w:numPr>
          <w:ilvl w:val="0"/>
          <w:numId w:val="1003"/>
        </w:numPr>
      </w:pPr>
      <w:r>
        <w:t xml:space="preserve">SIL </w:t>
      </w:r>
      <w:r>
        <w:rPr>
          <w:rFonts w:hint="eastAsia"/>
        </w:rPr>
        <w:t xml:space="preserve">测试阶段存在硬约束越界（水位或压力突破物理安全包络）；</w:t>
      </w:r>
    </w:p>
    <w:p>
      <w:pPr>
        <w:pStyle w:val="Compact"/>
        <w:numPr>
          <w:ilvl w:val="0"/>
          <w:numId w:val="1003"/>
        </w:numPr>
      </w:pPr>
      <w:r>
        <w:t xml:space="preserve">HIL </w:t>
      </w:r>
      <w:r>
        <w:rPr>
          <w:rFonts w:hint="eastAsia"/>
        </w:rPr>
        <w:t xml:space="preserve">测试时序日志未经第三方哈希锁定，无法核验原始性；</w:t>
      </w:r>
    </w:p>
    <w:p>
      <w:pPr>
        <w:pStyle w:val="Compact"/>
        <w:numPr>
          <w:ilvl w:val="0"/>
          <w:numId w:val="1003"/>
        </w:numPr>
      </w:pPr>
      <w:r>
        <w:t xml:space="preserve">CAB </w:t>
      </w:r>
      <w:r>
        <w:rPr>
          <w:rFonts w:hint="eastAsia"/>
        </w:rPr>
        <w:t xml:space="preserve">机构不具备水利自动化或相关工业控制系统测试资质。</w:t>
      </w:r>
    </w:p>
    <w:p>
      <w:pPr>
        <w:pStyle w:val="FirstParagraph"/>
      </w:pPr>
      <w:r>
        <w:rPr>
          <w:rFonts w:hint="eastAsia"/>
          <w:b/>
          <w:bCs/>
        </w:rPr>
        <w:t xml:space="preserve">拒绝接受单纯基于历史样本的静态开环仿真报告。</w:t>
      </w:r>
    </w:p>
    <w:p>
      <w:r>
        <w:pict>
          <v:rect style="width:0;height:1.5pt" o:hralign="center" o:hrstd="t" o:hr="t"/>
        </w:pict>
      </w:r>
    </w:p>
    <w:bookmarkEnd w:id="19"/>
    <w:bookmarkEnd w:id="20"/>
    <w:bookmarkStart w:id="21" w:name="评标计分表技术分细化分项"/>
    <w:p>
      <w:pPr>
        <w:pStyle w:val="Heading2"/>
      </w:pPr>
      <w:r>
        <w:t xml:space="preserve">11.4 </w:t>
      </w:r>
      <w:r>
        <w:rPr>
          <w:rFonts w:hint="eastAsia"/>
        </w:rPr>
        <w:t xml:space="preserve">评标计分表：技术分细化分项</w:t>
      </w:r>
    </w:p>
    <w:p>
      <w:pPr>
        <w:pStyle w:val="FirstParagraph"/>
      </w:pPr>
      <w:r>
        <w:rPr>
          <w:rFonts w:hint="eastAsia"/>
        </w:rPr>
        <w:t xml:space="preserve">为防止招标评审中”价格最低者中标”对质量的冲击，技术分须占总分</w:t>
      </w:r>
      <w:r>
        <w:t xml:space="preserve"> </w:t>
      </w:r>
      <m:oMath>
        <m:r>
          <m:t>70</m:t>
        </m:r>
        <m:r>
          <m:rPr>
            <m:sty m:val="p"/>
          </m:rPr>
          <m:t>%</m:t>
        </m:r>
      </m:oMath>
      <w:r>
        <w:rPr>
          <w:rFonts w:hint="eastAsia"/>
        </w:rPr>
        <w:t xml:space="preserve">，且技术分内部细化分项必须按以下结构设计：</w:t>
      </w:r>
    </w:p>
    <w:p>
      <w:pPr>
        <w:pStyle w:val="BodyText"/>
      </w:pPr>
      <w:r>
        <w:rPr>
          <w:rFonts w:hint="eastAsia"/>
          <w:b/>
          <w:bCs/>
        </w:rPr>
        <w:t xml:space="preserve">表</w:t>
      </w:r>
      <w:r>
        <w:rPr>
          <w:b/>
          <w:bCs/>
        </w:rPr>
        <w:t xml:space="preserve"> 11-3 </w:t>
      </w:r>
      <w:r>
        <w:rPr>
          <w:rFonts w:hint="eastAsia"/>
          <w:b/>
          <w:bCs/>
        </w:rPr>
        <w:t xml:space="preserve">技术评标计分表（技术分</w:t>
      </w:r>
      <w:r>
        <w:rPr>
          <w:b/>
          <w:bCs/>
        </w:rPr>
        <w:t xml:space="preserve"> 70 </w:t>
      </w:r>
      <w:r>
        <w:rPr>
          <w:rFonts w:hint="eastAsia"/>
          <w:b/>
          <w:bCs/>
        </w:rPr>
        <w:t xml:space="preserve">分）</w:t>
      </w:r>
    </w:p>
    <w:p>
      <w:pPr>
        <w:pStyle w:val="BodyText"/>
      </w:pPr>
      <w:r>
        <w:rPr>
          <w:rFonts w:hint="eastAsia"/>
          <w:b/>
          <w:bCs/>
        </w:rPr>
        <w:t xml:space="preserve">表11-3</w:t>
      </w:r>
    </w:p>
    <w:tbl>
      <w:tblPr>
        <w:tblStyle w:val="Table"/>
        <w:tblW w:type="pct" w:w="5000"/>
        <w:tblLayout w:type="fixed"/>
        <w:tblLook w:firstRow="1" w:lastRow="0" w:firstColumn="0" w:lastColumn="0" w:noHBand="0" w:noVBand="0" w:val="0020"/>
      </w:tblPr>
      <w:tblGrid>
        <w:gridCol w:w="2329"/>
        <w:gridCol w:w="1397"/>
        <w:gridCol w:w="2329"/>
        <w:gridCol w:w="1863"/>
      </w:tblGrid>
      <w:tr>
        <w:trPr>
          <w:tblHeader w:val="on"/>
        </w:trPr>
        <w:tc>
          <w:tcPr/>
          <w:p>
            <w:pPr>
              <w:pStyle w:val="Compact"/>
            </w:pPr>
            <w:r>
              <w:rPr>
                <w:rFonts w:hint="eastAsia"/>
              </w:rPr>
              <w:t xml:space="preserve">一级指标</w:t>
            </w:r>
          </w:p>
        </w:tc>
        <w:tc>
          <w:tcPr/>
          <w:p>
            <w:pPr>
              <w:pStyle w:val="Compact"/>
            </w:pPr>
            <w:r>
              <w:rPr>
                <w:rFonts w:hint="eastAsia"/>
              </w:rPr>
              <w:t xml:space="preserve">分值</w:t>
            </w:r>
          </w:p>
        </w:tc>
        <w:tc>
          <w:tcPr/>
          <w:p>
            <w:pPr>
              <w:pStyle w:val="Compact"/>
            </w:pPr>
            <w:r>
              <w:rPr>
                <w:rFonts w:hint="eastAsia"/>
              </w:rPr>
              <w:t xml:space="preserve">二级指标</w:t>
            </w:r>
          </w:p>
        </w:tc>
        <w:tc>
          <w:tcPr/>
          <w:p>
            <w:pPr>
              <w:pStyle w:val="Compact"/>
            </w:pPr>
            <w:r>
              <w:rPr>
                <w:rFonts w:hint="eastAsia"/>
              </w:rPr>
              <w:t xml:space="preserve">子分值</w:t>
            </w:r>
          </w:p>
        </w:tc>
      </w:tr>
      <w:tr>
        <w:tc>
          <w:tcPr/>
          <w:p>
            <w:pPr>
              <w:pStyle w:val="Compact"/>
            </w:pPr>
            <w:r>
              <w:rPr>
                <w:b/>
                <w:bCs/>
              </w:rPr>
              <w:t xml:space="preserve">WNAL </w:t>
            </w:r>
            <w:r>
              <w:rPr>
                <w:rFonts w:hint="eastAsia"/>
                <w:b/>
                <w:bCs/>
              </w:rPr>
              <w:t xml:space="preserve">等级声明与路径</w:t>
            </w:r>
          </w:p>
        </w:tc>
        <w:tc>
          <w:tcPr/>
          <w:p>
            <w:pPr>
              <w:pStyle w:val="Compact"/>
            </w:pPr>
            <w:r>
              <w:t xml:space="preserve">20</w:t>
            </w:r>
          </w:p>
        </w:tc>
        <w:tc>
          <w:tcPr/>
          <w:p>
            <w:pPr>
              <w:pStyle w:val="Compact"/>
            </w:pPr>
            <w:r>
              <w:t xml:space="preserve">WNAL </w:t>
            </w:r>
            <w:r>
              <w:rPr>
                <w:rFonts w:hint="eastAsia"/>
              </w:rPr>
              <w:t xml:space="preserve">目标等级明确性（L2/L3/L4</w:t>
            </w:r>
            <w:r>
              <w:t xml:space="preserve"> </w:t>
            </w:r>
            <w:r>
              <w:rPr>
                <w:rFonts w:hint="eastAsia"/>
              </w:rPr>
              <w:t xml:space="preserve">对应</w:t>
            </w:r>
            <w:r>
              <w:t xml:space="preserve"> 10/15/20 </w:t>
            </w:r>
            <w:r>
              <w:rPr>
                <w:rFonts w:hint="eastAsia"/>
              </w:rPr>
              <w:t xml:space="preserve">分）</w:t>
            </w:r>
          </w:p>
        </w:tc>
        <w:tc>
          <w:tcPr/>
          <w:p>
            <w:pPr>
              <w:pStyle w:val="Compact"/>
            </w:pPr>
            <w:r>
              <w:t xml:space="preserve">10</w:t>
            </w:r>
          </w:p>
        </w:tc>
      </w:tr>
      <w:tr>
        <w:tc>
          <w:tcPr/>
          <w:p>
            <w:pPr>
              <w:pStyle w:val="Compact"/>
            </w:pPr>
          </w:p>
        </w:tc>
        <w:tc>
          <w:tcPr/>
          <w:p>
            <w:pPr>
              <w:pStyle w:val="Compact"/>
            </w:pPr>
          </w:p>
        </w:tc>
        <w:tc>
          <w:tcPr/>
          <w:p>
            <w:pPr>
              <w:pStyle w:val="Compact"/>
            </w:pPr>
            <w:r>
              <w:rPr>
                <w:rFonts w:hint="eastAsia"/>
              </w:rPr>
              <w:t xml:space="preserve">技术路径合理性（评审专家主观打分）</w:t>
            </w:r>
          </w:p>
        </w:tc>
        <w:tc>
          <w:tcPr/>
          <w:p>
            <w:pPr>
              <w:pStyle w:val="Compact"/>
            </w:pPr>
            <w:r>
              <w:t xml:space="preserve">5</w:t>
            </w:r>
          </w:p>
        </w:tc>
      </w:tr>
      <w:tr>
        <w:tc>
          <w:tcPr/>
          <w:p>
            <w:pPr>
              <w:pStyle w:val="Compact"/>
            </w:pPr>
          </w:p>
        </w:tc>
        <w:tc>
          <w:tcPr/>
          <w:p>
            <w:pPr>
              <w:pStyle w:val="Compact"/>
            </w:pPr>
          </w:p>
        </w:tc>
        <w:tc>
          <w:tcPr/>
          <w:p>
            <w:pPr>
              <w:pStyle w:val="Compact"/>
            </w:pPr>
            <w:r>
              <w:t xml:space="preserve">DIL </w:t>
            </w:r>
            <w:r>
              <w:rPr>
                <w:rFonts w:hint="eastAsia"/>
              </w:rPr>
              <w:t xml:space="preserve">等级证书（DIL</w:t>
            </w:r>
            <w:r>
              <w:t xml:space="preserve"> 2/3/4 </w:t>
            </w:r>
            <w:r>
              <w:rPr>
                <w:rFonts w:hint="eastAsia"/>
              </w:rPr>
              <w:t xml:space="preserve">对应</w:t>
            </w:r>
            <w:r>
              <w:t xml:space="preserve"> 0/3/5 </w:t>
            </w:r>
            <w:r>
              <w:rPr>
                <w:rFonts w:hint="eastAsia"/>
              </w:rPr>
              <w:t xml:space="preserve">分）</w:t>
            </w:r>
          </w:p>
        </w:tc>
        <w:tc>
          <w:tcPr/>
          <w:p>
            <w:pPr>
              <w:pStyle w:val="Compact"/>
            </w:pPr>
            <w:r>
              <w:t xml:space="preserve">5</w:t>
            </w:r>
          </w:p>
        </w:tc>
      </w:tr>
      <w:tr>
        <w:tc>
          <w:tcPr/>
          <w:p>
            <w:pPr>
              <w:pStyle w:val="Compact"/>
            </w:pPr>
            <w:r>
              <w:rPr>
                <w:b/>
                <w:bCs/>
              </w:rPr>
              <w:t xml:space="preserve">ODD </w:t>
            </w:r>
            <w:r>
              <w:rPr>
                <w:rFonts w:hint="eastAsia"/>
                <w:b/>
                <w:bCs/>
              </w:rPr>
              <w:t xml:space="preserve">完整性与量化程度</w:t>
            </w:r>
          </w:p>
        </w:tc>
        <w:tc>
          <w:tcPr/>
          <w:p>
            <w:pPr>
              <w:pStyle w:val="Compact"/>
            </w:pPr>
            <w:r>
              <w:t xml:space="preserve">20</w:t>
            </w:r>
          </w:p>
        </w:tc>
        <w:tc>
          <w:tcPr/>
          <w:p>
            <w:pPr>
              <w:pStyle w:val="Compact"/>
            </w:pPr>
            <w:r>
              <w:rPr>
                <w:rFonts w:hint="eastAsia"/>
              </w:rPr>
              <w:t xml:space="preserve">六维参数矩阵是否完整（每维度</w:t>
            </w:r>
            <w:r>
              <w:t xml:space="preserve"> 2 </w:t>
            </w:r>
            <w:r>
              <w:rPr>
                <w:rFonts w:hint="eastAsia"/>
              </w:rPr>
              <w:t xml:space="preserve">分，共</w:t>
            </w:r>
            <w:r>
              <w:t xml:space="preserve"> 12 </w:t>
            </w:r>
            <w:r>
              <w:rPr>
                <w:rFonts w:hint="eastAsia"/>
              </w:rPr>
              <w:t xml:space="preserve">分）</w:t>
            </w:r>
          </w:p>
        </w:tc>
        <w:tc>
          <w:tcPr/>
          <w:p>
            <w:pPr>
              <w:pStyle w:val="Compact"/>
            </w:pPr>
            <w:r>
              <w:t xml:space="preserve">12</w:t>
            </w:r>
          </w:p>
        </w:tc>
      </w:tr>
      <w:tr>
        <w:tc>
          <w:tcPr/>
          <w:p>
            <w:pPr>
              <w:pStyle w:val="Compact"/>
            </w:pPr>
          </w:p>
        </w:tc>
        <w:tc>
          <w:tcPr/>
          <w:p>
            <w:pPr>
              <w:pStyle w:val="Compact"/>
            </w:pPr>
          </w:p>
        </w:tc>
        <w:tc>
          <w:tcPr/>
          <w:p>
            <w:pPr>
              <w:pStyle w:val="Compact"/>
            </w:pPr>
            <w:r>
              <w:t xml:space="preserve">ODD </w:t>
            </w:r>
            <w:r>
              <w:rPr>
                <w:rFonts w:hint="eastAsia"/>
              </w:rPr>
              <w:t xml:space="preserve">监测器逻辑设计清晰度</w:t>
            </w:r>
          </w:p>
        </w:tc>
        <w:tc>
          <w:tcPr/>
          <w:p>
            <w:pPr>
              <w:pStyle w:val="Compact"/>
            </w:pPr>
            <w:r>
              <w:t xml:space="preserve">4</w:t>
            </w:r>
          </w:p>
        </w:tc>
      </w:tr>
      <w:tr>
        <w:tc>
          <w:tcPr/>
          <w:p>
            <w:pPr>
              <w:pStyle w:val="Compact"/>
            </w:pPr>
          </w:p>
        </w:tc>
        <w:tc>
          <w:tcPr/>
          <w:p>
            <w:pPr>
              <w:pStyle w:val="Compact"/>
            </w:pPr>
          </w:p>
        </w:tc>
        <w:tc>
          <w:tcPr/>
          <w:p>
            <w:pPr>
              <w:pStyle w:val="Compact"/>
            </w:pPr>
            <w:r>
              <w:t xml:space="preserve">ODD </w:t>
            </w:r>
            <w:r>
              <w:rPr>
                <w:rFonts w:hint="eastAsia"/>
              </w:rPr>
              <w:t xml:space="preserve">边界的历史数据支撑充分性</w:t>
            </w:r>
          </w:p>
        </w:tc>
        <w:tc>
          <w:tcPr/>
          <w:p>
            <w:pPr>
              <w:pStyle w:val="Compact"/>
            </w:pPr>
            <w:r>
              <w:t xml:space="preserve">4</w:t>
            </w:r>
          </w:p>
        </w:tc>
      </w:tr>
      <w:tr>
        <w:tc>
          <w:tcPr/>
          <w:p>
            <w:pPr>
              <w:pStyle w:val="Compact"/>
            </w:pPr>
            <w:r>
              <w:rPr>
                <w:b/>
                <w:bCs/>
              </w:rPr>
              <w:t xml:space="preserve">XIL </w:t>
            </w:r>
            <w:r>
              <w:rPr>
                <w:rFonts w:hint="eastAsia"/>
                <w:b/>
                <w:bCs/>
              </w:rPr>
              <w:t xml:space="preserve">测试能力</w:t>
            </w:r>
          </w:p>
        </w:tc>
        <w:tc>
          <w:tcPr/>
          <w:p>
            <w:pPr>
              <w:pStyle w:val="Compact"/>
            </w:pPr>
            <w:r>
              <w:t xml:space="preserve">15</w:t>
            </w:r>
          </w:p>
        </w:tc>
        <w:tc>
          <w:tcPr/>
          <w:p>
            <w:pPr>
              <w:pStyle w:val="Compact"/>
            </w:pPr>
            <w:r>
              <w:t xml:space="preserve">MIL </w:t>
            </w:r>
            <w:r>
              <w:rPr>
                <w:rFonts w:hint="eastAsia"/>
              </w:rPr>
              <w:t xml:space="preserve">测试报告完整性与覆盖率</w:t>
            </w:r>
          </w:p>
        </w:tc>
        <w:tc>
          <w:tcPr/>
          <w:p>
            <w:pPr>
              <w:pStyle w:val="Compact"/>
            </w:pPr>
            <w:r>
              <w:t xml:space="preserve">5</w:t>
            </w:r>
          </w:p>
        </w:tc>
      </w:tr>
      <w:tr>
        <w:tc>
          <w:tcPr/>
          <w:p>
            <w:pPr>
              <w:pStyle w:val="Compact"/>
            </w:pPr>
          </w:p>
        </w:tc>
        <w:tc>
          <w:tcPr/>
          <w:p>
            <w:pPr>
              <w:pStyle w:val="Compact"/>
            </w:pPr>
          </w:p>
        </w:tc>
        <w:tc>
          <w:tcPr/>
          <w:p>
            <w:pPr>
              <w:pStyle w:val="Compact"/>
            </w:pPr>
            <w:r>
              <w:t xml:space="preserve">SIL </w:t>
            </w:r>
            <w:r>
              <w:rPr>
                <w:rFonts w:hint="eastAsia"/>
              </w:rPr>
              <w:t xml:space="preserve">测试平台能力与第三方见证经验</w:t>
            </w:r>
          </w:p>
        </w:tc>
        <w:tc>
          <w:tcPr/>
          <w:p>
            <w:pPr>
              <w:pStyle w:val="Compact"/>
            </w:pPr>
            <w:r>
              <w:t xml:space="preserve">5</w:t>
            </w:r>
          </w:p>
        </w:tc>
      </w:tr>
      <w:tr>
        <w:tc>
          <w:tcPr/>
          <w:p>
            <w:pPr>
              <w:pStyle w:val="Compact"/>
            </w:pPr>
          </w:p>
        </w:tc>
        <w:tc>
          <w:tcPr/>
          <w:p>
            <w:pPr>
              <w:pStyle w:val="Compact"/>
            </w:pPr>
          </w:p>
        </w:tc>
        <w:tc>
          <w:tcPr/>
          <w:p>
            <w:pPr>
              <w:pStyle w:val="Compact"/>
            </w:pPr>
            <w:r>
              <w:t xml:space="preserve">HIL </w:t>
            </w:r>
            <w:r>
              <w:rPr>
                <w:rFonts w:hint="eastAsia"/>
              </w:rPr>
              <w:t xml:space="preserve">测试台架规格与</w:t>
            </w:r>
            <w:r>
              <w:t xml:space="preserve"> P0 </w:t>
            </w:r>
            <w:r>
              <w:rPr>
                <w:rFonts w:hint="eastAsia"/>
              </w:rPr>
              <w:t xml:space="preserve">场景覆盖率</w:t>
            </w:r>
          </w:p>
        </w:tc>
        <w:tc>
          <w:tcPr/>
          <w:p>
            <w:pPr>
              <w:pStyle w:val="Compact"/>
            </w:pPr>
            <w:r>
              <w:t xml:space="preserve">5</w:t>
            </w:r>
          </w:p>
        </w:tc>
      </w:tr>
      <w:tr>
        <w:tc>
          <w:tcPr/>
          <w:p>
            <w:pPr>
              <w:pStyle w:val="Compact"/>
            </w:pPr>
            <w:r>
              <w:rPr>
                <w:rFonts w:hint="eastAsia"/>
                <w:b/>
                <w:bCs/>
              </w:rPr>
              <w:t xml:space="preserve">互操作与开放标准</w:t>
            </w:r>
          </w:p>
        </w:tc>
        <w:tc>
          <w:tcPr/>
          <w:p>
            <w:pPr>
              <w:pStyle w:val="Compact"/>
            </w:pPr>
            <w:r>
              <w:t xml:space="preserve">15</w:t>
            </w:r>
          </w:p>
        </w:tc>
        <w:tc>
          <w:tcPr/>
          <w:p>
            <w:pPr>
              <w:pStyle w:val="Compact"/>
            </w:pPr>
            <w:r>
              <w:t xml:space="preserve">FMU/FMI </w:t>
            </w:r>
            <w:r>
              <w:rPr>
                <w:rFonts w:hint="eastAsia"/>
              </w:rPr>
              <w:t xml:space="preserve">合规性（独立运行测试通过）</w:t>
            </w:r>
          </w:p>
        </w:tc>
        <w:tc>
          <w:tcPr/>
          <w:p>
            <w:pPr>
              <w:pStyle w:val="Compact"/>
            </w:pPr>
            <w:r>
              <w:t xml:space="preserve">6</w:t>
            </w:r>
          </w:p>
        </w:tc>
      </w:tr>
      <w:tr>
        <w:tc>
          <w:tcPr/>
          <w:p>
            <w:pPr>
              <w:pStyle w:val="Compact"/>
            </w:pPr>
          </w:p>
        </w:tc>
        <w:tc>
          <w:tcPr/>
          <w:p>
            <w:pPr>
              <w:pStyle w:val="Compact"/>
            </w:pPr>
          </w:p>
        </w:tc>
        <w:tc>
          <w:tcPr/>
          <w:p>
            <w:pPr>
              <w:pStyle w:val="Compact"/>
            </w:pPr>
            <w:r>
              <w:rPr>
                <w:rFonts w:hint="eastAsia"/>
              </w:rPr>
              <w:t xml:space="preserve">与业主既有</w:t>
            </w:r>
            <w:r>
              <w:t xml:space="preserve"> SCADA </w:t>
            </w:r>
            <w:r>
              <w:rPr>
                <w:rFonts w:hint="eastAsia"/>
              </w:rPr>
              <w:t xml:space="preserve">系统的接口兼容性</w:t>
            </w:r>
          </w:p>
        </w:tc>
        <w:tc>
          <w:tcPr/>
          <w:p>
            <w:pPr>
              <w:pStyle w:val="Compact"/>
            </w:pPr>
            <w:r>
              <w:t xml:space="preserve">5</w:t>
            </w:r>
          </w:p>
        </w:tc>
      </w:tr>
      <w:tr>
        <w:tc>
          <w:tcPr/>
          <w:p>
            <w:pPr>
              <w:pStyle w:val="Compact"/>
            </w:pPr>
          </w:p>
        </w:tc>
        <w:tc>
          <w:tcPr/>
          <w:p>
            <w:pPr>
              <w:pStyle w:val="Compact"/>
            </w:pPr>
          </w:p>
        </w:tc>
        <w:tc>
          <w:tcPr/>
          <w:p>
            <w:pPr>
              <w:pStyle w:val="Compact"/>
            </w:pPr>
            <w:r>
              <w:rPr>
                <w:rFonts w:hint="eastAsia"/>
              </w:rPr>
              <w:t xml:space="preserve">数据接口开放性（支持标准协议如</w:t>
            </w:r>
            <w:r>
              <w:t xml:space="preserve"> </w:t>
            </w:r>
            <w:r>
              <w:rPr>
                <w:rFonts w:hint="eastAsia"/>
              </w:rPr>
              <w:t xml:space="preserve">OPC-UA）</w:t>
            </w:r>
          </w:p>
        </w:tc>
        <w:tc>
          <w:tcPr/>
          <w:p>
            <w:pPr>
              <w:pStyle w:val="Compact"/>
            </w:pPr>
            <w:r>
              <w:t xml:space="preserve">4</w:t>
            </w:r>
          </w:p>
        </w:tc>
      </w:tr>
      <w:tr>
        <w:tc>
          <w:tcPr/>
          <w:p>
            <w:pPr>
              <w:pStyle w:val="Compact"/>
            </w:pPr>
            <w:r>
              <w:rPr>
                <w:rFonts w:hint="eastAsia"/>
                <w:b/>
                <w:bCs/>
              </w:rPr>
              <w:t xml:space="preserve">合计</w:t>
            </w:r>
          </w:p>
        </w:tc>
        <w:tc>
          <w:tcPr/>
          <w:p>
            <w:pPr>
              <w:pStyle w:val="Compact"/>
            </w:pPr>
            <w:r>
              <w:rPr>
                <w:b/>
                <w:bCs/>
              </w:rPr>
              <w:t xml:space="preserve">70</w:t>
            </w:r>
          </w:p>
        </w:tc>
        <w:tc>
          <w:tcPr/>
          <w:p>
            <w:pPr>
              <w:pStyle w:val="Compact"/>
            </w:pPr>
          </w:p>
        </w:tc>
        <w:tc>
          <w:tcPr/>
          <w:p>
            <w:pPr>
              <w:pStyle w:val="Compact"/>
            </w:pPr>
          </w:p>
        </w:tc>
      </w:tr>
    </w:tbl>
    <w:p>
      <w:pPr>
        <w:pStyle w:val="BodyText"/>
      </w:pPr>
      <w:r>
        <w:rPr>
          <w:rFonts w:hint="eastAsia"/>
        </w:rPr>
        <w:t xml:space="preserve">技术分</w:t>
      </w:r>
      <w:r>
        <w:t xml:space="preserve"> </w:t>
      </w:r>
      <m:oMath>
        <m:r>
          <m:rPr>
            <m:sty m:val="p"/>
          </m:rPr>
          <m:t>&lt;</m:t>
        </m:r>
        <m:r>
          <m:t>42</m:t>
        </m:r>
      </m:oMath>
      <w:r>
        <w:t xml:space="preserve"> </w:t>
      </w:r>
      <w:r>
        <w:rPr>
          <w:rFonts w:hint="eastAsia"/>
        </w:rPr>
        <w:t xml:space="preserve">分（即</w:t>
      </w:r>
      <w:r>
        <w:t xml:space="preserve"> 60 </w:t>
      </w:r>
      <w:r>
        <w:rPr>
          <w:rFonts w:hint="eastAsia"/>
        </w:rPr>
        <w:t xml:space="preserve">分线）的方案不得进入商务分评审，直接淘汰。商务分（30</w:t>
      </w:r>
      <w:r>
        <w:t xml:space="preserve"> </w:t>
      </w:r>
      <w:r>
        <w:rPr>
          <w:rFonts w:hint="eastAsia"/>
        </w:rPr>
        <w:t xml:space="preserve">分）主要考察报价合理性（18</w:t>
      </w:r>
      <w:r>
        <w:t xml:space="preserve"> </w:t>
      </w:r>
      <w:r>
        <w:rPr>
          <w:rFonts w:hint="eastAsia"/>
        </w:rPr>
        <w:t xml:space="preserve">分）、工期计划（6</w:t>
      </w:r>
      <w:r>
        <w:t xml:space="preserve"> </w:t>
      </w:r>
      <w:r>
        <w:rPr>
          <w:rFonts w:hint="eastAsia"/>
        </w:rPr>
        <w:t xml:space="preserve">分）和服务承诺（6</w:t>
      </w:r>
      <w:r>
        <w:t xml:space="preserve"> </w:t>
      </w:r>
      <w:r>
        <w:rPr>
          <w:rFonts w:hint="eastAsia"/>
        </w:rPr>
        <w:t xml:space="preserve">分）。</w:t>
      </w:r>
    </w:p>
    <w:p>
      <w:r>
        <w:pict>
          <v:rect style="width:0;height:1.5pt" o:hralign="center" o:hrstd="t" o:hr="t"/>
        </w:pict>
      </w:r>
    </w:p>
    <w:bookmarkEnd w:id="21"/>
    <w:bookmarkStart w:id="24" w:name="合同条款与持续准入挂钩里程碑付款条件建议"/>
    <w:p>
      <w:pPr>
        <w:pStyle w:val="Heading2"/>
      </w:pPr>
      <w:r>
        <w:t xml:space="preserve">11.5 </w:t>
      </w:r>
      <w:r>
        <w:rPr>
          <w:rFonts w:hint="eastAsia"/>
        </w:rPr>
        <w:t xml:space="preserve">合同条款与持续准入挂钩：里程碑付款条件建议</w:t>
      </w:r>
    </w:p>
    <w:p>
      <w:pPr>
        <w:pStyle w:val="FirstParagraph"/>
      </w:pPr>
      <w:r>
        <w:rPr>
          <w:rFonts w:hint="eastAsia"/>
        </w:rPr>
        <w:t xml:space="preserve">传统的验收往往考察功能模块”有没有”，但在基于</w:t>
      </w:r>
      <w:r>
        <w:t xml:space="preserve"> MBD </w:t>
      </w:r>
      <w:r>
        <w:rPr>
          <w:rFonts w:hint="eastAsia"/>
        </w:rPr>
        <w:t xml:space="preserve">的自治系统中，我们必须考察控制效果”稳不稳”。建设单位必须通过合同的里程碑支付条款，建立一个闭环的”反馈惩罚机制”。</w:t>
      </w:r>
    </w:p>
    <w:p>
      <w:pPr>
        <w:pStyle w:val="BodyText"/>
      </w:pPr>
      <w:r>
        <w:rPr>
          <w:rFonts w:hint="eastAsia"/>
          <w:b/>
          <w:bCs/>
        </w:rPr>
        <w:t xml:space="preserve">表</w:t>
      </w:r>
      <w:r>
        <w:rPr>
          <w:b/>
          <w:bCs/>
        </w:rPr>
        <w:t xml:space="preserve"> 11-4 </w:t>
      </w:r>
      <w:r>
        <w:rPr>
          <w:rFonts w:hint="eastAsia"/>
          <w:b/>
          <w:bCs/>
        </w:rPr>
        <w:t xml:space="preserve">合同里程碑付款条件建议</w:t>
      </w:r>
    </w:p>
    <w:p>
      <w:pPr>
        <w:pStyle w:val="BodyText"/>
      </w:pPr>
      <w:r>
        <w:rPr>
          <w:rFonts w:hint="eastAsia"/>
          <w:b/>
          <w:bCs/>
        </w:rPr>
        <w:t xml:space="preserve">表11-4</w:t>
      </w:r>
    </w:p>
    <w:tbl>
      <w:tblPr>
        <w:tblStyle w:val="Table"/>
        <w:tblW w:type="pct" w:w="5000"/>
        <w:tblLayout w:type="fixed"/>
        <w:tblLook w:firstRow="1" w:lastRow="0" w:firstColumn="0" w:lastColumn="0" w:noHBand="0" w:noVBand="0" w:val="0020"/>
      </w:tblPr>
      <w:tblGrid>
        <w:gridCol w:w="1980"/>
        <w:gridCol w:w="1620"/>
        <w:gridCol w:w="4320"/>
      </w:tblGrid>
      <w:tr>
        <w:trPr>
          <w:tblHeader w:val="on"/>
        </w:trPr>
        <w:tc>
          <w:tcPr/>
          <w:p>
            <w:pPr>
              <w:pStyle w:val="Compact"/>
            </w:pPr>
            <w:r>
              <w:rPr>
                <w:rFonts w:hint="eastAsia"/>
              </w:rPr>
              <w:t xml:space="preserve">里程碑节点</w:t>
            </w:r>
          </w:p>
        </w:tc>
        <w:tc>
          <w:tcPr/>
          <w:p>
            <w:pPr>
              <w:pStyle w:val="Compact"/>
            </w:pPr>
            <w:r>
              <w:rPr>
                <w:rFonts w:hint="eastAsia"/>
              </w:rPr>
              <w:t xml:space="preserve">支付比例</w:t>
            </w:r>
          </w:p>
        </w:tc>
        <w:tc>
          <w:tcPr/>
          <w:p>
            <w:pPr>
              <w:pStyle w:val="Compact"/>
            </w:pPr>
            <w:r>
              <w:rPr>
                <w:rFonts w:hint="eastAsia"/>
              </w:rPr>
              <w:t xml:space="preserve">触发条件（满足方可支付）</w:t>
            </w:r>
          </w:p>
        </w:tc>
      </w:tr>
      <w:tr>
        <w:tc>
          <w:tcPr/>
          <w:p>
            <w:pPr>
              <w:pStyle w:val="Compact"/>
            </w:pPr>
            <w:r>
              <w:rPr>
                <w:rFonts w:hint="eastAsia"/>
              </w:rPr>
              <w:t xml:space="preserve">签约</w:t>
            </w:r>
          </w:p>
        </w:tc>
        <w:tc>
          <w:tcPr/>
          <w:p>
            <w:pPr>
              <w:pStyle w:val="Compact"/>
            </w:pPr>
            <w:r>
              <w:t xml:space="preserve">10%</w:t>
            </w:r>
          </w:p>
        </w:tc>
        <w:tc>
          <w:tcPr/>
          <w:p>
            <w:pPr>
              <w:pStyle w:val="Compact"/>
            </w:pPr>
            <w:r>
              <w:rPr>
                <w:rFonts w:hint="eastAsia"/>
              </w:rPr>
              <w:t xml:space="preserve">合同生效</w:t>
            </w:r>
          </w:p>
        </w:tc>
      </w:tr>
      <w:tr>
        <w:tc>
          <w:tcPr/>
          <w:p>
            <w:pPr>
              <w:pStyle w:val="Compact"/>
            </w:pPr>
            <w:r>
              <w:rPr>
                <w:rFonts w:hint="eastAsia"/>
              </w:rPr>
              <w:t xml:space="preserve">初设审查通过</w:t>
            </w:r>
          </w:p>
        </w:tc>
        <w:tc>
          <w:tcPr/>
          <w:p>
            <w:pPr>
              <w:pStyle w:val="Compact"/>
            </w:pPr>
            <w:r>
              <w:t xml:space="preserve">15%</w:t>
            </w:r>
          </w:p>
        </w:tc>
        <w:tc>
          <w:tcPr/>
          <w:p>
            <w:pPr>
              <w:pStyle w:val="Compact"/>
            </w:pPr>
            <w:r>
              <w:rPr>
                <w:rFonts w:hint="eastAsia"/>
              </w:rPr>
              <w:t xml:space="preserve">设计院提交</w:t>
            </w:r>
            <w:r>
              <w:t xml:space="preserve"> ODD </w:t>
            </w:r>
            <w:r>
              <w:rPr>
                <w:rFonts w:hint="eastAsia"/>
              </w:rPr>
              <w:t xml:space="preserve">白皮书</w:t>
            </w:r>
            <w:r>
              <w:t xml:space="preserve"> + MBD </w:t>
            </w:r>
            <w:r>
              <w:rPr>
                <w:rFonts w:hint="eastAsia"/>
              </w:rPr>
              <w:t xml:space="preserve">模型初版，通过业主评审</w:t>
            </w:r>
          </w:p>
        </w:tc>
      </w:tr>
      <w:tr>
        <w:tc>
          <w:tcPr/>
          <w:p>
            <w:pPr>
              <w:pStyle w:val="Compact"/>
            </w:pPr>
            <w:r>
              <w:t xml:space="preserve">MIL </w:t>
            </w:r>
            <w:r>
              <w:rPr>
                <w:rFonts w:hint="eastAsia"/>
              </w:rPr>
              <w:t xml:space="preserve">测试通过</w:t>
            </w:r>
          </w:p>
        </w:tc>
        <w:tc>
          <w:tcPr/>
          <w:p>
            <w:pPr>
              <w:pStyle w:val="Compact"/>
            </w:pPr>
            <w:r>
              <w:t xml:space="preserve">10%</w:t>
            </w:r>
          </w:p>
        </w:tc>
        <w:tc>
          <w:tcPr/>
          <w:p>
            <w:pPr>
              <w:pStyle w:val="Compact"/>
            </w:pPr>
            <w:r>
              <w:rPr>
                <w:rFonts w:hint="eastAsia"/>
              </w:rPr>
              <w:t xml:space="preserve">第三方</w:t>
            </w:r>
            <w:r>
              <w:t xml:space="preserve"> CAB </w:t>
            </w:r>
            <w:r>
              <w:rPr>
                <w:rFonts w:hint="eastAsia"/>
              </w:rPr>
              <w:t xml:space="preserve">出具</w:t>
            </w:r>
            <w:r>
              <w:t xml:space="preserve"> MIL </w:t>
            </w:r>
            <w:r>
              <w:rPr>
                <w:rFonts w:hint="eastAsia"/>
              </w:rPr>
              <w:t xml:space="preserve">测试报告，P0</w:t>
            </w:r>
            <w:r>
              <w:t xml:space="preserve"> </w:t>
            </w:r>
            <w:r>
              <w:rPr>
                <w:rFonts w:hint="eastAsia"/>
              </w:rPr>
              <w:t xml:space="preserve">场景覆盖率</w:t>
            </w:r>
            <w:r>
              <w:t xml:space="preserve"> </w:t>
            </w:r>
            <m:oMath>
              <m:r>
                <m:rPr>
                  <m:sty m:val="p"/>
                </m:rPr>
                <m:t>≥</m:t>
              </m:r>
              <m:r>
                <m:t>90</m:t>
              </m:r>
              <m:r>
                <m:rPr>
                  <m:sty m:val="p"/>
                </m:rPr>
                <m:t>%</m:t>
              </m:r>
            </m:oMath>
          </w:p>
        </w:tc>
      </w:tr>
      <w:tr>
        <w:tc>
          <w:tcPr/>
          <w:p>
            <w:pPr>
              <w:pStyle w:val="Compact"/>
            </w:pPr>
            <w:r>
              <w:t xml:space="preserve">SIL </w:t>
            </w:r>
            <w:r>
              <w:rPr>
                <w:rFonts w:hint="eastAsia"/>
              </w:rPr>
              <w:t xml:space="preserve">测试通过</w:t>
            </w:r>
          </w:p>
        </w:tc>
        <w:tc>
          <w:tcPr/>
          <w:p>
            <w:pPr>
              <w:pStyle w:val="Compact"/>
            </w:pPr>
            <w:r>
              <w:t xml:space="preserve">10%</w:t>
            </w:r>
          </w:p>
        </w:tc>
        <w:tc>
          <w:tcPr/>
          <w:p>
            <w:pPr>
              <w:pStyle w:val="Compact"/>
            </w:pPr>
            <w:r>
              <w:t xml:space="preserve">CAB </w:t>
            </w:r>
            <w:r>
              <w:rPr>
                <w:rFonts w:hint="eastAsia"/>
              </w:rPr>
              <w:t xml:space="preserve">出具</w:t>
            </w:r>
            <w:r>
              <w:t xml:space="preserve"> SIL </w:t>
            </w:r>
            <w:r>
              <w:rPr>
                <w:rFonts w:hint="eastAsia"/>
              </w:rPr>
              <w:t xml:space="preserve">报告，所有</w:t>
            </w:r>
            <w:r>
              <w:t xml:space="preserve"> P0 </w:t>
            </w:r>
            <w:r>
              <w:rPr>
                <w:rFonts w:hint="eastAsia"/>
              </w:rPr>
              <w:t xml:space="preserve">场景通过，无硬约束越界</w:t>
            </w:r>
          </w:p>
        </w:tc>
      </w:tr>
      <w:tr>
        <w:tc>
          <w:tcPr/>
          <w:p>
            <w:pPr>
              <w:pStyle w:val="Compact"/>
            </w:pPr>
            <w:r>
              <w:t xml:space="preserve">HIL </w:t>
            </w:r>
            <w:r>
              <w:rPr>
                <w:rFonts w:hint="eastAsia"/>
              </w:rPr>
              <w:t xml:space="preserve">测试通过</w:t>
            </w:r>
          </w:p>
        </w:tc>
        <w:tc>
          <w:tcPr/>
          <w:p>
            <w:pPr>
              <w:pStyle w:val="Compact"/>
            </w:pPr>
            <w:r>
              <w:t xml:space="preserve">15%</w:t>
            </w:r>
          </w:p>
        </w:tc>
        <w:tc>
          <w:tcPr/>
          <w:p>
            <w:pPr>
              <w:pStyle w:val="Compact"/>
            </w:pPr>
            <w:r>
              <w:t xml:space="preserve">CAB </w:t>
            </w:r>
            <w:r>
              <w:rPr>
                <w:rFonts w:hint="eastAsia"/>
              </w:rPr>
              <w:t xml:space="preserve">现场见证</w:t>
            </w:r>
            <w:r>
              <w:t xml:space="preserve"> HIL </w:t>
            </w:r>
            <w:r>
              <w:rPr>
                <w:rFonts w:hint="eastAsia"/>
              </w:rPr>
              <w:t xml:space="preserve">测试通过，准入包五元组完整</w:t>
            </w:r>
          </w:p>
        </w:tc>
      </w:tr>
      <w:tr>
        <w:tc>
          <w:tcPr/>
          <w:p>
            <w:pPr>
              <w:pStyle w:val="Compact"/>
            </w:pPr>
            <w:r>
              <w:rPr>
                <w:rFonts w:hint="eastAsia"/>
              </w:rPr>
              <w:t xml:space="preserve">并网准入通过</w:t>
            </w:r>
          </w:p>
        </w:tc>
        <w:tc>
          <w:tcPr/>
          <w:p>
            <w:pPr>
              <w:pStyle w:val="Compact"/>
            </w:pPr>
            <w:r>
              <w:t xml:space="preserve">15%</w:t>
            </w:r>
          </w:p>
        </w:tc>
        <w:tc>
          <w:tcPr/>
          <w:p>
            <w:pPr>
              <w:pStyle w:val="Compact"/>
            </w:pPr>
            <w:r>
              <w:rPr>
                <w:rFonts w:hint="eastAsia"/>
              </w:rPr>
              <w:t xml:space="preserve">审查委员会发放准入许可，系统正式并网</w:t>
            </w:r>
          </w:p>
        </w:tc>
      </w:tr>
      <w:tr>
        <w:tc>
          <w:tcPr/>
          <w:p>
            <w:pPr>
              <w:pStyle w:val="Compact"/>
            </w:pPr>
            <w:r>
              <w:rPr>
                <w:rFonts w:hint="eastAsia"/>
              </w:rPr>
              <w:t xml:space="preserve">影子运行通过</w:t>
            </w:r>
          </w:p>
        </w:tc>
        <w:tc>
          <w:tcPr/>
          <w:p>
            <w:pPr>
              <w:pStyle w:val="Compact"/>
            </w:pPr>
            <w:r>
              <w:t xml:space="preserve">10%</w:t>
            </w:r>
          </w:p>
        </w:tc>
        <w:tc>
          <w:tcPr/>
          <w:p>
            <w:pPr>
              <w:pStyle w:val="Compact"/>
            </w:pPr>
            <w:r>
              <w:t xml:space="preserve">90 </w:t>
            </w:r>
            <w:r>
              <w:rPr>
                <w:rFonts w:hint="eastAsia"/>
              </w:rPr>
              <w:t xml:space="preserve">天影子运行期间，致危动作率为零，性能达标</w:t>
            </w:r>
          </w:p>
        </w:tc>
      </w:tr>
      <w:tr>
        <w:tc>
          <w:tcPr/>
          <w:p>
            <w:pPr>
              <w:pStyle w:val="Compact"/>
            </w:pPr>
            <w:r>
              <w:rPr>
                <w:rFonts w:hint="eastAsia"/>
              </w:rPr>
              <w:t xml:space="preserve">质保期满</w:t>
            </w:r>
          </w:p>
        </w:tc>
        <w:tc>
          <w:tcPr/>
          <w:p>
            <w:pPr>
              <w:pStyle w:val="Compact"/>
            </w:pPr>
            <w:r>
              <w:t xml:space="preserve">15%</w:t>
            </w:r>
          </w:p>
        </w:tc>
        <w:tc>
          <w:tcPr/>
          <w:p>
            <w:pPr>
              <w:pStyle w:val="Compact"/>
            </w:pPr>
            <w:r>
              <w:rPr>
                <w:rFonts w:hint="eastAsia"/>
              </w:rPr>
              <w:t xml:space="preserve">满</w:t>
            </w:r>
            <w:r>
              <w:t xml:space="preserve"> 12 </w:t>
            </w:r>
            <w:r>
              <w:rPr>
                <w:rFonts w:hint="eastAsia"/>
              </w:rPr>
              <w:t xml:space="preserve">个月，年度持续准入复核通过，无重大事故</w:t>
            </w:r>
          </w:p>
        </w:tc>
      </w:tr>
    </w:tbl>
    <w:p>
      <w:pPr>
        <w:pStyle w:val="BodyText"/>
      </w:pPr>
      <w:r>
        <w:rPr>
          <w:rFonts w:hint="eastAsia"/>
          <w:b/>
          <w:bCs/>
        </w:rPr>
        <w:t xml:space="preserve">违约条款建议</w:t>
      </w:r>
      <w:r>
        <w:rPr>
          <w:rFonts w:hint="eastAsia"/>
        </w:rPr>
        <w:t xml:space="preserve">：若系统在质保期内因集成商责任（经</w:t>
      </w:r>
      <w:r>
        <w:t xml:space="preserve"> RACI </w:t>
      </w:r>
      <w:r>
        <w:rPr>
          <w:rFonts w:hint="eastAsia"/>
        </w:rPr>
        <w:t xml:space="preserve">矩阵断案确认）发生</w:t>
      </w:r>
      <w:r>
        <w:t xml:space="preserve"> P0 </w:t>
      </w:r>
      <w:r>
        <w:rPr>
          <w:rFonts w:hint="eastAsia"/>
        </w:rPr>
        <w:t xml:space="preserve">级</w:t>
      </w:r>
      <w:r>
        <w:t xml:space="preserve"> MRC </w:t>
      </w:r>
      <w:r>
        <w:rPr>
          <w:rFonts w:hint="eastAsia"/>
        </w:rPr>
        <w:t xml:space="preserve">强制触发事件，每次扣减质保金</w:t>
      </w:r>
      <w:r>
        <w:t xml:space="preserve"> </w:t>
      </w:r>
      <m:oMath>
        <m:r>
          <m:t>5</m:t>
        </m:r>
        <m:r>
          <m:rPr>
            <m:sty m:val="p"/>
          </m:rPr>
          <m:t>%</m:t>
        </m:r>
      </m:oMath>
      <w:r>
        <w:rPr>
          <w:rFonts w:hint="eastAsia"/>
        </w:rPr>
        <w:t xml:space="preserve">；若发生漫堤或断流等重大事故，集成商承担事故直接损失的连带赔偿责任（上限为合同总额的</w:t>
      </w:r>
      <w:r>
        <w:t xml:space="preserve"> </w:t>
      </w:r>
      <m:oMath>
        <m:r>
          <m:t>30</m:t>
        </m:r>
        <m:r>
          <m:rPr>
            <m:sty m:val="p"/>
          </m:rPr>
          <m:t>%</m:t>
        </m:r>
      </m:oMath>
      <w:r>
        <w:rPr>
          <w:rFonts w:hint="eastAsia"/>
        </w:rPr>
        <w:t xml:space="preserve">）。</w:t>
      </w:r>
    </w:p>
    <w:bookmarkStart w:id="22" w:name="从功能验收向状态收敛验收转变"/>
    <w:p>
      <w:pPr>
        <w:pStyle w:val="Heading3"/>
      </w:pPr>
      <w:r>
        <w:t xml:space="preserve">11.5.1 </w:t>
      </w:r>
      <w:r>
        <w:rPr>
          <w:rFonts w:hint="eastAsia"/>
        </w:rPr>
        <w:t xml:space="preserve">从”功能验收”向”状态收敛验收”转变</w:t>
      </w:r>
    </w:p>
    <w:p>
      <w:pPr>
        <w:pStyle w:val="FirstParagraph"/>
      </w:pPr>
      <w:r>
        <w:rPr>
          <w:rFonts w:hint="eastAsia"/>
        </w:rPr>
        <w:t xml:space="preserve">在项目实施过程中，付款节点必须与系统的自治性能基准（KPI）强绑定：</w:t>
      </w:r>
    </w:p>
    <w:p>
      <w:pPr>
        <w:pStyle w:val="Compact"/>
        <w:numPr>
          <w:ilvl w:val="0"/>
          <w:numId w:val="1004"/>
        </w:numPr>
      </w:pPr>
      <w:r>
        <w:rPr>
          <w:rFonts w:hint="eastAsia"/>
          <w:b/>
          <w:bCs/>
        </w:rPr>
        <w:t xml:space="preserve">设计审查阶段（初验）</w:t>
      </w:r>
      <w:r>
        <w:rPr>
          <w:rFonts w:hint="eastAsia"/>
        </w:rPr>
        <w:t xml:space="preserve">：要求设计院在指定的仿真平台中，利用其提交的</w:t>
      </w:r>
      <w:r>
        <w:t xml:space="preserve"> MBD </w:t>
      </w:r>
      <w:r>
        <w:rPr>
          <w:rFonts w:hint="eastAsia"/>
        </w:rPr>
        <w:t xml:space="preserve">模型成功回放</w:t>
      </w:r>
      <w:r>
        <w:t xml:space="preserve"> 3 </w:t>
      </w:r>
      <w:r>
        <w:rPr>
          <w:rFonts w:hint="eastAsia"/>
        </w:rPr>
        <w:t xml:space="preserve">个极端的历史工况，证明其理论控制策略不发散。</w:t>
      </w:r>
    </w:p>
    <w:p>
      <w:pPr>
        <w:pStyle w:val="Compact"/>
        <w:numPr>
          <w:ilvl w:val="0"/>
          <w:numId w:val="1004"/>
        </w:numPr>
      </w:pPr>
      <w:r>
        <w:rPr>
          <w:rFonts w:hint="eastAsia"/>
          <w:b/>
          <w:bCs/>
        </w:rPr>
        <w:t xml:space="preserve">影子运行期（Shadow</w:t>
      </w:r>
      <w:r>
        <w:rPr>
          <w:b/>
          <w:bCs/>
        </w:rPr>
        <w:t xml:space="preserve"> </w:t>
      </w:r>
      <w:r>
        <w:rPr>
          <w:rFonts w:hint="eastAsia"/>
          <w:b/>
          <w:bCs/>
        </w:rPr>
        <w:t xml:space="preserve">Mode）</w:t>
      </w:r>
      <w:r>
        <w:rPr>
          <w:rFonts w:hint="eastAsia"/>
        </w:rPr>
        <w:t xml:space="preserve">：新系统上线后，必须经历至少</w:t>
      </w:r>
      <w:r>
        <w:t xml:space="preserve"> 3 </w:t>
      </w:r>
      <w:r>
        <w:rPr>
          <w:rFonts w:hint="eastAsia"/>
        </w:rPr>
        <w:t xml:space="preserve">个月的”影子运行”。由并行运行的状态评估器比较</w:t>
      </w:r>
      <w:r>
        <w:t xml:space="preserve"> AI </w:t>
      </w:r>
      <w:r>
        <w:rPr>
          <w:rFonts w:hint="eastAsia"/>
        </w:rPr>
        <w:t xml:space="preserve">控制策略与传统调度策略在安全裕度、超调量上的差异。只有当新算法的”致危动作率为零”时，方可接入真实执行回路。</w:t>
      </w:r>
    </w:p>
    <w:p>
      <w:pPr>
        <w:pStyle w:val="Compact"/>
        <w:numPr>
          <w:ilvl w:val="0"/>
          <w:numId w:val="1004"/>
        </w:numPr>
      </w:pPr>
      <w:r>
        <w:rPr>
          <w:rFonts w:hint="eastAsia"/>
          <w:b/>
          <w:bCs/>
        </w:rPr>
        <w:t xml:space="preserve">终验与质保期</w:t>
      </w:r>
      <w:r>
        <w:rPr>
          <w:rFonts w:hint="eastAsia"/>
        </w:rPr>
        <w:t xml:space="preserve">：将系统的”有效运行区间百分比（在</w:t>
      </w:r>
      <w:r>
        <w:t xml:space="preserve"> ODD </w:t>
      </w:r>
      <w:r>
        <w:rPr>
          <w:rFonts w:hint="eastAsia"/>
        </w:rPr>
        <w:t xml:space="preserve">内的时间占比）</w:t>
      </w:r>
      <w:r>
        <w:rPr>
          <w:rFonts w:hint="eastAsia"/>
        </w:rPr>
        <w:t xml:space="preserve">“和”</w:t>
      </w:r>
      <w:r>
        <w:rPr>
          <w:rFonts w:hint="eastAsia"/>
        </w:rPr>
        <w:t xml:space="preserve">非计划接管率”作为尾款支付的硬性考核指标。</w:t>
      </w:r>
    </w:p>
    <w:bookmarkEnd w:id="22"/>
    <w:bookmarkStart w:id="23" w:name="终身审计模型代码的责任溯源"/>
    <w:p>
      <w:pPr>
        <w:pStyle w:val="Heading3"/>
      </w:pPr>
      <w:r>
        <w:t xml:space="preserve">11.5.2 </w:t>
      </w:r>
      <w:r>
        <w:rPr>
          <w:rFonts w:hint="eastAsia"/>
        </w:rPr>
        <w:t xml:space="preserve">终身审计：模型代码的”责任溯源”</w:t>
      </w:r>
    </w:p>
    <w:p>
      <w:pPr>
        <w:pStyle w:val="FirstParagraph"/>
      </w:pPr>
      <w:r>
        <w:rPr>
          <w:rFonts w:hint="eastAsia"/>
        </w:rPr>
        <w:t xml:space="preserve">在合同法务条款中明确：设计院交付的是</w:t>
      </w:r>
      <w:r>
        <w:rPr>
          <w:rFonts w:hint="eastAsia"/>
          <w:b/>
          <w:bCs/>
        </w:rPr>
        <w:t xml:space="preserve">物理安全与控制模型设计的连带责任</w:t>
      </w:r>
      <w:r>
        <w:rPr>
          <w:rFonts w:hint="eastAsia"/>
        </w:rPr>
        <w:t xml:space="preserve">，而软件厂商交付的是</w:t>
      </w:r>
      <w:r>
        <w:rPr>
          <w:rFonts w:hint="eastAsia"/>
          <w:b/>
          <w:bCs/>
        </w:rPr>
        <w:t xml:space="preserve">对</w:t>
      </w:r>
      <w:r>
        <w:rPr>
          <w:b/>
          <w:bCs/>
        </w:rPr>
        <w:t xml:space="preserve"> ODD </w:t>
      </w:r>
      <w:r>
        <w:rPr>
          <w:rFonts w:hint="eastAsia"/>
          <w:b/>
          <w:bCs/>
        </w:rPr>
        <w:t xml:space="preserve">边界内的代码执行责任</w:t>
      </w:r>
      <w:r>
        <w:rPr>
          <w:rFonts w:hint="eastAsia"/>
        </w:rPr>
        <w:t xml:space="preserve">。业主方应要求系统建立高频、不可篡改的”决策逻辑归因日志（Causal</w:t>
      </w:r>
      <w:r>
        <w:t xml:space="preserve"> Tree </w:t>
      </w:r>
      <w:r>
        <w:rPr>
          <w:rFonts w:hint="eastAsia"/>
        </w:rPr>
        <w:t xml:space="preserve">Log）“。一旦未来水网系统发生漫堤、断流等事故：</w:t>
      </w:r>
    </w:p>
    <w:p>
      <w:pPr>
        <w:pStyle w:val="Compact"/>
        <w:numPr>
          <w:ilvl w:val="0"/>
          <w:numId w:val="1005"/>
        </w:numPr>
      </w:pPr>
      <w:r>
        <w:rPr>
          <w:rFonts w:hint="eastAsia"/>
        </w:rPr>
        <w:t xml:space="preserve">若证明事故时系统超出了</w:t>
      </w:r>
      <w:r>
        <w:t xml:space="preserve"> ODD </w:t>
      </w:r>
      <w:r>
        <w:rPr>
          <w:rFonts w:hint="eastAsia"/>
        </w:rPr>
        <w:t xml:space="preserve">边界，且设计院在设计时未能预见该合理工况，则</w:t>
      </w:r>
      <w:r>
        <w:rPr>
          <w:rFonts w:hint="eastAsia"/>
          <w:b/>
          <w:bCs/>
        </w:rPr>
        <w:t xml:space="preserve">设计院担责</w:t>
      </w:r>
      <w:r>
        <w:rPr>
          <w:rFonts w:hint="eastAsia"/>
        </w:rPr>
        <w:t xml:space="preserve">；</w:t>
      </w:r>
    </w:p>
    <w:p>
      <w:pPr>
        <w:pStyle w:val="Compact"/>
        <w:numPr>
          <w:ilvl w:val="0"/>
          <w:numId w:val="1005"/>
        </w:numPr>
      </w:pPr>
      <w:r>
        <w:rPr>
          <w:rFonts w:hint="eastAsia"/>
        </w:rPr>
        <w:t xml:space="preserve">若证明系统仍处于</w:t>
      </w:r>
      <w:r>
        <w:t xml:space="preserve"> ODD </w:t>
      </w:r>
      <w:r>
        <w:rPr>
          <w:rFonts w:hint="eastAsia"/>
        </w:rPr>
        <w:t xml:space="preserve">范围内，且系统未能有效触发</w:t>
      </w:r>
      <w:r>
        <w:t xml:space="preserve"> MRC </w:t>
      </w:r>
      <w:r>
        <w:rPr>
          <w:rFonts w:hint="eastAsia"/>
        </w:rPr>
        <w:t xml:space="preserve">降级机制，则</w:t>
      </w:r>
      <w:r>
        <w:rPr>
          <w:rFonts w:hint="eastAsia"/>
          <w:b/>
          <w:bCs/>
        </w:rPr>
        <w:t xml:space="preserve">算法供应商/集成商担责</w:t>
      </w:r>
      <w:r>
        <w:t xml:space="preserve">。</w:t>
      </w:r>
    </w:p>
    <w:p>
      <w:r>
        <w:pict>
          <v:rect style="width:0;height:1.5pt" o:hralign="center" o:hrstd="t" o:hr="t"/>
        </w:pict>
      </w:r>
    </w:p>
    <w:bookmarkEnd w:id="23"/>
    <w:bookmarkEnd w:id="24"/>
    <w:bookmarkStart w:id="25" w:name="业主如何辨别ppt-造车厂商5-个实操技巧"/>
    <w:p>
      <w:pPr>
        <w:pStyle w:val="Heading2"/>
      </w:pPr>
      <w:r>
        <w:t xml:space="preserve">11.6 </w:t>
      </w:r>
      <w:r>
        <w:rPr>
          <w:rFonts w:hint="eastAsia"/>
        </w:rPr>
        <w:t xml:space="preserve">业主如何辨别”PPT</w:t>
      </w:r>
      <w:r>
        <w:t xml:space="preserve"> </w:t>
      </w:r>
      <w:r>
        <w:rPr>
          <w:rFonts w:hint="eastAsia"/>
        </w:rPr>
        <w:t xml:space="preserve">造车”厂商：5</w:t>
      </w:r>
      <w:r>
        <w:t xml:space="preserve"> </w:t>
      </w:r>
      <w:r>
        <w:rPr>
          <w:rFonts w:hint="eastAsia"/>
        </w:rPr>
        <w:t xml:space="preserve">个实操技巧</w:t>
      </w:r>
    </w:p>
    <w:p>
      <w:pPr>
        <w:pStyle w:val="FirstParagraph"/>
      </w:pPr>
      <w:r>
        <w:rPr>
          <w:rFonts w:hint="eastAsia"/>
        </w:rPr>
        <w:t xml:space="preserve">在智能化水利工程的投标市场中，</w:t>
      </w:r>
      <w:r>
        <w:t xml:space="preserve">“PPT </w:t>
      </w:r>
      <w:r>
        <w:rPr>
          <w:rFonts w:hint="eastAsia"/>
        </w:rPr>
        <w:t xml:space="preserve">造车”</w:t>
      </w:r>
      <w:r>
        <w:rPr>
          <w:rFonts w:hint="eastAsia"/>
        </w:rPr>
        <w:t xml:space="preserve">现象（方案宣讲精美，但缺乏真实工程积累）十分普遍。业主方可采用以下</w:t>
      </w:r>
      <w:r>
        <w:t xml:space="preserve"> 5 </w:t>
      </w:r>
      <w:r>
        <w:rPr>
          <w:rFonts w:hint="eastAsia"/>
        </w:rPr>
        <w:t xml:space="preserve">个实操技巧进行甄别，这些技巧无需深厚的水利行业背景知识，任何具备工程管理经验的业主代表均可执行。</w:t>
      </w:r>
    </w:p>
    <w:p>
      <w:pPr>
        <w:pStyle w:val="BodyText"/>
      </w:pPr>
      <w:r>
        <w:rPr>
          <w:rFonts w:hint="eastAsia"/>
          <w:b/>
          <w:bCs/>
        </w:rPr>
        <w:t xml:space="preserve">技巧一：要求现场演示</w:t>
      </w:r>
      <w:r>
        <w:rPr>
          <w:b/>
          <w:bCs/>
        </w:rPr>
        <w:t xml:space="preserve"> FMU </w:t>
      </w:r>
      <w:r>
        <w:rPr>
          <w:rFonts w:hint="eastAsia"/>
          <w:b/>
          <w:bCs/>
        </w:rPr>
        <w:t xml:space="preserve">加载</w:t>
      </w:r>
    </w:p>
    <w:p>
      <w:pPr>
        <w:pStyle w:val="BodyText"/>
      </w:pPr>
      <w:r>
        <w:rPr>
          <w:rFonts w:hint="eastAsia"/>
        </w:rPr>
        <w:t xml:space="preserve">在资格预审阶段，要求所有投标方携带其声称已完成的某项目</w:t>
      </w:r>
      <w:r>
        <w:t xml:space="preserve"> FMU </w:t>
      </w:r>
      <w:r>
        <w:rPr>
          <w:rFonts w:hint="eastAsia"/>
        </w:rPr>
        <w:t xml:space="preserve">文件，在业主提供的、安装了标准</w:t>
      </w:r>
      <w:r>
        <w:t xml:space="preserve"> FMI </w:t>
      </w:r>
      <w:r>
        <w:rPr>
          <w:rFonts w:hint="eastAsia"/>
        </w:rPr>
        <w:t xml:space="preserve">工具（如</w:t>
      </w:r>
      <w:r>
        <w:t xml:space="preserve"> OpenModelica </w:t>
      </w:r>
      <w:r>
        <w:rPr>
          <w:rFonts w:hint="eastAsia"/>
        </w:rPr>
        <w:t xml:space="preserve">或</w:t>
      </w:r>
      <w:r>
        <w:t xml:space="preserve"> </w:t>
      </w:r>
      <w:r>
        <w:rPr>
          <w:rFonts w:hint="eastAsia"/>
        </w:rPr>
        <w:t xml:space="preserve">PyFMI）的电脑上，现场不提前准备地独立加载并运行</w:t>
      </w:r>
      <w:r>
        <w:t xml:space="preserve"> 30 </w:t>
      </w:r>
      <w:r>
        <w:rPr>
          <w:rFonts w:hint="eastAsia"/>
        </w:rPr>
        <w:t xml:space="preserve">秒仿真。如果该</w:t>
      </w:r>
      <w:r>
        <w:t xml:space="preserve"> FMU </w:t>
      </w:r>
      <w:r>
        <w:rPr>
          <w:rFonts w:hint="eastAsia"/>
        </w:rPr>
        <w:t xml:space="preserve">文件无法在通用平台上运行（需要依赖特定厂商的专有软件），或者投标方拒绝展示，则说明其</w:t>
      </w:r>
      <w:r>
        <w:t xml:space="preserve"> MBD </w:t>
      </w:r>
      <w:r>
        <w:rPr>
          <w:rFonts w:hint="eastAsia"/>
        </w:rPr>
        <w:t xml:space="preserve">能力存疑。</w:t>
      </w:r>
    </w:p>
    <w:p>
      <w:pPr>
        <w:pStyle w:val="BodyText"/>
      </w:pPr>
      <w:r>
        <w:rPr>
          <w:rFonts w:hint="eastAsia"/>
          <w:b/>
          <w:bCs/>
        </w:rPr>
        <w:t xml:space="preserve">技巧二：追问</w:t>
      </w:r>
      <w:r>
        <w:rPr>
          <w:b/>
          <w:bCs/>
        </w:rPr>
        <w:t xml:space="preserve"> P0 </w:t>
      </w:r>
      <w:r>
        <w:rPr>
          <w:rFonts w:hint="eastAsia"/>
          <w:b/>
          <w:bCs/>
        </w:rPr>
        <w:t xml:space="preserve">场景的</w:t>
      </w:r>
      <w:r>
        <w:rPr>
          <w:b/>
          <w:bCs/>
        </w:rPr>
        <w:t xml:space="preserve"> HIL </w:t>
      </w:r>
      <w:r>
        <w:rPr>
          <w:rFonts w:hint="eastAsia"/>
          <w:b/>
          <w:bCs/>
        </w:rPr>
        <w:t xml:space="preserve">录像时间戳</w:t>
      </w:r>
    </w:p>
    <w:p>
      <w:pPr>
        <w:pStyle w:val="BodyText"/>
      </w:pPr>
      <w:r>
        <w:rPr>
          <w:rFonts w:hint="eastAsia"/>
        </w:rPr>
        <w:t xml:space="preserve">要求投标方提供其历史项目</w:t>
      </w:r>
      <w:r>
        <w:t xml:space="preserve"> HIL </w:t>
      </w:r>
      <w:r>
        <w:rPr>
          <w:rFonts w:hint="eastAsia"/>
        </w:rPr>
        <w:t xml:space="preserve">测试报告，并随机抽取一个</w:t>
      </w:r>
      <w:r>
        <w:t xml:space="preserve"> P0 </w:t>
      </w:r>
      <w:r>
        <w:rPr>
          <w:rFonts w:hint="eastAsia"/>
        </w:rPr>
        <w:t xml:space="preserve">场景（如”全域断网”），要求投标方在</w:t>
      </w:r>
      <w:r>
        <w:t xml:space="preserve"> 5 </w:t>
      </w:r>
      <w:r>
        <w:rPr>
          <w:rFonts w:hint="eastAsia"/>
        </w:rPr>
        <w:t xml:space="preserve">分钟内，在其</w:t>
      </w:r>
      <w:r>
        <w:t xml:space="preserve"> HIL </w:t>
      </w:r>
      <w:r>
        <w:rPr>
          <w:rFonts w:hint="eastAsia"/>
        </w:rPr>
        <w:t xml:space="preserve">测试录像中找到该场景对应的时间段，并解释当时系统的控制响应过程。真正做过</w:t>
      </w:r>
      <w:r>
        <w:t xml:space="preserve"> HIL </w:t>
      </w:r>
      <w:r>
        <w:rPr>
          <w:rFonts w:hint="eastAsia"/>
        </w:rPr>
        <w:t xml:space="preserve">测试的厂商能够迅速定位；从未做过的厂商往往无法提供具体录像，或录像内容与描述不符。</w:t>
      </w:r>
    </w:p>
    <w:p>
      <w:pPr>
        <w:pStyle w:val="BodyText"/>
      </w:pPr>
      <w:r>
        <w:rPr>
          <w:rFonts w:hint="eastAsia"/>
          <w:b/>
          <w:bCs/>
        </w:rPr>
        <w:t xml:space="preserve">技巧三：查验</w:t>
      </w:r>
      <w:r>
        <w:rPr>
          <w:b/>
          <w:bCs/>
        </w:rPr>
        <w:t xml:space="preserve"> DIL </w:t>
      </w:r>
      <w:r>
        <w:rPr>
          <w:rFonts w:hint="eastAsia"/>
          <w:b/>
          <w:bCs/>
        </w:rPr>
        <w:t xml:space="preserve">等级证书原件</w:t>
      </w:r>
    </w:p>
    <w:p>
      <w:pPr>
        <w:pStyle w:val="BodyText"/>
      </w:pPr>
      <w:r>
        <w:rPr>
          <w:rFonts w:hint="eastAsia"/>
        </w:rPr>
        <w:t xml:space="preserve">要求投标方提供由认定机构签发的</w:t>
      </w:r>
      <w:r>
        <w:t xml:space="preserve"> DIL </w:t>
      </w:r>
      <w:r>
        <w:rPr>
          <w:rFonts w:hint="eastAsia"/>
        </w:rPr>
        <w:t xml:space="preserve">等级证书，并通过认定机构官网或电话进行核验。注意：即使证书真实，也须核查证书的”适用范围”是否覆盖本工程的规模与类型（如证书标注”仅适用于</w:t>
      </w:r>
      <w:r>
        <w:t xml:space="preserve"> </w:t>
      </w:r>
      <m:oMath>
        <m:r>
          <m:t>Q</m:t>
        </m:r>
        <m:r>
          <m:rPr>
            <m:sty m:val="p"/>
          </m:rPr>
          <m:t>&lt;</m:t>
        </m:r>
        <m:r>
          <m:t>20</m:t>
        </m:r>
        <m:sSup>
          <m:e>
            <m:r>
              <m:rPr>
                <m:nor/>
                <m:sty m:val="p"/>
              </m:rPr>
              <m:t> m</m:t>
            </m:r>
          </m:e>
          <m:sup>
            <m:r>
              <m:t>3</m:t>
            </m:r>
          </m:sup>
        </m:sSup>
        <m:r>
          <m:rPr>
            <m:sty m:val="p"/>
          </m:rPr>
          <m:t>/</m:t>
        </m:r>
        <m:r>
          <m:rPr>
            <m:nor/>
            <m:sty m:val="p"/>
          </m:rPr>
          <m:t>s</m:t>
        </m:r>
      </m:oMath>
      <w:r>
        <w:t xml:space="preserve"> </w:t>
      </w:r>
      <w:r>
        <w:rPr>
          <w:rFonts w:hint="eastAsia"/>
        </w:rPr>
        <w:t xml:space="preserve">的泵站工程”，则不适用于大型明渠调水项目）。</w:t>
      </w:r>
    </w:p>
    <w:p>
      <w:pPr>
        <w:pStyle w:val="BodyText"/>
      </w:pPr>
      <w:r>
        <w:rPr>
          <w:rFonts w:hint="eastAsia"/>
          <w:b/>
          <w:bCs/>
        </w:rPr>
        <w:t xml:space="preserve">技巧四：询问”最近一次</w:t>
      </w:r>
      <w:r>
        <w:rPr>
          <w:b/>
          <w:bCs/>
        </w:rPr>
        <w:t xml:space="preserve"> MRC </w:t>
      </w:r>
      <w:r>
        <w:rPr>
          <w:rFonts w:hint="eastAsia"/>
          <w:b/>
          <w:bCs/>
        </w:rPr>
        <w:t xml:space="preserve">触发时的处置过程”</w:t>
      </w:r>
    </w:p>
    <w:p>
      <w:pPr>
        <w:pStyle w:val="BodyText"/>
      </w:pPr>
      <w:r>
        <w:rPr>
          <w:rFonts w:hint="eastAsia"/>
        </w:rPr>
        <w:t xml:space="preserve">向投标方的技术负责人提问：</w:t>
      </w:r>
      <w:r>
        <w:rPr>
          <w:rFonts w:hint="eastAsia"/>
        </w:rPr>
        <w:t xml:space="preserve">“在你们迄今承接的项目中，有没有发生过系统自主触发</w:t>
      </w:r>
      <w:r>
        <w:t xml:space="preserve"> MRC </w:t>
      </w:r>
      <w:r>
        <w:rPr>
          <w:rFonts w:hint="eastAsia"/>
        </w:rPr>
        <w:t xml:space="preserve">降级的事件？发生时是怎么处置的？事后做了哪些改进？”</w:t>
      </w:r>
      <w:r>
        <w:rPr>
          <w:rFonts w:hint="eastAsia"/>
        </w:rPr>
        <w:t xml:space="preserve">真正有工程积累的厂商通常能够讲出真实案例（包括问题的根因和改进措施）；没有实际运行经验的厂商往往给出过于完美的”系统从未出现过问题”的答案，或者无法描述具体细节。</w:t>
      </w:r>
    </w:p>
    <w:p>
      <w:pPr>
        <w:pStyle w:val="BodyText"/>
      </w:pPr>
      <w:r>
        <w:rPr>
          <w:rFonts w:hint="eastAsia"/>
          <w:b/>
          <w:bCs/>
        </w:rPr>
        <w:t xml:space="preserve">技巧五：要求提供</w:t>
      </w:r>
      <w:r>
        <w:rPr>
          <w:b/>
          <w:bCs/>
        </w:rPr>
        <w:t xml:space="preserve"> ODD </w:t>
      </w:r>
      <w:r>
        <w:rPr>
          <w:rFonts w:hint="eastAsia"/>
          <w:b/>
          <w:bCs/>
        </w:rPr>
        <w:t xml:space="preserve">边界参数的数据来源</w:t>
      </w:r>
    </w:p>
    <w:p>
      <w:pPr>
        <w:pStyle w:val="BodyText"/>
      </w:pPr>
      <w:r>
        <w:rPr>
          <w:rFonts w:hint="eastAsia"/>
        </w:rPr>
        <w:t xml:space="preserve">要求投标方解释其</w:t>
      </w:r>
      <w:r>
        <w:t xml:space="preserve"> ODD </w:t>
      </w:r>
      <w:r>
        <w:rPr>
          <w:rFonts w:hint="eastAsia"/>
        </w:rPr>
        <w:t xml:space="preserve">白皮书中的边界参数（如”通信延迟硬停阈值</w:t>
      </w:r>
      <w:r>
        <w:t xml:space="preserve"> </w:t>
      </w:r>
      <m:oMath>
        <m:r>
          <m:rPr>
            <m:sty m:val="p"/>
          </m:rPr>
          <m:t>&gt;</m:t>
        </m:r>
        <m:r>
          <m:t>200</m:t>
        </m:r>
      </m:oMath>
      <w:r>
        <w:t xml:space="preserve"> </w:t>
      </w:r>
      <w:r>
        <w:rPr>
          <w:rFonts w:hint="eastAsia"/>
        </w:rPr>
        <w:t xml:space="preserve">ms”）是如何确定的，是基于哪个工程的实测数据，还是来自哪篇学术文献的推算。有能力做</w:t>
      </w:r>
      <w:r>
        <w:t xml:space="preserve"> ODD </w:t>
      </w:r>
      <w:r>
        <w:rPr>
          <w:rFonts w:hint="eastAsia"/>
        </w:rPr>
        <w:t xml:space="preserve">定量化的设计团队，必然能够清晰地说明每个参数的数据来源和计算逻辑；而凭空填写参数的方案，往往无法回答追问，或给出自相矛盾的解释。</w:t>
      </w:r>
    </w:p>
    <w:p>
      <w:pPr>
        <w:pStyle w:val="BodyText"/>
      </w:pPr>
      <w:r>
        <w:rPr>
          <w:rFonts w:hint="eastAsia"/>
        </w:rPr>
        <w:t xml:space="preserve">通过这套基于《水系统控制论》[1]</w:t>
      </w:r>
      <w:r>
        <w:t xml:space="preserve"> </w:t>
      </w:r>
      <w:r>
        <w:rPr>
          <w:rFonts w:hint="eastAsia"/>
        </w:rPr>
        <w:t xml:space="preserve">和</w:t>
      </w:r>
      <w:r>
        <w:t xml:space="preserve"> MBD </w:t>
      </w:r>
      <w:r>
        <w:rPr>
          <w:rFonts w:hint="eastAsia"/>
        </w:rPr>
        <w:t xml:space="preserve">设计范式重塑的招采约束体系，业主方才能真正掌握智能化建设的主动权，倒逼整个行业从”PPT</w:t>
      </w:r>
      <w:r>
        <w:t xml:space="preserve"> </w:t>
      </w:r>
      <w:r>
        <w:rPr>
          <w:rFonts w:hint="eastAsia"/>
        </w:rPr>
        <w:t xml:space="preserve">画图”向”严肃的系统工程”演进。</w:t>
      </w:r>
    </w:p>
    <w:bookmarkEnd w:id="25"/>
    <w:bookmarkStart w:id="26" w:name="参考文献"/>
    <w:p>
      <w:pPr>
        <w:pStyle w:val="Heading2"/>
      </w:pP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DOI:10.13476/j.cnki.nsbdqk.2025.0079.</w:t>
      </w:r>
    </w:p>
    <w:p>
      <w:pPr>
        <w:pStyle w:val="BodyText"/>
      </w:pPr>
      <w:r>
        <w:t xml:space="preserve">[2]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w:t>
      </w:r>
      <w:r>
        <w:t xml:space="preserve"> [J]. </w:t>
      </w:r>
      <w:r>
        <w:rPr>
          <w:rFonts w:hint="eastAsia"/>
        </w:rPr>
        <w:t xml:space="preserve">南水北调与水利科技(中英文),</w:t>
      </w:r>
      <w:r>
        <w:t xml:space="preserve"> 2025, 23(04): 787-793. DOI:10.13476/j.cnki.nsbdqk.2025.0080.</w:t>
      </w:r>
    </w:p>
    <w:p>
      <w:pPr>
        <w:pStyle w:val="BodyText"/>
      </w:pPr>
      <w:r>
        <w:t xml:space="preserve">[3] SAE International. Taxonomy and Definitions for Terms Related to Driving Automation Systems for On-Road Motor Vehicles: J3016 [S]. 2021.</w:t>
      </w:r>
    </w:p>
    <w:p>
      <w:pPr>
        <w:pStyle w:val="BodyText"/>
      </w:pPr>
      <w:r>
        <w:t xml:space="preserve">[4] ISO. ISO 26262: Road vehicles — Functional safety [S]. Geneva: International Organization for Standardization, 2018.</w:t>
      </w:r>
    </w:p>
    <w:p>
      <w:pPr>
        <w:pStyle w:val="BodyText"/>
      </w:pPr>
      <w:r>
        <w:t xml:space="preserve">[5] IEC. IEC 62443-3-3:2013 System security requirements and security levels; IEC 62443-4-2:2019 Technical security requirements for IACS components [S]. Geneva: International Electrotechnical Commission.</w:t>
      </w:r>
    </w:p>
    <w:p>
      <w:pPr>
        <w:pStyle w:val="BodyText"/>
      </w:pPr>
      <w:r>
        <w:t xml:space="preserve">[6] CESA. </w:t>
      </w:r>
      <w:r>
        <w:rPr>
          <w:rFonts w:hint="eastAsia"/>
        </w:rPr>
        <w:t xml:space="preserve">智慧调水</w:t>
      </w:r>
      <w:r>
        <w:t xml:space="preserve"> </w:t>
      </w:r>
      <w:r>
        <w:rPr>
          <w:rFonts w:hint="eastAsia"/>
        </w:rPr>
        <w:t xml:space="preserve">明渠、闸站、泵站系列团体标准</w:t>
      </w:r>
      <w:r>
        <w:t xml:space="preserve"> (T/CESA 1469~1483-2025) [S]. </w:t>
      </w:r>
      <w:r>
        <w:rPr>
          <w:rFonts w:hint="eastAsia"/>
        </w:rPr>
        <w:t xml:space="preserve">中国电子工业标准化技术协会,</w:t>
      </w:r>
      <w:r>
        <w:t xml:space="preserve"> 2025.</w:t>
      </w:r>
    </w:p>
    <w:p>
      <w:pPr>
        <w:pStyle w:val="BodyText"/>
      </w:pPr>
      <w:r>
        <w:t xml:space="preserve">[7] FMI. Functional Mock-up Interface for Model Exchange and Co-Simulation [S]. Modelica Association.</w:t>
      </w:r>
    </w:p>
    <w:p>
      <w:r>
        <w:pict>
          <v:rect style="width:0;height:1.5pt" o:hralign="center" o:hrstd="t" o:hr="t"/>
        </w:pict>
      </w:r>
    </w:p>
    <w:bookmarkEnd w:id="26"/>
    <w:bookmarkStart w:id="27" w:name="课后习题"/>
    <w:p>
      <w:pPr>
        <w:pStyle w:val="Heading2"/>
      </w:pPr>
      <w:r>
        <w:rPr>
          <w:rFonts w:hint="eastAsia"/>
        </w:rPr>
        <w:t xml:space="preserve">课后习题</w:t>
      </w:r>
    </w:p>
    <w:p>
      <w:pPr>
        <w:pStyle w:val="FirstParagraph"/>
      </w:pPr>
      <w:r>
        <w:rPr>
          <w:rFonts w:hint="eastAsia"/>
        </w:rPr>
        <w:t xml:space="preserve">（详见</w:t>
      </w:r>
      <w:r>
        <w:t xml:space="preserve"> </w:t>
      </w:r>
      <w:r>
        <w:rPr>
          <w:rFonts w:hint="eastAsia"/>
        </w:rPr>
        <w:t xml:space="preserve">reviews/t3_exercises_generated.md，请将习题复制至此处）</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2026-03-21T23:05:28Z</dcterms:created>
  <dcterms:modified xsi:type="dcterms:W3CDTF">2026-03-21T23:05:28Z</dcterms:modified>
</cp:coreProperties>
</file>

<file path=docProps/custom.xml><?xml version="1.0" encoding="utf-8"?>
<Properties xmlns="http://schemas.openxmlformats.org/officeDocument/2006/custom-properties" xmlns:vt="http://schemas.openxmlformats.org/officeDocument/2006/docPropsVTypes"/>
</file>