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人工智能与水利水电工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人工智能与水利水电工程</w:t>
      </w:r>
    </w:p>
    <w:p>
      <w:pPr>
        <w:pStyle w:val="FirstParagraph"/>
      </w:pPr>
      <w:r>
        <w:rPr>
          <w:rFonts w:hint="eastAsia"/>
        </w:rPr>
        <w:t xml:space="preserve">面向水利工程专业研究生和工程师的教材。</w:t>
      </w:r>
    </w:p>
    <w:bookmarkStart w:id="9" w:name="参考文献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Goodfellow, I., Bengio, Y.,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Compact"/>
        <w:numPr>
          <w:ilvl w:val="0"/>
          <w:numId w:val="1001"/>
        </w:numPr>
      </w:pPr>
      <w:r>
        <w:t xml:space="preserve">Shen, C. (2018). A Transdisciplinary Review of Deep Learning Research and Its Relevance for Water Resources Scientists.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54(11), 8558-8593.</w:t>
      </w:r>
    </w:p>
    <w:p>
      <w:pPr>
        <w:pStyle w:val="Compact"/>
        <w:numPr>
          <w:ilvl w:val="0"/>
          <w:numId w:val="1001"/>
        </w:numPr>
      </w:pPr>
      <w:r>
        <w:t xml:space="preserve">Kratzert, F., et al. (2018). Rainfall–runoff modelling using Long Short-Term Memory (LSTM) networks.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22(11), 6005-6022.</w:t>
      </w:r>
    </w:p>
    <w:p>
      <w:pPr>
        <w:pStyle w:val="Compact"/>
        <w:numPr>
          <w:ilvl w:val="0"/>
          <w:numId w:val="1001"/>
        </w:numPr>
      </w:pPr>
      <w:r>
        <w:t xml:space="preserve">Lei et al. (2025b). </w:t>
      </w:r>
      <w:r>
        <w:rPr>
          <w:rFonts w:hint="eastAsia"/>
        </w:rPr>
        <w:t xml:space="preserve">自主水网：概念、架构与关键技术.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10.13476/j.cnki.nsbdqk.2025.0079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2026-03-21T06:35:43Z</dcterms:created>
  <dcterms:modified xsi:type="dcterms:W3CDTF">2026-03-21T06:35:43Z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