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内河航道与通航水力学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内河航道与通航水力学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Pianc (2014).</w:t>
      </w:r>
      <w:r>
        <w:t xml:space="preserve"> </w:t>
      </w:r>
      <w:r>
        <w:rPr>
          <w:i/>
          <w:iCs/>
        </w:rPr>
        <w:t xml:space="preserve">Harbour Approach Channels Design Guidelines</w:t>
      </w:r>
      <w:r>
        <w:t xml:space="preserve">. PIANC Report No. 121.</w:t>
      </w:r>
    </w:p>
    <w:p>
      <w:pPr>
        <w:pStyle w:val="Compact"/>
        <w:numPr>
          <w:ilvl w:val="0"/>
          <w:numId w:val="1001"/>
        </w:numPr>
      </w:pPr>
      <w:r>
        <w:t xml:space="preserve">Briggs, M. J., et al. (2013). Ship-induced waves and sediment transport in restricted waterways.</w:t>
      </w:r>
      <w:r>
        <w:t xml:space="preserve"> </w:t>
      </w:r>
      <w:r>
        <w:rPr>
          <w:i/>
          <w:iCs/>
        </w:rPr>
        <w:t xml:space="preserve">Coastal Engineering</w:t>
      </w:r>
      <w:r>
        <w:t xml:space="preserve">, 82, 42-55.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2026-03-21T06:37:30Z</dcterms:created>
  <dcterms:modified xsi:type="dcterms:W3CDTF">2026-03-21T06:37:30Z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