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第-4-章白盒测试与硬件在环hil技术"/>
    <w:p>
      <w:pPr>
        <w:pStyle w:val="Heading1"/>
      </w:pPr>
      <w:r>
        <w:rPr>
          <w:rStyle w:val="SectionNumber"/>
        </w:rPr>
        <w:t xml:space="preserve">1</w:t>
      </w:r>
      <w:r>
        <w:tab/>
      </w:r>
      <w:r>
        <w:rPr>
          <w:rFonts w:hint="eastAsia"/>
        </w:rPr>
        <w:t xml:space="preserve">第</w:t>
      </w:r>
      <w:r>
        <w:t xml:space="preserve"> 4 </w:t>
      </w:r>
      <w:r>
        <w:rPr>
          <w:rFonts w:hint="eastAsia"/>
        </w:rPr>
        <w:t xml:space="preserve">章：白盒测试与硬件在环（HIL）技术</w:t>
      </w:r>
    </w:p>
    <w:p>
      <w:pPr>
        <w:pStyle w:val="FirstParagraph"/>
      </w:pPr>
      <w:r>
        <w:rPr>
          <w:rFonts w:hint="eastAsia"/>
        </w:rPr>
        <w:t xml:space="preserve">在第3章中，我们详细探讨了新能源发电系统的阻抗辨识技术，揭示了变流器在复杂电网交互下的宽频阻抗特性及其稳定性判定准则。然而，仅仅依靠离线数字仿真和数学模型推导，难以完全覆盖真实物理控制器在实际运行中面临的各种非理想因素。为了进一步验证基于阻抗模型设计的控制算法在真实硬件平台上的可靠性与动态性能，工程界引入了硬件在环（Hardware-in-the-Loop,</w:t>
      </w:r>
      <w:r>
        <w:t xml:space="preserve"> </w:t>
      </w:r>
      <w:r>
        <w:rPr>
          <w:rFonts w:hint="eastAsia"/>
        </w:rPr>
        <w:t xml:space="preserve">HIL）测试技术。通过将辨识得到的复杂电网阻抗模型嵌入到高频实时仿真器中，并与真实的变流器控制硬件相连，HIL技术能够在实验室环境下安全、可重复地重现电网宽频振荡等极端工况。本章将跨越纯数字仿真的边界，深入剖析基于V模型的测试验证体系与HIL底层技术原理，为新能源装备的可靠性把关。</w:t>
      </w:r>
    </w:p>
    <w:bookmarkStart w:id="10" w:name="学习目标"/>
    <w:p>
      <w:pPr>
        <w:pStyle w:val="Heading2"/>
      </w:pPr>
      <w:r>
        <w:rPr>
          <w:rStyle w:val="SectionNumber"/>
        </w:rPr>
        <w:t xml:space="preserve">1.1</w:t>
      </w:r>
      <w:r>
        <w:tab/>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ompact"/>
        <w:numPr>
          <w:ilvl w:val="0"/>
          <w:numId w:val="1001"/>
        </w:numPr>
      </w:pPr>
      <w:r>
        <w:rPr>
          <w:rFonts w:hint="eastAsia"/>
        </w:rPr>
        <w:t xml:space="preserve">理解从纯软件仿真（SIL）到硬件在环（HIL/CHIL）的技术跨越，掌握V模型开发测试流程的全生命周期工程价值。</w:t>
      </w:r>
    </w:p>
    <w:p>
      <w:pPr>
        <w:pStyle w:val="Compact"/>
        <w:numPr>
          <w:ilvl w:val="0"/>
          <w:numId w:val="1001"/>
        </w:numPr>
      </w:pPr>
      <w:r>
        <w:rPr>
          <w:rFonts w:hint="eastAsia"/>
        </w:rPr>
        <w:t xml:space="preserve">深入掌握FPGA纳秒级步长实时仿真的底层数学推导与数值积分算法，以及I/O延迟的预测补偿方法。</w:t>
      </w:r>
    </w:p>
    <w:p>
      <w:pPr>
        <w:pStyle w:val="Compact"/>
        <w:numPr>
          <w:ilvl w:val="0"/>
          <w:numId w:val="1001"/>
        </w:numPr>
      </w:pPr>
      <w:r>
        <w:rPr>
          <w:rFonts w:hint="eastAsia"/>
        </w:rPr>
        <w:t xml:space="preserve">熟悉IEC</w:t>
      </w:r>
      <w:r>
        <w:t xml:space="preserve"> </w:t>
      </w:r>
      <w:r>
        <w:rPr>
          <w:rFonts w:hint="eastAsia"/>
        </w:rPr>
        <w:t xml:space="preserve">61400-2风电设计标准对控制系统HIL测试的具体规范与要求。</w:t>
      </w:r>
    </w:p>
    <w:p>
      <w:pPr>
        <w:pStyle w:val="Compact"/>
        <w:numPr>
          <w:ilvl w:val="0"/>
          <w:numId w:val="1001"/>
        </w:numPr>
      </w:pPr>
      <w:r>
        <w:rPr>
          <w:rFonts w:hint="eastAsia"/>
        </w:rPr>
        <w:t xml:space="preserve">掌握风电机组主控与变桨系统的实时联合测试方法，能够分析SIL与HIL在稳态和动态指标上的差异。</w:t>
      </w:r>
    </w:p>
    <w:p>
      <w:pPr>
        <w:pStyle w:val="Compact"/>
        <w:numPr>
          <w:ilvl w:val="0"/>
          <w:numId w:val="1001"/>
        </w:numPr>
      </w:pPr>
      <w:r>
        <w:rPr>
          <w:rFonts w:hint="eastAsia"/>
        </w:rPr>
        <w:t xml:space="preserve">能够结合风电HIL测试工程案例，评估控制器在异常工况下的故障响应与保护逻辑。</w:t>
      </w:r>
    </w:p>
    <w:bookmarkEnd w:id="10"/>
    <w:bookmarkStart w:id="13" w:name="从sil到hil基于v模型的测试验证体系与保真度进阶"/>
    <w:p>
      <w:pPr>
        <w:pStyle w:val="Heading2"/>
      </w:pPr>
      <w:r>
        <w:rPr>
          <w:rStyle w:val="SectionNumber"/>
        </w:rPr>
        <w:t xml:space="preserve">1.2</w:t>
      </w:r>
      <w:r>
        <w:tab/>
      </w:r>
      <w:r>
        <w:t xml:space="preserve">4.1 </w:t>
      </w:r>
      <w:r>
        <w:rPr>
          <w:rFonts w:hint="eastAsia"/>
        </w:rPr>
        <w:t xml:space="preserve">从SIL到HIL：基于V模型的测试验证体系与保真度进阶</w:t>
      </w:r>
    </w:p>
    <w:p>
      <w:pPr>
        <w:pStyle w:val="FirstParagraph"/>
      </w:pPr>
      <w:r>
        <w:rPr>
          <w:rFonts w:hint="eastAsia"/>
        </w:rPr>
        <w:t xml:space="preserve">新能源设备的控制算法开发通常遵循严谨的“V模型”（V-Model）系统工程流程。这一流程将系统开发分为自顶向下的设计阶段和自底向上的验证阶段，确保每一个开发步骤都有对应的测试验证环节。在V模型的左侧，包含了需求分析、系统架构设计、控制算法模型搭建以及自动代码生成；在V模型的右侧，则依次为模型在环（MIL）、软件在环（SIL）、处理器在环（PIL）和硬件在环（HIL），最终走向系统集成与现场联调。</w:t>
      </w:r>
    </w:p>
    <w:bookmarkStart w:id="11" w:name="v模型测试体系全链路解析"/>
    <w:p>
      <w:pPr>
        <w:pStyle w:val="Heading3"/>
      </w:pPr>
      <w:r>
        <w:rPr>
          <w:rStyle w:val="SectionNumber"/>
        </w:rPr>
        <w:t xml:space="preserve">1.2.1</w:t>
      </w:r>
      <w:r>
        <w:tab/>
      </w:r>
      <w:r>
        <w:t xml:space="preserve">4.1.1 </w:t>
      </w:r>
      <w:r>
        <w:rPr>
          <w:rFonts w:hint="eastAsia"/>
        </w:rPr>
        <w:t xml:space="preserve">V模型测试体系全链路解析</w:t>
      </w:r>
    </w:p>
    <w:p>
      <w:pPr>
        <w:pStyle w:val="Compact"/>
        <w:numPr>
          <w:ilvl w:val="0"/>
          <w:numId w:val="1002"/>
        </w:numPr>
      </w:pPr>
      <w:r>
        <w:rPr>
          <w:rFonts w:hint="eastAsia"/>
          <w:b/>
          <w:bCs/>
        </w:rPr>
        <w:t xml:space="preserve">模型在环（MIL）</w:t>
      </w:r>
      <w:r>
        <w:rPr>
          <w:rFonts w:hint="eastAsia"/>
        </w:rPr>
        <w:t xml:space="preserve">：在系统开发的初期阶段，控制器逻辑和被控对象（植物模型）均在Simulink等图形化建模环境中以连续或离散方程的形式存在。MIL主要用于验证控制算法的理论可行性和纯数学逻辑正确性，此时不涉及任何底层硬件架构或C/C++代码生成。</w:t>
      </w:r>
    </w:p>
    <w:p>
      <w:pPr>
        <w:pStyle w:val="Compact"/>
        <w:numPr>
          <w:ilvl w:val="0"/>
          <w:numId w:val="1002"/>
        </w:numPr>
      </w:pPr>
      <w:r>
        <w:rPr>
          <w:rFonts w:hint="eastAsia"/>
          <w:b/>
          <w:bCs/>
        </w:rPr>
        <w:t xml:space="preserve">软件在环（SIL）</w:t>
      </w:r>
      <w:r>
        <w:rPr>
          <w:rFonts w:hint="eastAsia"/>
        </w:rPr>
        <w:t xml:space="preserve">：随着算法设计的逐步固化，工程师通过自动代码生成工具将控制逻辑转换为C/C++源代码，并将其编译为动态链接库（DLL）或可执行文件，再次与纯软件环境中的植物模型进行闭环运行。SIL测试在通用PC上执行，不受实时时钟的严格约束。其核心目的在于验证生成的生产级代码是否与原始算法模型在数学行为上保持高度一致，排除了代码生成过程中的逻辑偏差。</w:t>
      </w:r>
    </w:p>
    <w:p>
      <w:pPr>
        <w:pStyle w:val="Compact"/>
        <w:numPr>
          <w:ilvl w:val="0"/>
          <w:numId w:val="1002"/>
        </w:numPr>
      </w:pPr>
      <w:r>
        <w:rPr>
          <w:rFonts w:hint="eastAsia"/>
          <w:b/>
          <w:bCs/>
        </w:rPr>
        <w:t xml:space="preserve">处理器在环（PIL）</w:t>
      </w:r>
      <w:r>
        <w:rPr>
          <w:rFonts w:hint="eastAsia"/>
        </w:rPr>
        <w:t xml:space="preserve">：将生成的控制代码交叉编译后，下载到与最终产品相同架构的目标微处理器（如DSP、ARM等）中运行，而植物模型依然在PC上进行仿真。两者通过串口或以太网等方式进行非实时的数据交换。PIL不仅验证了代码的逻辑，还引入了目标处理器的指令集架构、编译器优化策略以及有限字长（定点或单精度浮点）带来的舍入误差。</w:t>
      </w:r>
    </w:p>
    <w:p>
      <w:pPr>
        <w:pStyle w:val="Compact"/>
        <w:numPr>
          <w:ilvl w:val="0"/>
          <w:numId w:val="1002"/>
        </w:numPr>
      </w:pPr>
      <w:r>
        <w:rPr>
          <w:rFonts w:hint="eastAsia"/>
          <w:b/>
          <w:bCs/>
        </w:rPr>
        <w:t xml:space="preserve">硬件在环（HIL）</w:t>
      </w:r>
      <w:r>
        <w:rPr>
          <w:rFonts w:hint="eastAsia"/>
        </w:rPr>
        <w:t xml:space="preserve">：这是走向真实物理世界前的最后一道防线。植物模型被编译并下载到具有严格时间确定性的高精度实时仿真机（如基于FPGA或多核实时CPU的平台）中运行。物理控制器（含真实的DSP、FPGA及外围I/O调理电路）通过实际的模拟量输入输出（ADC/DAC）、数字量I/O和工业通信总线与实时仿真机产生物理直连。HIL测试不仅具有与真实环境一致的电气接口特征，更受到严格的物理时钟约束。</w:t>
      </w:r>
    </w:p>
    <w:bookmarkEnd w:id="11"/>
    <w:bookmarkStart w:id="12" w:name="从sil到hil的关键差异与工程意义"/>
    <w:p>
      <w:pPr>
        <w:pStyle w:val="Heading3"/>
      </w:pPr>
      <w:r>
        <w:rPr>
          <w:rStyle w:val="SectionNumber"/>
        </w:rPr>
        <w:t xml:space="preserve">1.2.2</w:t>
      </w:r>
      <w:r>
        <w:tab/>
      </w:r>
      <w:r>
        <w:t xml:space="preserve">4.1.2 </w:t>
      </w:r>
      <w:r>
        <w:rPr>
          <w:rFonts w:hint="eastAsia"/>
        </w:rPr>
        <w:t xml:space="preserve">从SIL到HIL的关键差异与工程意义</w:t>
      </w:r>
    </w:p>
    <w:p>
      <w:pPr>
        <w:pStyle w:val="FirstParagraph"/>
      </w:pPr>
      <w:r>
        <w:rPr>
          <w:rFonts w:hint="eastAsia"/>
        </w:rPr>
        <w:t xml:space="preserve">SIL与HIL的跨越代表了测试保真度的显著提升，两者之间的差异主要体现在三个深层次物理维度：</w:t>
      </w:r>
      <w:r>
        <w:t xml:space="preserve"> </w:t>
      </w:r>
      <w:r>
        <w:rPr>
          <w:rFonts w:hint="eastAsia"/>
        </w:rPr>
        <w:t xml:space="preserve">首先，HIL不可避免地引入了物理I/O延迟。在SIL解算域中，状态变量的传递瞬间完成；而在HIL测试中，仿真机计算出的电压、电流信号需经过DAC转换为模拟电平，再经调理电路进入被测控制器的ADC采样环节。这一物理过程加上控制器内部的中断响应与通信协议数据包封装开销，总延迟通常在</w:t>
      </w:r>
      <w:r>
        <w:t xml:space="preserve"> </w:t>
      </w:r>
      <m:oMath>
        <m:r>
          <m:t>1</m:t>
        </m:r>
        <m:r>
          <m:rPr>
            <m:sty m:val="p"/>
          </m:rPr>
          <m:t>∼</m:t>
        </m:r>
        <m:r>
          <m:t>10</m:t>
        </m:r>
        <m:r>
          <m:t>μ</m:t>
        </m:r>
        <m:r>
          <m:t>s</m:t>
        </m:r>
      </m:oMath>
      <w:r>
        <w:t xml:space="preserve"> </w:t>
      </w:r>
      <w:r>
        <w:rPr>
          <w:rFonts w:hint="eastAsia"/>
        </w:rPr>
        <w:t xml:space="preserve">量级。这种延迟在闭环控制回路中表现为附加的高频相位滞后，直接侵蚀系统的控制稳定性裕度。</w:t>
      </w:r>
      <w:r>
        <w:t xml:space="preserve"> </w:t>
      </w:r>
      <w:r>
        <w:rPr>
          <w:rFonts w:hint="eastAsia"/>
        </w:rPr>
        <w:t xml:space="preserve">其次，HIL测试全面涵盖了信号的量化误差与电气噪声。SIL测试往往依赖PC平台的双精度浮点（64位）运算，数值分辨率极高且绝对纯净。而HIL环境下的ADC分辨率通常受限于12位或16位硬件上限，微弱的高频谐波信号极易被量化噪声或线束串扰噪声淹没。</w:t>
      </w:r>
      <w:r>
        <w:t xml:space="preserve"> </w:t>
      </w:r>
      <w:r>
        <w:rPr>
          <w:rFonts w:hint="eastAsia"/>
        </w:rPr>
        <w:t xml:space="preserve">最后，HIL测试能够深刻暴露控制器硬件底层的时序违例缺陷。例如多任务调度溢出、看门狗复位异常、多中断嵌套冲突以及PWM发波死区带来的非线性盲区效应等。这些缺陷在纯数字模型的SIL中是绝对隐形的，但在真实大功率电力电子系统的微秒级控制中可能引发灾难性的硬件炸毁事故。</w:t>
      </w:r>
    </w:p>
    <w:bookmarkEnd w:id="12"/>
    <w:bookmarkEnd w:id="13"/>
    <w:bookmarkStart w:id="17" w:name="fpga纳秒级步长实时仿真底层推导与延迟补偿"/>
    <w:p>
      <w:pPr>
        <w:pStyle w:val="Heading2"/>
      </w:pPr>
      <w:r>
        <w:rPr>
          <w:rStyle w:val="SectionNumber"/>
        </w:rPr>
        <w:t xml:space="preserve">1.3</w:t>
      </w:r>
      <w:r>
        <w:tab/>
      </w:r>
      <w:r>
        <w:t xml:space="preserve">4.2 </w:t>
      </w:r>
      <w:r>
        <w:rPr>
          <w:rFonts w:hint="eastAsia"/>
        </w:rPr>
        <w:t xml:space="preserve">FPGA纳秒级步长实时仿真底层推导与延迟补偿</w:t>
      </w:r>
    </w:p>
    <w:p>
      <w:pPr>
        <w:pStyle w:val="FirstParagraph"/>
      </w:pPr>
      <w:r>
        <w:rPr>
          <w:rFonts w:hint="eastAsia"/>
        </w:rPr>
        <w:t xml:space="preserve">为了在实验室环境中高保真地重现由第3章阻抗辨识网络所描述的高频电网交互动态，实时仿真器的系统解算步长必须远小于电力电子变流器的开关周期以及电网特征谐波周期。对于开关频率在</w:t>
      </w:r>
      <w:r>
        <w:t xml:space="preserve"> </w:t>
      </w:r>
      <m:oMath>
        <m:r>
          <m:t>5</m:t>
        </m:r>
        <m:r>
          <m:rPr>
            <m:sty m:val="p"/>
          </m:rPr>
          <m:t>∼</m:t>
        </m:r>
        <m:r>
          <m:t>20</m:t>
        </m:r>
      </m:oMath>
      <w:r>
        <w:t xml:space="preserve"> </w:t>
      </w:r>
      <w:r>
        <w:t xml:space="preserve">kHz </w:t>
      </w:r>
      <w:r>
        <w:rPr>
          <w:rFonts w:hint="eastAsia"/>
        </w:rPr>
        <w:t xml:space="preserve">范围内的变流器产品，要求模型仿真步长严格控制在</w:t>
      </w:r>
      <w:r>
        <w:t xml:space="preserve"> </w:t>
      </w:r>
      <m:oMath>
        <m:r>
          <m:t>1</m:t>
        </m:r>
        <m:r>
          <m:t>μ</m:t>
        </m:r>
        <m:r>
          <m:t>s</m:t>
        </m:r>
      </m:oMath>
      <w:r>
        <w:t xml:space="preserve"> </w:t>
      </w:r>
      <w:r>
        <w:rPr>
          <w:rFonts w:hint="eastAsia"/>
        </w:rPr>
        <w:t xml:space="preserve">以内，才能精准捕获开关瞬态、换流重叠以及电路寄生参数引发的高频振荡现象。现场可编程逻辑门阵列（FPGA）凭借其纯硬件并行的空间计算架构和纳秒级的内部布线时钟，成为解决微秒级甚至纳秒级电磁暂态实时仿真计算瓶颈的核心载体。</w:t>
      </w:r>
    </w:p>
    <w:bookmarkStart w:id="14" w:name="电力电子非线性状态空间方程离散化推导"/>
    <w:p>
      <w:pPr>
        <w:pStyle w:val="Heading3"/>
      </w:pPr>
      <w:r>
        <w:rPr>
          <w:rStyle w:val="SectionNumber"/>
        </w:rPr>
        <w:t xml:space="preserve">1.3.1</w:t>
      </w:r>
      <w:r>
        <w:tab/>
      </w:r>
      <w:r>
        <w:t xml:space="preserve">4.2.1 </w:t>
      </w:r>
      <w:r>
        <w:rPr>
          <w:rFonts w:hint="eastAsia"/>
        </w:rPr>
        <w:t xml:space="preserve">电力电子非线性状态空间方程离散化推导</w:t>
      </w:r>
    </w:p>
    <w:p>
      <w:pPr>
        <w:pStyle w:val="FirstParagraph"/>
      </w:pPr>
      <w:r>
        <w:rPr>
          <w:rFonts w:hint="eastAsia"/>
        </w:rPr>
        <w:t xml:space="preserve">对于包含复杂滤波器结构（如LCL滤波器）和交流电机的非线性电力电子系统，其连续时间域动态可以由标准的线性多时变状态空间方程描述：</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A</m:t>
          </m:r>
          <m:r>
            <m:rPr>
              <m:sty m:val="bi"/>
            </m:rPr>
            <m:t>x</m:t>
          </m:r>
          <m:r>
            <m:rPr>
              <m:sty m:val="p"/>
            </m:rPr>
            <m:t>(</m:t>
          </m:r>
          <m:r>
            <m:t>t</m:t>
          </m:r>
          <m:r>
            <m:rPr>
              <m:sty m:val="p"/>
            </m:rPr>
            <m:t>)</m:t>
          </m:r>
          <m:r>
            <m:rPr>
              <m:sty m:val="p"/>
            </m:rPr>
            <m:t>+</m:t>
          </m:r>
          <m:r>
            <m:rPr>
              <m:sty m:val="bi"/>
            </m:rPr>
            <m:t>B</m:t>
          </m:r>
          <m:r>
            <m:rPr>
              <m:sty m:val="bi"/>
            </m:rPr>
            <m:t>u</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C</m:t>
          </m:r>
          <m:r>
            <m:rPr>
              <m:sty m:val="bi"/>
            </m:rPr>
            <m:t>x</m:t>
          </m:r>
          <m:r>
            <m:rPr>
              <m:sty m:val="p"/>
            </m:rPr>
            <m:t>(</m:t>
          </m:r>
          <m:r>
            <m:t>t</m:t>
          </m:r>
          <m:r>
            <m:rPr>
              <m:sty m:val="p"/>
            </m:rPr>
            <m:t>)</m:t>
          </m:r>
          <m:r>
            <m:rPr>
              <m:sty m:val="p"/>
            </m:rPr>
            <m:t>+</m:t>
          </m:r>
          <m:r>
            <m:rPr>
              <m:sty m:val="bi"/>
            </m:rPr>
            <m:t>D</m:t>
          </m:r>
          <m:r>
            <m:rPr>
              <m:sty m:val="bi"/>
            </m:rPr>
            <m:t>u</m:t>
          </m:r>
          <m:r>
            <m:rPr>
              <m:sty m:val="p"/>
            </m:rPr>
            <m:t>(</m:t>
          </m:r>
          <m:r>
            <m:t>t</m:t>
          </m:r>
          <m:r>
            <m:rPr>
              <m:sty m:val="p"/>
            </m:rPr>
            <m:t>)</m:t>
          </m:r>
        </m:oMath>
      </m:oMathPara>
    </w:p>
    <w:p>
      <w:pPr>
        <w:pStyle w:val="FirstParagraph"/>
      </w:pPr>
      <w:r>
        <w:rPr>
          <w:rFonts w:hint="eastAsia"/>
        </w:rPr>
        <w:t xml:space="preserve">其中，</w:t>
      </w:r>
      <m:oMath>
        <m:r>
          <m:rPr>
            <m:sty m:val="bi"/>
          </m:rPr>
          <m:t>x</m:t>
        </m:r>
        <m:r>
          <m:rPr>
            <m:sty m:val="p"/>
          </m:rPr>
          <m:t>(</m:t>
        </m:r>
        <m:r>
          <m:t>t</m:t>
        </m:r>
        <m:r>
          <m:rPr>
            <m:sty m:val="p"/>
          </m:rPr>
          <m:t>)</m:t>
        </m:r>
      </m:oMath>
      <w:r>
        <w:t xml:space="preserve"> </w:t>
      </w:r>
      <w:r>
        <w:rPr>
          <w:rFonts w:hint="eastAsia"/>
        </w:rPr>
        <w:t xml:space="preserve">为电感电流、电容电压等连续状态向量，</w:t>
      </w:r>
      <m:oMath>
        <m:r>
          <m:rPr>
            <m:sty m:val="bi"/>
          </m:rPr>
          <m:t>u</m:t>
        </m:r>
        <m:r>
          <m:rPr>
            <m:sty m:val="p"/>
          </m:rPr>
          <m:t>(</m:t>
        </m:r>
        <m:r>
          <m:t>t</m:t>
        </m:r>
        <m:r>
          <m:rPr>
            <m:sty m:val="p"/>
          </m:rPr>
          <m:t>)</m:t>
        </m:r>
      </m:oMath>
      <w:r>
        <w:t xml:space="preserve"> </w:t>
      </w:r>
      <w:r>
        <w:rPr>
          <w:rFonts w:hint="eastAsia"/>
        </w:rPr>
        <w:t xml:space="preserve">为输入激励向量（包括电网电压和由PWM驱动逻辑决定的桥臂输出电平），</w:t>
      </w:r>
      <m:oMath>
        <m:r>
          <m:rPr>
            <m:sty m:val="bi"/>
          </m:rPr>
          <m:t>y</m:t>
        </m:r>
        <m:r>
          <m:rPr>
            <m:sty m:val="p"/>
          </m:rPr>
          <m:t>(</m:t>
        </m:r>
        <m:r>
          <m:t>t</m:t>
        </m:r>
        <m:r>
          <m:rPr>
            <m:sty m:val="p"/>
          </m:rPr>
          <m:t>)</m:t>
        </m:r>
      </m:oMath>
      <w:r>
        <w:t xml:space="preserve"> </w:t>
      </w:r>
      <w:r>
        <w:rPr>
          <w:rFonts w:hint="eastAsia"/>
        </w:rPr>
        <w:t xml:space="preserve">为观测量输出向量，</w:t>
      </w:r>
      <m:oMath>
        <m:r>
          <m:rPr>
            <m:sty m:val="bi"/>
          </m:rPr>
          <m:t>A</m:t>
        </m:r>
      </m:oMath>
      <w:r>
        <w:t xml:space="preserve">、</w:t>
      </w:r>
      <m:oMath>
        <m:r>
          <m:rPr>
            <m:sty m:val="bi"/>
          </m:rPr>
          <m:t>B</m:t>
        </m:r>
      </m:oMath>
      <w:r>
        <w:t xml:space="preserve">、</w:t>
      </w:r>
      <m:oMath>
        <m:r>
          <m:rPr>
            <m:sty m:val="bi"/>
          </m:rPr>
          <m:t>C</m:t>
        </m:r>
      </m:oMath>
      <w:r>
        <w:t xml:space="preserve">、</w:t>
      </w:r>
      <m:oMath>
        <m:r>
          <m:rPr>
            <m:sty m:val="bi"/>
          </m:rPr>
          <m:t>D</m:t>
        </m:r>
      </m:oMath>
      <w:r>
        <w:t xml:space="preserve"> </w:t>
      </w:r>
      <w:r>
        <w:rPr>
          <w:rFonts w:hint="eastAsia"/>
        </w:rPr>
        <w:t xml:space="preserve">为与电路拓扑密切相关的系统参数矩阵。在变流器仿真中，开关管的导通与关断导致拓扑不断重构，因此矩阵</w:t>
      </w:r>
      <w:r>
        <w:t xml:space="preserve"> </w:t>
      </w:r>
      <m:oMath>
        <m:r>
          <m:rPr>
            <m:sty m:val="bi"/>
          </m:rPr>
          <m:t>A</m:t>
        </m:r>
      </m:oMath>
      <w:r>
        <w:t xml:space="preserve"> </w:t>
      </w:r>
      <w:r>
        <w:rPr>
          <w:rFonts w:hint="eastAsia"/>
        </w:rPr>
        <w:t xml:space="preserve">和</w:t>
      </w:r>
      <w:r>
        <w:t xml:space="preserve"> </w:t>
      </w:r>
      <m:oMath>
        <m:r>
          <m:rPr>
            <m:sty m:val="bi"/>
          </m:rPr>
          <m:t>B</m:t>
        </m:r>
      </m:oMath>
      <w:r>
        <w:t xml:space="preserve"> </w:t>
      </w:r>
      <w:r>
        <w:rPr>
          <w:rFonts w:hint="eastAsia"/>
        </w:rPr>
        <w:t xml:space="preserve">会随着当前开关函数状态</w:t>
      </w:r>
      <w:r>
        <w:t xml:space="preserve"> </w:t>
      </w:r>
      <m:oMath>
        <m:r>
          <m:t>S</m:t>
        </m:r>
        <m:r>
          <m:rPr>
            <m:sty m:val="p"/>
          </m:rPr>
          <m:t>(</m:t>
        </m:r>
        <m:r>
          <m:t>t</m:t>
        </m:r>
        <m:r>
          <m:rPr>
            <m:sty m:val="p"/>
          </m:rPr>
          <m:t>)</m:t>
        </m:r>
      </m:oMath>
      <w:r>
        <w:t xml:space="preserve"> </w:t>
      </w:r>
      <w:r>
        <w:rPr>
          <w:rFonts w:hint="eastAsia"/>
        </w:rPr>
        <w:t xml:space="preserve">发生突变，本质上是一个复杂的混合逻辑动态系统（MLDS）。</w:t>
      </w:r>
    </w:p>
    <w:p>
      <w:pPr>
        <w:pStyle w:val="BodyText"/>
      </w:pPr>
      <w:r>
        <w:rPr>
          <w:rFonts w:hint="eastAsia"/>
        </w:rPr>
        <w:t xml:space="preserve">为了在FPGA数字系统此时钟域中求解上述连续方程，必须进行高度离散化。针对极小步长</w:t>
      </w:r>
      <w:r>
        <w:t xml:space="preserve"> </w:t>
      </w:r>
      <m:oMath>
        <m:r>
          <m:rPr>
            <m:sty m:val="p"/>
          </m:rPr>
          <m:t>Δ</m:t>
        </m:r>
        <m:r>
          <m:t>t</m:t>
        </m:r>
      </m:oMath>
      <w:r>
        <w:rPr>
          <w:rFonts w:hint="eastAsia"/>
        </w:rPr>
        <w:t xml:space="preserve">（通常介于</w:t>
      </w:r>
      <w:r>
        <w:t xml:space="preserve"> </w:t>
      </w:r>
      <m:oMath>
        <m:r>
          <m:t>50</m:t>
        </m:r>
        <m:r>
          <m:rPr>
            <m:sty m:val="p"/>
          </m:rPr>
          <m:t>∼</m:t>
        </m:r>
        <m:r>
          <m:t>500</m:t>
        </m:r>
      </m:oMath>
      <w:r>
        <w:t xml:space="preserve"> </w:t>
      </w:r>
      <w:r>
        <w:rPr>
          <w:rFonts w:hint="eastAsia"/>
        </w:rPr>
        <w:t xml:space="preserve">纳秒之间），常规平台下常用的高阶数值积分算法难以满足单步计算延时要求。此时，显式欧拉法（Forward</w:t>
      </w:r>
      <w:r>
        <w:t xml:space="preserve"> </w:t>
      </w:r>
      <w:r>
        <w:rPr>
          <w:rFonts w:hint="eastAsia"/>
        </w:rPr>
        <w:t xml:space="preserve">Euler）因其无隐式迭代开销、矩阵计算结构极度扁平化而得到广泛应用。将其应用于等式(4.1)，可得到最基础的离散时间状态更新代数方程：</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x</m:t>
          </m:r>
          <m:r>
            <m:rPr>
              <m:sty m:val="p"/>
            </m:rPr>
            <m:t>(</m:t>
          </m:r>
          <m:r>
            <m:t>k</m:t>
          </m:r>
          <m:r>
            <m:rPr>
              <m:sty m:val="p"/>
            </m:rPr>
            <m:t>)</m:t>
          </m:r>
          <m:r>
            <m:rPr>
              <m:sty m:val="p"/>
            </m:rPr>
            <m:t>+</m:t>
          </m:r>
          <m:r>
            <m:rPr>
              <m:sty m:val="p"/>
            </m:rPr>
            <m:t>Δ</m:t>
          </m:r>
          <m:r>
            <m:t>t</m:t>
          </m:r>
          <m:r>
            <m:rPr>
              <m:sty m:val="p"/>
            </m:rPr>
            <m:t>⋅</m:t>
          </m:r>
          <m:r>
            <m:rPr>
              <m:sty m:val="p"/>
            </m:rPr>
            <m:t>(</m:t>
          </m:r>
          <m:sSub>
            <m:e>
              <m:r>
                <m:rPr>
                  <m:sty m:val="bi"/>
                </m:rPr>
                <m:t>A</m:t>
              </m:r>
            </m:e>
            <m:sub>
              <m:r>
                <m:t>k</m:t>
              </m:r>
            </m:sub>
          </m:sSub>
          <m:r>
            <m:rPr>
              <m:sty m:val="bi"/>
            </m:rPr>
            <m:t>x</m:t>
          </m:r>
          <m:r>
            <m:rPr>
              <m:sty m:val="p"/>
            </m:rPr>
            <m:t>(</m:t>
          </m:r>
          <m:r>
            <m:t>k</m:t>
          </m:r>
          <m:r>
            <m:rPr>
              <m:sty m:val="p"/>
            </m:rPr>
            <m:t>)</m:t>
          </m:r>
          <m:r>
            <m:rPr>
              <m:sty m:val="p"/>
            </m:rPr>
            <m:t>+</m:t>
          </m:r>
          <m:sSub>
            <m:e>
              <m:r>
                <m:rPr>
                  <m:sty m:val="bi"/>
                </m:rPr>
                <m:t>B</m:t>
              </m:r>
            </m:e>
            <m:sub>
              <m:r>
                <m:t>k</m:t>
              </m:r>
            </m:sub>
          </m:sSub>
          <m:r>
            <m:rPr>
              <m:sty m:val="bi"/>
            </m:rPr>
            <m:t>u</m:t>
          </m:r>
          <m:r>
            <m:rPr>
              <m:sty m:val="p"/>
            </m:rPr>
            <m:t>(</m:t>
          </m:r>
          <m:r>
            <m:t>k</m:t>
          </m:r>
          <m:r>
            <m:rPr>
              <m:sty m:val="p"/>
            </m:rPr>
            <m:t>)</m:t>
          </m:r>
          <m:r>
            <m:rPr>
              <m:sty m:val="p"/>
            </m:rPr>
            <m:t>)</m:t>
          </m:r>
        </m:oMath>
      </m:oMathPara>
    </w:p>
    <w:p>
      <w:pPr>
        <w:pStyle w:val="FirstParagraph"/>
      </w:pPr>
      <w:r>
        <w:rPr>
          <w:rFonts w:hint="eastAsia"/>
        </w:rPr>
        <w:t xml:space="preserve">若应用场景对高频数值稳定性和计算精度有更高要求，也可采用基于梯形积分法的Tustin双线性变换。其离散化推导公式可表示为：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sSub>
            <m:e>
              <m:r>
                <m:rPr>
                  <m:sty m:val="b"/>
                </m:rPr>
                <m:t>Φ</m:t>
              </m:r>
            </m:e>
            <m:sub>
              <m:r>
                <m:t>k</m:t>
              </m:r>
            </m:sub>
          </m:sSub>
          <m:r>
            <m:rPr>
              <m:sty m:val="bi"/>
            </m:rPr>
            <m:t>x</m:t>
          </m:r>
          <m:r>
            <m:rPr>
              <m:sty m:val="p"/>
            </m:rPr>
            <m:t>(</m:t>
          </m:r>
          <m:r>
            <m:t>k</m:t>
          </m:r>
          <m:r>
            <m:rPr>
              <m:sty m:val="p"/>
            </m:rPr>
            <m:t>)</m:t>
          </m:r>
          <m:r>
            <m:rPr>
              <m:sty m:val="p"/>
            </m:rPr>
            <m:t>+</m:t>
          </m:r>
          <m:sSub>
            <m:e>
              <m:r>
                <m:rPr>
                  <m:sty m:val="b"/>
                </m:rPr>
                <m:t>Γ</m:t>
              </m:r>
            </m:e>
            <m:sub>
              <m:r>
                <m:t>k</m:t>
              </m:r>
            </m:sub>
          </m:sSub>
          <m:r>
            <m:rPr>
              <m:sty m:val="bi"/>
            </m:rPr>
            <m:t>u</m:t>
          </m:r>
          <m:r>
            <m:rPr>
              <m:sty m:val="p"/>
            </m:rPr>
            <m:t>(</m:t>
          </m:r>
          <m:r>
            <m:t>k</m:t>
          </m:r>
          <m:r>
            <m:rPr>
              <m:sty m:val="p"/>
            </m:rPr>
            <m:t>)</m:t>
          </m:r>
        </m:oMath>
      </m:oMathPara>
    </w:p>
    <w:p>
      <w:pPr>
        <w:pStyle w:val="FirstParagraph"/>
      </w:pPr>
      <w:r>
        <w:rPr>
          <w:rFonts w:hint="eastAsia"/>
        </w:rPr>
        <w:t xml:space="preserve">其中状态转移矩阵推导为</w:t>
      </w:r>
      <w:r>
        <w:t xml:space="preserve"> </w:t>
      </w:r>
      <m:oMath>
        <m:sSub>
          <m:e>
            <m:r>
              <m:rPr>
                <m:sty m:val="b"/>
              </m:rPr>
              <m:t>Φ</m:t>
            </m:r>
          </m:e>
          <m:sub>
            <m:r>
              <m:t>k</m:t>
            </m:r>
          </m:sub>
        </m:sSub>
        <m:r>
          <m:rPr>
            <m:sty m:val="p"/>
          </m:rPr>
          <m:t>=</m:t>
        </m:r>
        <m:r>
          <m:rPr>
            <m:sty m:val="p"/>
          </m:rPr>
          <m:t>(</m:t>
        </m:r>
        <m:r>
          <m:rPr>
            <m:sty m:val="bi"/>
          </m:rPr>
          <m:t>I</m:t>
        </m:r>
        <m:r>
          <m:rPr>
            <m:sty m:val="p"/>
          </m:rPr>
          <m:t>−</m:t>
        </m:r>
        <m:f>
          <m:fPr>
            <m:type m:val="bar"/>
          </m:fPr>
          <m:num>
            <m:r>
              <m:rPr>
                <m:sty m:val="p"/>
              </m:rPr>
              <m:t>Δ</m:t>
            </m:r>
            <m:r>
              <m:t>t</m:t>
            </m:r>
          </m:num>
          <m:den>
            <m:r>
              <m:t>2</m:t>
            </m:r>
          </m:den>
        </m:f>
        <m:sSub>
          <m:e>
            <m:r>
              <m:rPr>
                <m:sty m:val="bi"/>
              </m:rPr>
              <m:t>A</m:t>
            </m:r>
          </m:e>
          <m:sub>
            <m:r>
              <m:t>k</m:t>
            </m:r>
          </m:sub>
        </m:sSub>
        <m:sSup>
          <m:e>
            <m:r>
              <m:rPr>
                <m:sty m:val="p"/>
              </m:rPr>
              <m:t>)</m:t>
            </m:r>
          </m:e>
          <m:sup>
            <m:r>
              <m:rPr>
                <m:sty m:val="p"/>
              </m:rPr>
              <m:t>−</m:t>
            </m:r>
            <m:r>
              <m:t>1</m:t>
            </m:r>
          </m:sup>
        </m:sSup>
        <m:r>
          <m:rPr>
            <m:sty m:val="p"/>
          </m:rPr>
          <m:t>(</m:t>
        </m:r>
        <m:r>
          <m:rPr>
            <m:sty m:val="bi"/>
          </m:rPr>
          <m:t>I</m:t>
        </m:r>
        <m:r>
          <m:rPr>
            <m:sty m:val="p"/>
          </m:rPr>
          <m:t>+</m:t>
        </m:r>
        <m:f>
          <m:fPr>
            <m:type m:val="bar"/>
          </m:fPr>
          <m:num>
            <m:r>
              <m:rPr>
                <m:sty m:val="p"/>
              </m:rPr>
              <m:t>Δ</m:t>
            </m:r>
            <m:r>
              <m:t>t</m:t>
            </m:r>
          </m:num>
          <m:den>
            <m:r>
              <m:t>2</m:t>
            </m:r>
          </m:den>
        </m:f>
        <m:sSub>
          <m:e>
            <m:r>
              <m:rPr>
                <m:sty m:val="bi"/>
              </m:rPr>
              <m:t>A</m:t>
            </m:r>
          </m:e>
          <m:sub>
            <m:r>
              <m:t>k</m:t>
            </m:r>
          </m:sub>
        </m:sSub>
        <m:r>
          <m:rPr>
            <m:sty m:val="p"/>
          </m:rPr>
          <m:t>)</m:t>
        </m:r>
      </m:oMath>
      <w:r>
        <w:rPr>
          <w:rFonts w:hint="eastAsia"/>
        </w:rPr>
        <w:t xml:space="preserve">，输入转移矩阵为</w:t>
      </w:r>
      <w:r>
        <w:t xml:space="preserve"> </w:t>
      </w:r>
      <m:oMath>
        <m:sSub>
          <m:e>
            <m:r>
              <m:rPr>
                <m:sty m:val="b"/>
              </m:rPr>
              <m:t>Γ</m:t>
            </m:r>
          </m:e>
          <m:sub>
            <m:r>
              <m:t>k</m:t>
            </m:r>
          </m:sub>
        </m:sSub>
        <m:r>
          <m:rPr>
            <m:sty m:val="p"/>
          </m:rPr>
          <m:t>=</m:t>
        </m:r>
        <m:r>
          <m:rPr>
            <m:sty m:val="p"/>
          </m:rPr>
          <m:t>(</m:t>
        </m:r>
        <m:r>
          <m:rPr>
            <m:sty m:val="bi"/>
          </m:rPr>
          <m:t>I</m:t>
        </m:r>
        <m:r>
          <m:rPr>
            <m:sty m:val="p"/>
          </m:rPr>
          <m:t>−</m:t>
        </m:r>
        <m:f>
          <m:fPr>
            <m:type m:val="bar"/>
          </m:fPr>
          <m:num>
            <m:r>
              <m:rPr>
                <m:sty m:val="p"/>
              </m:rPr>
              <m:t>Δ</m:t>
            </m:r>
            <m:r>
              <m:t>t</m:t>
            </m:r>
          </m:num>
          <m:den>
            <m:r>
              <m:t>2</m:t>
            </m:r>
          </m:den>
        </m:f>
        <m:sSub>
          <m:e>
            <m:r>
              <m:rPr>
                <m:sty m:val="bi"/>
              </m:rPr>
              <m:t>A</m:t>
            </m:r>
          </m:e>
          <m:sub>
            <m:r>
              <m:t>k</m:t>
            </m:r>
          </m:sub>
        </m:sSub>
        <m:sSup>
          <m:e>
            <m:r>
              <m:rPr>
                <m:sty m:val="p"/>
              </m:rPr>
              <m:t>)</m:t>
            </m:r>
          </m:e>
          <m:sup>
            <m:r>
              <m:rPr>
                <m:sty m:val="p"/>
              </m:rPr>
              <m:t>−</m:t>
            </m:r>
            <m:r>
              <m:t>1</m:t>
            </m:r>
          </m:sup>
        </m:sSup>
        <m:f>
          <m:fPr>
            <m:type m:val="bar"/>
          </m:fPr>
          <m:num>
            <m:r>
              <m:rPr>
                <m:sty m:val="p"/>
              </m:rPr>
              <m:t>Δ</m:t>
            </m:r>
            <m:r>
              <m:t>t</m:t>
            </m:r>
          </m:num>
          <m:den>
            <m:r>
              <m:t>2</m:t>
            </m:r>
          </m:den>
        </m:f>
        <m:sSub>
          <m:e>
            <m:r>
              <m:rPr>
                <m:sty m:val="bi"/>
              </m:rPr>
              <m:t>B</m:t>
            </m:r>
          </m:e>
          <m:sub>
            <m:r>
              <m:t>k</m:t>
            </m:r>
          </m:sub>
        </m:sSub>
      </m:oMath>
      <w:r>
        <w:rPr>
          <w:rFonts w:hint="eastAsia"/>
        </w:rPr>
        <w:t xml:space="preserve">。在FPGA工程实现中，通常针对变流器所有合法开关状态组合预先在上位机计算并离线存储所有的</w:t>
      </w:r>
      <w:r>
        <w:t xml:space="preserve"> </w:t>
      </w:r>
      <m:oMath>
        <m:sSub>
          <m:e>
            <m:r>
              <m:rPr>
                <m:sty m:val="b"/>
              </m:rPr>
              <m:t>Φ</m:t>
            </m:r>
          </m:e>
          <m:sub>
            <m:r>
              <m:t>k</m:t>
            </m:r>
          </m:sub>
        </m:sSub>
      </m:oMath>
      <w:r>
        <w:t xml:space="preserve"> </w:t>
      </w:r>
      <w:r>
        <w:rPr>
          <w:rFonts w:hint="eastAsia"/>
        </w:rPr>
        <w:t xml:space="preserve">和</w:t>
      </w:r>
      <w:r>
        <w:t xml:space="preserve"> </w:t>
      </w:r>
      <m:oMath>
        <m:sSub>
          <m:e>
            <m:r>
              <m:rPr>
                <m:sty m:val="b"/>
              </m:rPr>
              <m:t>Γ</m:t>
            </m:r>
          </m:e>
          <m:sub>
            <m:r>
              <m:t>k</m:t>
            </m:r>
          </m:sub>
        </m:sSub>
      </m:oMath>
      <w:r>
        <w:t xml:space="preserve"> </w:t>
      </w:r>
      <w:r>
        <w:rPr>
          <w:rFonts w:hint="eastAsia"/>
        </w:rPr>
        <w:t xml:space="preserve">常数矩阵，通过有限状态机（FSM）进行高速查表调用，配合内部海量的DSP</w:t>
      </w:r>
      <w:r>
        <w:t xml:space="preserve"> </w:t>
      </w:r>
      <w:r>
        <w:rPr>
          <w:rFonts w:hint="eastAsia"/>
        </w:rPr>
        <w:t xml:space="preserve">Slice并行硬件乘法器阵列，即可在数十个纳秒时钟周期内无延时完成一次高维矩阵与向量的点积解算。</w:t>
      </w:r>
    </w:p>
    <w:bookmarkEnd w:id="14"/>
    <w:bookmarkStart w:id="15" w:name="基于伴随电路模型的节点分析法mna"/>
    <w:p>
      <w:pPr>
        <w:pStyle w:val="Heading3"/>
      </w:pPr>
      <w:r>
        <w:rPr>
          <w:rStyle w:val="SectionNumber"/>
        </w:rPr>
        <w:t xml:space="preserve">1.3.2</w:t>
      </w:r>
      <w:r>
        <w:tab/>
      </w:r>
      <w:r>
        <w:t xml:space="preserve">4.2.2 </w:t>
      </w:r>
      <w:r>
        <w:rPr>
          <w:rFonts w:hint="eastAsia"/>
        </w:rPr>
        <w:t xml:space="preserve">基于伴随电路模型的节点分析法（MNA）</w:t>
      </w:r>
    </w:p>
    <w:p>
      <w:pPr>
        <w:pStyle w:val="FirstParagraph"/>
      </w:pPr>
      <w:r>
        <w:rPr>
          <w:rFonts w:hint="eastAsia"/>
        </w:rPr>
        <w:t xml:space="preserve">除了直接状态空间法，基于Dommel数值算法的修正节点分析法（MNA）在大型电网阻抗模型FPGA仿真中极具推广价值。该方法在每一个离散时间步内，将电感和电容等储能元件等效为由纯电阻和历史受控电流源并联组成的伴随离散电路（即诺顿等效电路）。</w:t>
      </w:r>
      <w:r>
        <w:t xml:space="preserve"> </w:t>
      </w:r>
      <w:r>
        <w:rPr>
          <w:rFonts w:hint="eastAsia"/>
        </w:rPr>
        <w:t xml:space="preserve">电感</w:t>
      </w:r>
      <w:r>
        <w:t xml:space="preserve"> </w:t>
      </w:r>
      <m:oMath>
        <m:r>
          <m:t>L</m:t>
        </m:r>
      </m:oMath>
      <w:r>
        <w:t xml:space="preserve"> </w:t>
      </w:r>
      <w:r>
        <w:rPr>
          <w:rFonts w:hint="eastAsia"/>
        </w:rPr>
        <w:t xml:space="preserve">的差分离散关联方程可推导为：</w:t>
      </w:r>
    </w:p>
    <w:p>
      <w:pPr>
        <w:pStyle w:val="BodyText"/>
      </w:pPr>
      <m:oMathPara>
        <m:oMathParaPr>
          <m:jc m:val="center"/>
        </m:oMathParaPr>
        <m:oMath>
          <m:sSub>
            <m:e>
              <m:r>
                <m:t>i</m:t>
              </m:r>
            </m:e>
            <m:sub>
              <m:r>
                <m:t>L</m:t>
              </m:r>
            </m:sub>
          </m:sSub>
          <m:r>
            <m:rPr>
              <m:sty m:val="p"/>
            </m:rPr>
            <m:t>(</m:t>
          </m:r>
          <m:r>
            <m:t>k</m:t>
          </m:r>
          <m:r>
            <m:rPr>
              <m:sty m:val="p"/>
            </m:rPr>
            <m:t>)</m:t>
          </m:r>
          <m:r>
            <m:rPr>
              <m:sty m:val="p"/>
            </m:rPr>
            <m:t>=</m:t>
          </m:r>
          <m:f>
            <m:fPr>
              <m:type m:val="bar"/>
            </m:fPr>
            <m:num>
              <m:r>
                <m:rPr>
                  <m:sty m:val="p"/>
                </m:rPr>
                <m:t>Δ</m:t>
              </m:r>
              <m:r>
                <m:t>t</m:t>
              </m:r>
            </m:num>
            <m:den>
              <m:r>
                <m:t>2</m:t>
              </m:r>
              <m:r>
                <m:t>L</m:t>
              </m:r>
            </m:den>
          </m:f>
          <m:sSub>
            <m:e>
              <m:r>
                <m:t>v</m:t>
              </m:r>
            </m:e>
            <m:sub>
              <m:r>
                <m:t>L</m:t>
              </m:r>
            </m:sub>
          </m:sSub>
          <m:r>
            <m:rPr>
              <m:sty m:val="p"/>
            </m:rPr>
            <m:t>(</m:t>
          </m:r>
          <m:r>
            <m:t>k</m:t>
          </m:r>
          <m:r>
            <m:rPr>
              <m:sty m:val="p"/>
            </m:rPr>
            <m:t>)</m:t>
          </m:r>
          <m:r>
            <m:rPr>
              <m:sty m:val="p"/>
            </m:rPr>
            <m:t>+</m:t>
          </m:r>
          <m:sSub>
            <m:e>
              <m:r>
                <m:t>I</m:t>
              </m:r>
            </m:e>
            <m:sub>
              <m:r>
                <m:t>L</m:t>
              </m:r>
              <m:r>
                <m:rPr>
                  <m:sty m:val="p"/>
                </m:rPr>
                <m:t>_</m:t>
              </m:r>
              <m:r>
                <m:t>h</m:t>
              </m:r>
              <m:r>
                <m:t>i</m:t>
              </m:r>
              <m:r>
                <m:t>s</m:t>
              </m:r>
              <m:r>
                <m:t>t</m:t>
              </m:r>
            </m:sub>
          </m:sSub>
          <m:r>
            <m:rPr>
              <m:sty m:val="p"/>
            </m:rPr>
            <m:t>(</m:t>
          </m:r>
          <m:r>
            <m:t>k</m:t>
          </m:r>
          <m:r>
            <m:rPr>
              <m:sty m:val="p"/>
            </m:rPr>
            <m:t>−</m:t>
          </m:r>
          <m:r>
            <m:t>1</m:t>
          </m:r>
          <m:r>
            <m:rPr>
              <m:sty m:val="p"/>
            </m:rPr>
            <m:t>)</m:t>
          </m:r>
        </m:oMath>
      </m:oMathPara>
    </w:p>
    <w:p>
      <w:pPr>
        <w:pStyle w:val="FirstParagraph"/>
      </w:pPr>
      <m:oMathPara>
        <m:oMathParaPr>
          <m:jc m:val="center"/>
        </m:oMathParaPr>
        <m:oMath>
          <m:sSub>
            <m:e>
              <m:r>
                <m:t>I</m:t>
              </m:r>
            </m:e>
            <m:sub>
              <m:r>
                <m:t>L</m:t>
              </m:r>
              <m:r>
                <m:rPr>
                  <m:sty m:val="p"/>
                </m:rPr>
                <m:t>_</m:t>
              </m:r>
              <m:r>
                <m:t>h</m:t>
              </m:r>
              <m:r>
                <m:t>i</m:t>
              </m:r>
              <m:r>
                <m:t>s</m:t>
              </m:r>
              <m:r>
                <m:t>t</m:t>
              </m:r>
            </m:sub>
          </m:sSub>
          <m:r>
            <m:rPr>
              <m:sty m:val="p"/>
            </m:rPr>
            <m:t>(</m:t>
          </m:r>
          <m:r>
            <m:t>k</m:t>
          </m:r>
          <m:r>
            <m:rPr>
              <m:sty m:val="p"/>
            </m:rPr>
            <m:t>)</m:t>
          </m:r>
          <m:r>
            <m:rPr>
              <m:sty m:val="p"/>
            </m:rPr>
            <m:t>=</m:t>
          </m:r>
          <m:f>
            <m:fPr>
              <m:type m:val="bar"/>
            </m:fPr>
            <m:num>
              <m:r>
                <m:rPr>
                  <m:sty m:val="p"/>
                </m:rPr>
                <m:t>Δ</m:t>
              </m:r>
              <m:r>
                <m:t>t</m:t>
              </m:r>
            </m:num>
            <m:den>
              <m:r>
                <m:t>2</m:t>
              </m:r>
              <m:r>
                <m:t>L</m:t>
              </m:r>
            </m:den>
          </m:f>
          <m:sSub>
            <m:e>
              <m:r>
                <m:t>v</m:t>
              </m:r>
            </m:e>
            <m:sub>
              <m:r>
                <m:t>L</m:t>
              </m:r>
            </m:sub>
          </m:sSub>
          <m:r>
            <m:rPr>
              <m:sty m:val="p"/>
            </m:rPr>
            <m:t>(</m:t>
          </m:r>
          <m:r>
            <m:t>k</m:t>
          </m:r>
          <m:r>
            <m:rPr>
              <m:sty m:val="p"/>
            </m:rPr>
            <m:t>)</m:t>
          </m:r>
          <m:r>
            <m:rPr>
              <m:sty m:val="p"/>
            </m:rPr>
            <m:t>+</m:t>
          </m:r>
          <m:sSub>
            <m:e>
              <m:r>
                <m:t>i</m:t>
              </m:r>
            </m:e>
            <m:sub>
              <m:r>
                <m:t>L</m:t>
              </m:r>
            </m:sub>
          </m:sSub>
          <m:r>
            <m:rPr>
              <m:sty m:val="p"/>
            </m:rPr>
            <m:t>(</m:t>
          </m:r>
          <m:r>
            <m:t>k</m:t>
          </m:r>
          <m:r>
            <m:rPr>
              <m:sty m:val="p"/>
            </m:rPr>
            <m:t>)</m:t>
          </m:r>
        </m:oMath>
      </m:oMathPara>
    </w:p>
    <w:p>
      <w:pPr>
        <w:pStyle w:val="FirstParagraph"/>
      </w:pPr>
      <w:r>
        <w:rPr>
          <w:rFonts w:hint="eastAsia"/>
        </w:rPr>
        <w:t xml:space="preserve">对于电容</w:t>
      </w:r>
      <w:r>
        <w:t xml:space="preserve"> </w:t>
      </w:r>
      <m:oMath>
        <m:r>
          <m:t>C</m:t>
        </m:r>
      </m:oMath>
      <w:r>
        <w:rPr>
          <w:rFonts w:hint="eastAsia"/>
        </w:rPr>
        <w:t xml:space="preserve">，其伴随节点模型方程推导为：</w:t>
      </w:r>
    </w:p>
    <w:p>
      <w:pPr>
        <w:pStyle w:val="BodyText"/>
      </w:pPr>
      <m:oMathPara>
        <m:oMathParaPr>
          <m:jc m:val="center"/>
        </m:oMathParaPr>
        <m:oMath>
          <m:sSub>
            <m:e>
              <m:r>
                <m:t>i</m:t>
              </m:r>
            </m:e>
            <m:sub>
              <m:r>
                <m:t>C</m:t>
              </m:r>
            </m:sub>
          </m:sSub>
          <m:r>
            <m:rPr>
              <m:sty m:val="p"/>
            </m:rPr>
            <m:t>(</m:t>
          </m:r>
          <m:r>
            <m:t>k</m:t>
          </m:r>
          <m:r>
            <m:rPr>
              <m:sty m:val="p"/>
            </m:rPr>
            <m:t>)</m:t>
          </m:r>
          <m:r>
            <m:rPr>
              <m:sty m:val="p"/>
            </m:rPr>
            <m:t>=</m:t>
          </m:r>
          <m:f>
            <m:fPr>
              <m:type m:val="bar"/>
            </m:fPr>
            <m:num>
              <m:r>
                <m:t>2</m:t>
              </m:r>
              <m:r>
                <m:t>C</m:t>
              </m:r>
            </m:num>
            <m:den>
              <m:r>
                <m:rPr>
                  <m:sty m:val="p"/>
                </m:rPr>
                <m:t>Δ</m:t>
              </m:r>
              <m:r>
                <m:t>t</m:t>
              </m:r>
            </m:den>
          </m:f>
          <m:sSub>
            <m:e>
              <m:r>
                <m:t>v</m:t>
              </m:r>
            </m:e>
            <m:sub>
              <m:r>
                <m:t>C</m:t>
              </m:r>
            </m:sub>
          </m:sSub>
          <m:r>
            <m:rPr>
              <m:sty m:val="p"/>
            </m:rPr>
            <m:t>(</m:t>
          </m:r>
          <m:r>
            <m:t>k</m:t>
          </m:r>
          <m:r>
            <m:rPr>
              <m:sty m:val="p"/>
            </m:rPr>
            <m:t>)</m:t>
          </m:r>
          <m:r>
            <m:rPr>
              <m:sty m:val="p"/>
            </m:rPr>
            <m:t>+</m:t>
          </m:r>
          <m:sSub>
            <m:e>
              <m:r>
                <m:t>I</m:t>
              </m:r>
            </m:e>
            <m:sub>
              <m:r>
                <m:t>C</m:t>
              </m:r>
              <m:r>
                <m:rPr>
                  <m:sty m:val="p"/>
                </m:rPr>
                <m:t>_</m:t>
              </m:r>
              <m:r>
                <m:t>h</m:t>
              </m:r>
              <m:r>
                <m:t>i</m:t>
              </m:r>
              <m:r>
                <m:t>s</m:t>
              </m:r>
              <m:r>
                <m:t>t</m:t>
              </m:r>
            </m:sub>
          </m:sSub>
          <m:r>
            <m:rPr>
              <m:sty m:val="p"/>
            </m:rPr>
            <m:t>(</m:t>
          </m:r>
          <m:r>
            <m:t>k</m:t>
          </m:r>
          <m:r>
            <m:rPr>
              <m:sty m:val="p"/>
            </m:rPr>
            <m:t>−</m:t>
          </m:r>
          <m:r>
            <m:t>1</m:t>
          </m:r>
          <m:r>
            <m:rPr>
              <m:sty m:val="p"/>
            </m:rPr>
            <m:t>)</m:t>
          </m:r>
        </m:oMath>
      </m:oMathPara>
    </w:p>
    <w:p>
      <w:pPr>
        <w:pStyle w:val="FirstParagraph"/>
      </w:pPr>
      <m:oMathPara>
        <m:oMathParaPr>
          <m:jc m:val="center"/>
        </m:oMathParaPr>
        <m:oMath>
          <m:sSub>
            <m:e>
              <m:r>
                <m:t>I</m:t>
              </m:r>
            </m:e>
            <m:sub>
              <m:r>
                <m:t>C</m:t>
              </m:r>
              <m:r>
                <m:rPr>
                  <m:sty m:val="p"/>
                </m:rPr>
                <m:t>_</m:t>
              </m:r>
              <m:r>
                <m:t>h</m:t>
              </m:r>
              <m:r>
                <m:t>i</m:t>
              </m:r>
              <m:r>
                <m:t>s</m:t>
              </m:r>
              <m:r>
                <m:t>t</m:t>
              </m:r>
            </m:sub>
          </m:sSub>
          <m:r>
            <m:rPr>
              <m:sty m:val="p"/>
            </m:rPr>
            <m:t>(</m:t>
          </m:r>
          <m:r>
            <m:t>k</m:t>
          </m:r>
          <m:r>
            <m:rPr>
              <m:sty m:val="p"/>
            </m:rPr>
            <m:t>)</m:t>
          </m:r>
          <m:r>
            <m:rPr>
              <m:sty m:val="p"/>
            </m:rPr>
            <m:t>=</m:t>
          </m:r>
          <m:r>
            <m:rPr>
              <m:sty m:val="p"/>
            </m:rPr>
            <m:t>−</m:t>
          </m:r>
          <m:f>
            <m:fPr>
              <m:type m:val="bar"/>
            </m:fPr>
            <m:num>
              <m:r>
                <m:t>2</m:t>
              </m:r>
              <m:r>
                <m:t>C</m:t>
              </m:r>
            </m:num>
            <m:den>
              <m:r>
                <m:rPr>
                  <m:sty m:val="p"/>
                </m:rPr>
                <m:t>Δ</m:t>
              </m:r>
              <m:r>
                <m:t>t</m:t>
              </m:r>
            </m:den>
          </m:f>
          <m:sSub>
            <m:e>
              <m:r>
                <m:t>v</m:t>
              </m:r>
            </m:e>
            <m:sub>
              <m:r>
                <m:t>C</m:t>
              </m:r>
            </m:sub>
          </m:sSub>
          <m:r>
            <m:rPr>
              <m:sty m:val="p"/>
            </m:rPr>
            <m:t>(</m:t>
          </m:r>
          <m:r>
            <m:t>k</m:t>
          </m:r>
          <m:r>
            <m:rPr>
              <m:sty m:val="p"/>
            </m:rPr>
            <m:t>)</m:t>
          </m:r>
          <m:r>
            <m:rPr>
              <m:sty m:val="p"/>
            </m:rPr>
            <m:t>−</m:t>
          </m:r>
          <m:sSub>
            <m:e>
              <m:r>
                <m:t>i</m:t>
              </m:r>
            </m:e>
            <m:sub>
              <m:r>
                <m:t>C</m:t>
              </m:r>
            </m:sub>
          </m:sSub>
          <m:r>
            <m:rPr>
              <m:sty m:val="p"/>
            </m:rPr>
            <m:t>(</m:t>
          </m:r>
          <m:r>
            <m:t>k</m:t>
          </m:r>
          <m:r>
            <m:rPr>
              <m:sty m:val="p"/>
            </m:rPr>
            <m:t>)</m:t>
          </m:r>
        </m:oMath>
      </m:oMathPara>
    </w:p>
    <w:p>
      <w:pPr>
        <w:pStyle w:val="FirstParagraph"/>
      </w:pPr>
      <w:r>
        <w:rPr>
          <w:rFonts w:hint="eastAsia"/>
        </w:rPr>
        <w:t xml:space="preserve">通过将全网节点归约，构建出常数系统节点导纳矩阵</w:t>
      </w:r>
      <w:r>
        <w:t xml:space="preserve"> </w:t>
      </w:r>
      <m:oMath>
        <m:r>
          <m:rPr>
            <m:sty m:val="bi"/>
          </m:rPr>
          <m:t>Y</m:t>
        </m:r>
      </m:oMath>
      <w:r>
        <w:rPr>
          <w:rFonts w:hint="eastAsia"/>
        </w:rPr>
        <w:t xml:space="preserve">，仿真求解过程即简化为求解节点电压线性方程组</w:t>
      </w:r>
      <w:r>
        <w:t xml:space="preserve"> </w:t>
      </w:r>
      <m:oMath>
        <m:r>
          <m:rPr>
            <m:sty m:val="bi"/>
          </m:rPr>
          <m:t>V</m:t>
        </m:r>
        <m:r>
          <m:rPr>
            <m:sty m:val="p"/>
          </m:rPr>
          <m:t>(</m:t>
        </m:r>
        <m:r>
          <m:t>k</m:t>
        </m:r>
        <m:r>
          <m:rPr>
            <m:sty m:val="p"/>
          </m:rPr>
          <m:t>)</m:t>
        </m:r>
        <m:r>
          <m:rPr>
            <m:sty m:val="p"/>
          </m:rPr>
          <m:t>=</m:t>
        </m:r>
        <m:sSup>
          <m:e>
            <m:r>
              <m:rPr>
                <m:sty m:val="bi"/>
              </m:rPr>
              <m:t>Y</m:t>
            </m:r>
          </m:e>
          <m:sup>
            <m:r>
              <m:rPr>
                <m:sty m:val="p"/>
              </m:rPr>
              <m:t>−</m:t>
            </m:r>
            <m:r>
              <m:t>1</m:t>
            </m:r>
          </m:sup>
        </m:sSup>
        <m:r>
          <m:rPr>
            <m:sty m:val="bi"/>
          </m:rPr>
          <m:t>I</m:t>
        </m:r>
        <m:r>
          <m:rPr>
            <m:sty m:val="p"/>
          </m:rPr>
          <m:t>(</m:t>
        </m:r>
        <m:r>
          <m:t>k</m:t>
        </m:r>
        <m:r>
          <m:rPr>
            <m:sty m:val="p"/>
          </m:rPr>
          <m:t>)</m:t>
        </m:r>
      </m:oMath>
      <w:r>
        <w:rPr>
          <w:rFonts w:hint="eastAsia"/>
        </w:rPr>
        <w:t xml:space="preserve">。利用FPGA内部的高速SRAM存储模块缓存预分解的</w:t>
      </w:r>
      <w:r>
        <w:t xml:space="preserve"> </w:t>
      </w:r>
      <m:oMath>
        <m:r>
          <m:rPr>
            <m:sty m:val="bi"/>
          </m:rPr>
          <m:t>Y</m:t>
        </m:r>
      </m:oMath>
      <w:r>
        <w:t xml:space="preserve"> </w:t>
      </w:r>
      <w:r>
        <w:rPr>
          <w:rFonts w:hint="eastAsia"/>
        </w:rPr>
        <w:t xml:space="preserve">矩阵逆或LU因子，利用流水线（Pipeline）结构处理历史电流源的更新与回代，能够以</w:t>
      </w:r>
      <w:r>
        <w:t xml:space="preserve"> </w:t>
      </w:r>
      <m:oMath>
        <m:r>
          <m:t>O</m:t>
        </m:r>
        <m:r>
          <m:rPr>
            <m:sty m:val="p"/>
          </m:rPr>
          <m:t>(</m:t>
        </m:r>
        <m:r>
          <m:t>1</m:t>
        </m:r>
        <m:r>
          <m:rPr>
            <m:sty m:val="p"/>
          </m:rPr>
          <m:t>)</m:t>
        </m:r>
      </m:oMath>
      <w:r>
        <w:t xml:space="preserve"> </w:t>
      </w:r>
      <w:r>
        <w:rPr>
          <w:rFonts w:hint="eastAsia"/>
        </w:rPr>
        <w:t xml:space="preserve">的时间复杂度应对大规模复杂网络模型的实时求解。</w:t>
      </w:r>
    </w:p>
    <w:bookmarkEnd w:id="15"/>
    <w:bookmarkStart w:id="16" w:name="hil接口io延迟的预测与相位补偿策略"/>
    <w:p>
      <w:pPr>
        <w:pStyle w:val="Heading3"/>
      </w:pPr>
      <w:r>
        <w:rPr>
          <w:rStyle w:val="SectionNumber"/>
        </w:rPr>
        <w:t xml:space="preserve">1.3.3</w:t>
      </w:r>
      <w:r>
        <w:tab/>
      </w:r>
      <w:r>
        <w:t xml:space="preserve">4.2.3 </w:t>
      </w:r>
      <w:r>
        <w:rPr>
          <w:rFonts w:hint="eastAsia"/>
        </w:rPr>
        <w:t xml:space="preserve">HIL接口I/O延迟的预测与相位补偿策略</w:t>
      </w:r>
    </w:p>
    <w:p>
      <w:pPr>
        <w:pStyle w:val="FirstParagraph"/>
      </w:pPr>
      <w:r>
        <w:rPr>
          <w:rFonts w:hint="eastAsia"/>
        </w:rPr>
        <w:t xml:space="preserve">虽然FPGA核心计算单元实现了纳秒级模型更迭，但连接被测物理控制器的板级接口（ADC、DAC调理运算放大链路及光电隔离器件）不可避免地存在纳秒甚至微秒级的硬件寄生传播延迟。总和延迟（假设为</w:t>
      </w:r>
      <w:r>
        <w:t xml:space="preserve"> </w:t>
      </w:r>
      <m:oMath>
        <m:sSub>
          <m:e>
            <m:r>
              <m:t>t</m:t>
            </m:r>
          </m:e>
          <m:sub>
            <m:r>
              <m:t>d</m:t>
            </m:r>
            <m:r>
              <m:t>e</m:t>
            </m:r>
            <m:r>
              <m:t>l</m:t>
            </m:r>
            <m:r>
              <m:t>a</m:t>
            </m:r>
            <m:r>
              <m:t>y</m:t>
            </m:r>
          </m:sub>
        </m:sSub>
      </m:oMath>
      <w:r>
        <w:rPr>
          <w:rFonts w:hint="eastAsia"/>
        </w:rPr>
        <w:t xml:space="preserve">）在系统闭环频域分析中，相当于强行串入了一个额外的</w:t>
      </w:r>
      <w:r>
        <w:t xml:space="preserve"> </w:t>
      </w:r>
      <m:oMath>
        <m:sSup>
          <m:e>
            <m:r>
              <m:t>e</m:t>
            </m:r>
          </m:e>
          <m:sup>
            <m:r>
              <m:rPr>
                <m:sty m:val="p"/>
              </m:rPr>
              <m:t>−</m:t>
            </m:r>
            <m:sSub>
              <m:e>
                <m:r>
                  <m:t>t</m:t>
                </m:r>
              </m:e>
              <m:sub>
                <m:r>
                  <m:t>d</m:t>
                </m:r>
                <m:r>
                  <m:t>e</m:t>
                </m:r>
                <m:r>
                  <m:t>l</m:t>
                </m:r>
                <m:r>
                  <m:t>a</m:t>
                </m:r>
                <m:r>
                  <m:t>y</m:t>
                </m:r>
              </m:sub>
            </m:sSub>
            <m:r>
              <m:rPr>
                <m:sty m:val="p"/>
              </m:rPr>
              <m:t>⋅</m:t>
            </m:r>
            <m:r>
              <m:t>s</m:t>
            </m:r>
          </m:sup>
        </m:sSup>
      </m:oMath>
      <w:r>
        <w:t xml:space="preserve"> </w:t>
      </w:r>
      <w:r>
        <w:rPr>
          <w:rFonts w:hint="eastAsia"/>
        </w:rPr>
        <w:t xml:space="preserve">传输时滞环节，导致系统开环相角在带宽截止频率处产生急剧滚降，甚至直接诱发高频振荡等虚假失稳现象。</w:t>
      </w:r>
    </w:p>
    <w:p>
      <w:pPr>
        <w:pStyle w:val="BodyText"/>
      </w:pPr>
      <w:r>
        <w:rPr>
          <w:rFonts w:hint="eastAsia"/>
        </w:rPr>
        <w:t xml:space="preserve">为消除测试设备物理结构带来的引入误差，必须在FPGA数据下发端实施高带宽的I/O延迟预测与相位超前补偿。对于落后</w:t>
      </w:r>
      <w:r>
        <w:t xml:space="preserve"> </w:t>
      </w:r>
      <m:oMath>
        <m:r>
          <m:t>n</m:t>
        </m:r>
      </m:oMath>
      <w:r>
        <w:t xml:space="preserve"> </w:t>
      </w:r>
      <w:r>
        <w:rPr>
          <w:rFonts w:hint="eastAsia"/>
        </w:rPr>
        <w:t xml:space="preserve">个系统时钟周期的连续控制输入序列，工业界普遍采用基于泰勒级数展开或拉格朗日多项式拟合的预测-校正策略。利用历史采样数据在当前计算步执行线性外推，预测并提前释放未来的模型输入信号，利用时间的“提前量”抵消物理链路上的“滞后量”。</w:t>
      </w:r>
      <w:r>
        <w:t xml:space="preserve"> </w:t>
      </w:r>
      <w:r>
        <w:rPr>
          <w:rFonts w:hint="eastAsia"/>
        </w:rPr>
        <w:t xml:space="preserve">一阶线性预测补偿公式推导如下：</w:t>
      </w:r>
    </w:p>
    <w:p>
      <w:pPr>
        <w:pStyle w:val="BodyText"/>
      </w:pPr>
      <m:oMathPara>
        <m:oMathParaPr>
          <m:jc m:val="center"/>
        </m:oMathParaPr>
        <m:oMath>
          <m:acc>
            <m:accPr>
              <m:chr m:val="̂"/>
            </m:accPr>
            <m:e>
              <m:r>
                <m:t>u</m:t>
              </m:r>
            </m:e>
          </m:acc>
          <m:r>
            <m:rPr>
              <m:sty m:val="p"/>
            </m:rPr>
            <m:t>(</m:t>
          </m:r>
          <m:r>
            <m:t>k</m:t>
          </m:r>
          <m:r>
            <m:rPr>
              <m:sty m:val="p"/>
            </m:rPr>
            <m:t>)</m:t>
          </m:r>
          <m:r>
            <m:rPr>
              <m:sty m:val="p"/>
            </m:rPr>
            <m:t>=</m:t>
          </m:r>
          <m:r>
            <m:t>u</m:t>
          </m:r>
          <m:r>
            <m:rPr>
              <m:sty m:val="p"/>
            </m:rPr>
            <m:t>(</m:t>
          </m:r>
          <m:r>
            <m:t>k</m:t>
          </m:r>
          <m:r>
            <m:rPr>
              <m:sty m:val="p"/>
            </m:rPr>
            <m:t>−</m:t>
          </m:r>
          <m:r>
            <m:t>n</m:t>
          </m:r>
          <m:r>
            <m:rPr>
              <m:sty m:val="p"/>
            </m:rPr>
            <m:t>)</m:t>
          </m:r>
          <m:r>
            <m:rPr>
              <m:sty m:val="p"/>
            </m:rPr>
            <m:t>+</m:t>
          </m:r>
          <m:r>
            <m:t>n</m:t>
          </m:r>
          <m:r>
            <m:rPr>
              <m:sty m:val="p"/>
            </m:rPr>
            <m:t>⋅</m:t>
          </m:r>
          <m:r>
            <m:rPr>
              <m:sty m:val="p"/>
            </m:rPr>
            <m:t>[</m:t>
          </m:r>
          <m:r>
            <m:t>u</m:t>
          </m:r>
          <m:r>
            <m:rPr>
              <m:sty m:val="p"/>
            </m:rPr>
            <m:t>(</m:t>
          </m:r>
          <m:r>
            <m:t>k</m:t>
          </m:r>
          <m:r>
            <m:rPr>
              <m:sty m:val="p"/>
            </m:rPr>
            <m:t>−</m:t>
          </m:r>
          <m:r>
            <m:t>n</m:t>
          </m:r>
          <m:r>
            <m:rPr>
              <m:sty m:val="p"/>
            </m:rPr>
            <m:t>)</m:t>
          </m:r>
          <m:r>
            <m:rPr>
              <m:sty m:val="p"/>
            </m:rPr>
            <m:t>−</m:t>
          </m:r>
          <m:r>
            <m:t>u</m:t>
          </m:r>
          <m:r>
            <m:rPr>
              <m:sty m:val="p"/>
            </m:rPr>
            <m:t>(</m:t>
          </m:r>
          <m:r>
            <m:t>k</m:t>
          </m:r>
          <m:r>
            <m:rPr>
              <m:sty m:val="p"/>
            </m:rPr>
            <m:t>−</m:t>
          </m:r>
          <m:r>
            <m:t>n</m:t>
          </m:r>
          <m:r>
            <m:rPr>
              <m:sty m:val="p"/>
            </m:rPr>
            <m:t>−</m:t>
          </m:r>
          <m:r>
            <m:t>1</m:t>
          </m:r>
          <m:r>
            <m:rPr>
              <m:sty m:val="p"/>
            </m:rPr>
            <m:t>)</m:t>
          </m:r>
          <m:r>
            <m:rPr>
              <m:sty m:val="p"/>
            </m:rPr>
            <m:t>]</m:t>
          </m:r>
        </m:oMath>
      </m:oMathPara>
    </w:p>
    <w:p>
      <w:pPr>
        <w:pStyle w:val="FirstParagraph"/>
      </w:pPr>
      <w:r>
        <w:rPr>
          <w:rFonts w:hint="eastAsia"/>
        </w:rPr>
        <w:t xml:space="preserve">然而，一阶线性预测在应对变流器注入的高频非线性谐波时，往往会在信号过零点或极值点引发幅值超调与发散。针对此类高动态信号，常采用二阶抛物线插值预测算法抑制超调：</w:t>
      </w:r>
    </w:p>
    <w:p>
      <w:pPr>
        <w:pStyle w:val="BodyText"/>
      </w:pPr>
      <m:oMathPara>
        <m:oMathParaPr>
          <m:jc m:val="center"/>
        </m:oMathParaPr>
        <m:oMath>
          <m:acc>
            <m:accPr>
              <m:chr m:val="̂"/>
            </m:accPr>
            <m:e>
              <m:r>
                <m:t>u</m:t>
              </m:r>
            </m:e>
          </m:acc>
          <m:r>
            <m:rPr>
              <m:sty m:val="p"/>
            </m:rPr>
            <m:t>(</m:t>
          </m:r>
          <m:r>
            <m:t>k</m:t>
          </m:r>
          <m:r>
            <m:rPr>
              <m:sty m:val="p"/>
            </m:rPr>
            <m:t>)</m:t>
          </m:r>
          <m:r>
            <m:rPr>
              <m:sty m:val="p"/>
            </m:rPr>
            <m:t>=</m:t>
          </m:r>
          <m:r>
            <m:t>3</m:t>
          </m:r>
          <m:r>
            <m:t>u</m:t>
          </m:r>
          <m:r>
            <m:rPr>
              <m:sty m:val="p"/>
            </m:rPr>
            <m:t>(</m:t>
          </m:r>
          <m:r>
            <m:t>k</m:t>
          </m:r>
          <m:r>
            <m:rPr>
              <m:sty m:val="p"/>
            </m:rPr>
            <m:t>−</m:t>
          </m:r>
          <m:r>
            <m:t>n</m:t>
          </m:r>
          <m:r>
            <m:rPr>
              <m:sty m:val="p"/>
            </m:rPr>
            <m:t>)</m:t>
          </m:r>
          <m:r>
            <m:rPr>
              <m:sty m:val="p"/>
            </m:rPr>
            <m:t>−</m:t>
          </m:r>
          <m:r>
            <m:t>3</m:t>
          </m:r>
          <m:r>
            <m:t>u</m:t>
          </m:r>
          <m:r>
            <m:rPr>
              <m:sty m:val="p"/>
            </m:rPr>
            <m:t>(</m:t>
          </m:r>
          <m:r>
            <m:t>k</m:t>
          </m:r>
          <m:r>
            <m:rPr>
              <m:sty m:val="p"/>
            </m:rPr>
            <m:t>−</m:t>
          </m:r>
          <m:r>
            <m:t>n</m:t>
          </m:r>
          <m:r>
            <m:rPr>
              <m:sty m:val="p"/>
            </m:rPr>
            <m:t>−</m:t>
          </m:r>
          <m:r>
            <m:t>1</m:t>
          </m:r>
          <m:r>
            <m:rPr>
              <m:sty m:val="p"/>
            </m:rPr>
            <m:t>)</m:t>
          </m:r>
          <m:r>
            <m:rPr>
              <m:sty m:val="p"/>
            </m:rPr>
            <m:t>+</m:t>
          </m:r>
          <m:r>
            <m:t>u</m:t>
          </m:r>
          <m:r>
            <m:rPr>
              <m:sty m:val="p"/>
            </m:rPr>
            <m:t>(</m:t>
          </m:r>
          <m:r>
            <m:t>k</m:t>
          </m:r>
          <m:r>
            <m:rPr>
              <m:sty m:val="p"/>
            </m:rPr>
            <m:t>−</m:t>
          </m:r>
          <m:r>
            <m:t>n</m:t>
          </m:r>
          <m:r>
            <m:rPr>
              <m:sty m:val="p"/>
            </m:rPr>
            <m:t>−</m:t>
          </m:r>
          <m:r>
            <m:t>2</m:t>
          </m:r>
          <m:r>
            <m:rPr>
              <m:sty m:val="p"/>
            </m:rPr>
            <m:t>)</m:t>
          </m:r>
        </m:oMath>
      </m:oMathPara>
    </w:p>
    <w:p>
      <w:pPr>
        <w:pStyle w:val="FirstParagraph"/>
      </w:pPr>
      <w:r>
        <w:rPr>
          <w:rFonts w:hint="eastAsia"/>
        </w:rPr>
        <w:t xml:space="preserve">上述硬件级补偿算法所消耗的FPGA乘加（MAC）资源极少，却能强有力地修正由于硬件电气隔离接口造成的闭环相位畸变，使得HIL测试台架闭环特性在几百赫兹中高频段内无限贴合原初的纯数字理论物理边界。</w:t>
      </w:r>
    </w:p>
    <w:bookmarkEnd w:id="16"/>
    <w:bookmarkEnd w:id="17"/>
    <w:bookmarkStart w:id="21" w:name="行业标准指南iec-61400-2中的hil测试要求规范"/>
    <w:p>
      <w:pPr>
        <w:pStyle w:val="Heading2"/>
      </w:pPr>
      <w:r>
        <w:rPr>
          <w:rStyle w:val="SectionNumber"/>
        </w:rPr>
        <w:t xml:space="preserve">1.4</w:t>
      </w:r>
      <w:r>
        <w:tab/>
      </w:r>
      <w:r>
        <w:t xml:space="preserve">4.3 </w:t>
      </w:r>
      <w:r>
        <w:rPr>
          <w:rFonts w:hint="eastAsia"/>
        </w:rPr>
        <w:t xml:space="preserve">行业标准指南：IEC</w:t>
      </w:r>
      <w:r>
        <w:t xml:space="preserve"> </w:t>
      </w:r>
      <w:r>
        <w:rPr>
          <w:rFonts w:hint="eastAsia"/>
        </w:rPr>
        <w:t xml:space="preserve">61400-2中的HIL测试要求规范</w:t>
      </w:r>
    </w:p>
    <w:p>
      <w:pPr>
        <w:pStyle w:val="FirstParagraph"/>
      </w:pPr>
      <w:r>
        <w:rPr>
          <w:rFonts w:hint="eastAsia"/>
        </w:rPr>
        <w:t xml:space="preserve">在大型风力发电机组控制器的工业级测试、型式认证与并网许可流程中，国际电工委员会（IEC）颁布的设计标准群具有权威参考依据。其中，IEC</w:t>
      </w:r>
      <w:r>
        <w:t xml:space="preserve"> </w:t>
      </w:r>
      <w:r>
        <w:rPr>
          <w:rFonts w:hint="eastAsia"/>
        </w:rPr>
        <w:t xml:space="preserve">61400-2规范虽然名为小型风电机组设计导则，但其确立的控制逻辑与安全保护系统分离验证理念，目前已被全盘拓展应用于兆瓦级海上及陆上风电HIL验证体系中。同时，标准要求的新能源并网特性验证必须在模拟的极端边界条件下展开，这也直接催生了必须依赖HIL技术进行功能穷举的工程需求。</w:t>
      </w:r>
    </w:p>
    <w:bookmarkStart w:id="18" w:name="控制与保护系统的物理独立性测试"/>
    <w:p>
      <w:pPr>
        <w:pStyle w:val="Heading3"/>
      </w:pPr>
      <w:r>
        <w:rPr>
          <w:rStyle w:val="SectionNumber"/>
        </w:rPr>
        <w:t xml:space="preserve">1.4.1</w:t>
      </w:r>
      <w:r>
        <w:tab/>
      </w:r>
      <w:r>
        <w:t xml:space="preserve">4.3.1 </w:t>
      </w:r>
      <w:r>
        <w:rPr>
          <w:rFonts w:hint="eastAsia"/>
        </w:rPr>
        <w:t xml:space="preserve">控制与保护系统的物理独立性测试</w:t>
      </w:r>
    </w:p>
    <w:p>
      <w:pPr>
        <w:pStyle w:val="FirstParagraph"/>
      </w:pPr>
      <w:r>
        <w:rPr>
          <w:rFonts w:hint="eastAsia"/>
        </w:rPr>
        <w:t xml:space="preserve">IEC标准强制性指出，所有风电机组的正常调节系统（即主控制逻辑）与安全保护系统（即安全链模块）必须在物理架构与软件逻辑上维持绝对的独立性。在HIL验证标准下，测试规程要求人为向仿真器主控通道注入会导致系统软件死机或死循环的严重故障逻辑，观察此时底层的独立保护模块是否依然能够准确触发空气动力学制动（紧急顺桨）与机械偏航刹车，确保不发生灾难性的飞车毁塔事故。由于SIL测试共享同一个PC内存空间且缺乏硬接线环境，这类涵盖物理硬件互锁逻辑的安全性验证必须依赖具有独立I/O分配的HIL平台方能被认证机构认可。</w:t>
      </w:r>
    </w:p>
    <w:bookmarkEnd w:id="18"/>
    <w:bookmarkStart w:id="19" w:name="极端设计载荷工况dlc的边界冲击验证"/>
    <w:p>
      <w:pPr>
        <w:pStyle w:val="Heading3"/>
      </w:pPr>
      <w:r>
        <w:rPr>
          <w:rStyle w:val="SectionNumber"/>
        </w:rPr>
        <w:t xml:space="preserve">1.4.2</w:t>
      </w:r>
      <w:r>
        <w:tab/>
      </w:r>
      <w:r>
        <w:t xml:space="preserve">4.3.2 </w:t>
      </w:r>
      <w:r>
        <w:rPr>
          <w:rFonts w:hint="eastAsia"/>
        </w:rPr>
        <w:t xml:space="preserve">极端设计载荷工况（DLC）的边界冲击验证</w:t>
      </w:r>
    </w:p>
    <w:p>
      <w:pPr>
        <w:pStyle w:val="FirstParagraph"/>
      </w:pPr>
      <w:r>
        <w:t xml:space="preserve">IEC </w:t>
      </w:r>
      <w:r>
        <w:rPr>
          <w:rFonts w:hint="eastAsia"/>
        </w:rPr>
        <w:t xml:space="preserve">61400系列规范定义了数十种设计载荷工况（DLC,</w:t>
      </w:r>
      <w:r>
        <w:t xml:space="preserve"> Design Load </w:t>
      </w:r>
      <w:r>
        <w:rPr>
          <w:rFonts w:hint="eastAsia"/>
        </w:rPr>
        <w:t xml:space="preserve">Cases），覆盖了发电机组在全生命周期内可能遭遇的最严酷自然环境。HIL台架测试被要求将高分辨率的风场湍流空间模型、传动轴系的多体柔性动力学模型（如扭振特性）与发电机高频电磁模型深度耦合。</w:t>
      </w:r>
      <w:r>
        <w:t xml:space="preserve"> </w:t>
      </w:r>
      <w:r>
        <w:rPr>
          <w:rFonts w:hint="eastAsia"/>
        </w:rPr>
        <w:t xml:space="preserve">通过在实时仿真环境中持续注入标准规定的极端运行阵风（EOG）、极端风向突变（EDC）以及非对称电网电压骤降等复合恶劣扰动组合，考核实体控制器能否在不超出传动链机械疲劳扭矩极限与变流器结温电气极限的强约束下，动态协调变流转矩限幅指令与桨距角变桨速率。这一环节旨在通过模拟环境对控制器施加超越常规的动态极限试压。</w:t>
      </w:r>
    </w:p>
    <w:bookmarkEnd w:id="19"/>
    <w:bookmarkStart w:id="20" w:name="软硬件接口容错与传感器降级运行derating"/>
    <w:p>
      <w:pPr>
        <w:pStyle w:val="Heading3"/>
      </w:pPr>
      <w:r>
        <w:rPr>
          <w:rStyle w:val="SectionNumber"/>
        </w:rPr>
        <w:t xml:space="preserve">1.4.3</w:t>
      </w:r>
      <w:r>
        <w:tab/>
      </w:r>
      <w:r>
        <w:t xml:space="preserve">4.3.3 </w:t>
      </w:r>
      <w:r>
        <w:rPr>
          <w:rFonts w:hint="eastAsia"/>
        </w:rPr>
        <w:t xml:space="preserve">软硬件接口容错与传感器降级运行（Derating）</w:t>
      </w:r>
    </w:p>
    <w:p>
      <w:pPr>
        <w:pStyle w:val="FirstParagraph"/>
      </w:pPr>
      <w:r>
        <w:rPr>
          <w:rFonts w:hint="eastAsia"/>
        </w:rPr>
        <w:t xml:space="preserve">标准极其强调控制器对于现场电气干扰与传感器老化漂移的容错适应能力。在HIL平台特有的故障注入板卡支持下，测试工程师能够随时切断或者短路任一物理引脚，精准模拟编码器脉冲高速丢失、电压电流互感器零位严重漂移、以及模拟量输入通道遭受雷击感应产生的高频共模涌流干扰等恶劣现场级工况。</w:t>
      </w:r>
      <w:r>
        <w:t xml:space="preserve"> </w:t>
      </w:r>
      <w:r>
        <w:rPr>
          <w:rFonts w:hint="eastAsia"/>
        </w:rPr>
        <w:t xml:space="preserve">规范要求，主控硬件及内部诊断逻辑必须在规定毫秒级窗口内识别传感器故障特征，随后平滑过渡触发降级运行模式（Derating</w:t>
      </w:r>
      <w:r>
        <w:t xml:space="preserve"> </w:t>
      </w:r>
      <w:r>
        <w:rPr>
          <w:rFonts w:hint="eastAsia"/>
        </w:rPr>
        <w:t xml:space="preserve">Mode）或者有序安全停机。只有确保软硬件协同策略不会因微小硬件缺陷被错误放大进而引发次生破坏，才符合行业最高等级的容错设计要求。</w:t>
      </w:r>
    </w:p>
    <w:bookmarkEnd w:id="20"/>
    <w:bookmarkEnd w:id="21"/>
    <w:bookmarkStart w:id="33" w:name="变桨系统控制原理与仿真案例深度对比"/>
    <w:p>
      <w:pPr>
        <w:pStyle w:val="Heading2"/>
      </w:pPr>
      <w:r>
        <w:rPr>
          <w:rStyle w:val="SectionNumber"/>
        </w:rPr>
        <w:t xml:space="preserve">1.5</w:t>
      </w:r>
      <w:r>
        <w:tab/>
      </w:r>
      <w:r>
        <w:t xml:space="preserve">4.4 </w:t>
      </w:r>
      <w:r>
        <w:rPr>
          <w:rFonts w:hint="eastAsia"/>
        </w:rPr>
        <w:t xml:space="preserve">变桨系统控制原理与仿真案例深度对比</w:t>
      </w:r>
    </w:p>
    <w:p>
      <w:pPr>
        <w:pStyle w:val="FirstParagraph"/>
      </w:pPr>
      <w:r>
        <w:rPr>
          <w:rFonts w:hint="eastAsia"/>
        </w:rPr>
        <w:t xml:space="preserve">变桨控制系统是现代大型风电机组调节气动功率捕获、控制转子转速并执行安全制动的核心伺服执行机构。当外部风速低于额定值时，叶片桨距角维持在最优迎风攻角（通常接近0度）以实现最大风能跟踪（MPPT）；而在风速超越额定值进入切出风速区间后，主控硬件根据发电机转速反馈或功率环偏差，大动态地闭环调节叶片变桨距角，主动改变叶片截面的空气动力学升阻比，以快速削减气动转矩，抑制发电机定子超载与塔筒结构破坏。</w:t>
      </w:r>
    </w:p>
    <w:bookmarkStart w:id="22" w:name="变桨系统的刚柔耦合动力学建模"/>
    <w:p>
      <w:pPr>
        <w:pStyle w:val="Heading3"/>
      </w:pPr>
      <w:r>
        <w:rPr>
          <w:rStyle w:val="SectionNumber"/>
        </w:rPr>
        <w:t xml:space="preserve">1.5.1</w:t>
      </w:r>
      <w:r>
        <w:tab/>
      </w:r>
      <w:r>
        <w:t xml:space="preserve">4.4.1 </w:t>
      </w:r>
      <w:r>
        <w:rPr>
          <w:rFonts w:hint="eastAsia"/>
        </w:rPr>
        <w:t xml:space="preserve">变桨系统的刚柔耦合动力学建模</w:t>
      </w:r>
    </w:p>
    <w:p>
      <w:pPr>
        <w:pStyle w:val="FirstParagraph"/>
      </w:pPr>
      <w:r>
        <w:rPr>
          <w:rFonts w:hint="eastAsia"/>
        </w:rPr>
        <w:t xml:space="preserve">真实的变桨传动机构通常由大功率交流伺服电机、多级行星减速齿轮箱和回转变桨轴承构成。在控制器开发初期，其宏观机械动力学行为可被近似等效为一个受非线性气动风载强烈扰动的二阶带阻尼惯性系统：</w:t>
      </w:r>
    </w:p>
    <w:p>
      <w:pPr>
        <w:pStyle w:val="BodyText"/>
      </w:pPr>
      <m:oMathPara>
        <m:oMathParaPr>
          <m:jc m:val="center"/>
        </m:oMathParaPr>
        <m:oMath>
          <m:sSub>
            <m:e>
              <m:r>
                <m:t>J</m:t>
              </m:r>
            </m:e>
            <m:sub>
              <m:r>
                <m:rPr>
                  <m:nor/>
                  <m:sty m:val="p"/>
                </m:rPr>
                <m:t>pitch</m:t>
              </m:r>
            </m:sub>
          </m:sSub>
          <m:acc>
            <m:accPr>
              <m:chr m:val="̈"/>
            </m:accPr>
            <m:e>
              <m:r>
                <m:t>β</m:t>
              </m:r>
            </m:e>
          </m:acc>
          <m:r>
            <m:rPr>
              <m:sty m:val="p"/>
            </m:rPr>
            <m:t>+</m:t>
          </m:r>
          <m:sSub>
            <m:e>
              <m:r>
                <m:t>D</m:t>
              </m:r>
            </m:e>
            <m:sub>
              <m:r>
                <m:rPr>
                  <m:nor/>
                  <m:sty m:val="p"/>
                </m:rPr>
                <m:t>pitch</m:t>
              </m:r>
            </m:sub>
          </m:sSub>
          <m:acc>
            <m:accPr>
              <m:chr m:val="̇"/>
            </m:accPr>
            <m:e>
              <m:r>
                <m:t>β</m:t>
              </m:r>
            </m:e>
          </m:acc>
          <m:r>
            <m:rPr>
              <m:sty m:val="p"/>
            </m:rPr>
            <m:t>=</m:t>
          </m:r>
          <m:sSub>
            <m:e>
              <m:r>
                <m:t>T</m:t>
              </m:r>
            </m:e>
            <m:sub>
              <m:r>
                <m:rPr>
                  <m:nor/>
                  <m:sty m:val="p"/>
                </m:rPr>
                <m:t>act</m:t>
              </m:r>
            </m:sub>
          </m:sSub>
          <m:r>
            <m:rPr>
              <m:sty m:val="p"/>
            </m:rPr>
            <m:t>−</m:t>
          </m:r>
          <m:sSub>
            <m:e>
              <m:r>
                <m:t>T</m:t>
              </m:r>
            </m:e>
            <m:sub>
              <m:r>
                <m:rPr>
                  <m:nor/>
                  <m:sty m:val="p"/>
                </m:rPr>
                <m:t>aero</m:t>
              </m:r>
            </m:sub>
          </m:sSub>
          <m:r>
            <m:rPr>
              <m:sty m:val="p"/>
            </m:rPr>
            <m:t>(</m:t>
          </m:r>
          <m:r>
            <m:t>β</m:t>
          </m:r>
          <m:r>
            <m:rPr>
              <m:sty m:val="p"/>
            </m:rPr>
            <m:t>,</m:t>
          </m:r>
          <m:r>
            <m:t>λ</m:t>
          </m:r>
          <m:r>
            <m:rPr>
              <m:sty m:val="p"/>
            </m:rPr>
            <m:t>,</m:t>
          </m:r>
          <m:r>
            <m:t>v</m:t>
          </m:r>
          <m:r>
            <m:rPr>
              <m:sty m:val="p"/>
            </m:rPr>
            <m:t>)</m:t>
          </m:r>
        </m:oMath>
      </m:oMathPara>
    </w:p>
    <w:p>
      <w:pPr>
        <w:pStyle w:val="FirstParagraph"/>
      </w:pPr>
      <w:r>
        <w:rPr>
          <w:rFonts w:hint="eastAsia"/>
        </w:rPr>
        <w:t xml:space="preserve">其中</w:t>
      </w:r>
      <w:r>
        <w:t xml:space="preserve"> </w:t>
      </w:r>
      <m:oMath>
        <m:sSub>
          <m:e>
            <m:r>
              <m:t>J</m:t>
            </m:r>
          </m:e>
          <m:sub>
            <m:r>
              <m:rPr>
                <m:nor/>
                <m:sty m:val="p"/>
              </m:rPr>
              <m:t>pitch</m:t>
            </m:r>
          </m:sub>
        </m:sSub>
      </m:oMath>
      <w:r>
        <w:t xml:space="preserve"> </w:t>
      </w:r>
      <w:r>
        <w:rPr>
          <w:rFonts w:hint="eastAsia"/>
        </w:rPr>
        <w:t xml:space="preserve">表征包含叶片和传动链折算的系统整体等效转动惯量，</w:t>
      </w:r>
      <m:oMath>
        <m:sSub>
          <m:e>
            <m:r>
              <m:t>D</m:t>
            </m:r>
          </m:e>
          <m:sub>
            <m:r>
              <m:rPr>
                <m:nor/>
                <m:sty m:val="p"/>
              </m:rPr>
              <m:t>pitch</m:t>
            </m:r>
          </m:sub>
        </m:sSub>
      </m:oMath>
      <w:r>
        <w:t xml:space="preserve"> </w:t>
      </w:r>
      <w:r>
        <w:rPr>
          <w:rFonts w:hint="eastAsia"/>
        </w:rPr>
        <w:t xml:space="preserve">为齿轮啮合与轴承带来的黏性摩擦阻尼系数，</w:t>
      </w:r>
      <m:oMath>
        <m:sSub>
          <m:e>
            <m:r>
              <m:t>T</m:t>
            </m:r>
          </m:e>
          <m:sub>
            <m:r>
              <m:rPr>
                <m:nor/>
                <m:sty m:val="p"/>
              </m:rPr>
              <m:t>act</m:t>
            </m:r>
          </m:sub>
        </m:sSub>
      </m:oMath>
      <w:r>
        <w:t xml:space="preserve"> </w:t>
      </w:r>
      <w:r>
        <w:rPr>
          <w:rFonts w:hint="eastAsia"/>
        </w:rPr>
        <w:t xml:space="preserve">为变桨伺服驱动器的有效执行器输出力矩，</w:t>
      </w:r>
      <m:oMath>
        <m:sSub>
          <m:e>
            <m:r>
              <m:t>T</m:t>
            </m:r>
          </m:e>
          <m:sub>
            <m:r>
              <m:rPr>
                <m:nor/>
                <m:sty m:val="p"/>
              </m:rPr>
              <m:t>aero</m:t>
            </m:r>
          </m:sub>
        </m:sSub>
      </m:oMath>
      <w:r>
        <w:t xml:space="preserve"> </w:t>
      </w:r>
      <w:r>
        <w:rPr>
          <w:rFonts w:hint="eastAsia"/>
        </w:rPr>
        <w:t xml:space="preserve">则代表极其非线性的气动负载阻力矩。值得注意的是，</w:t>
      </w:r>
      <m:oMath>
        <m:sSub>
          <m:e>
            <m:r>
              <m:t>T</m:t>
            </m:r>
          </m:e>
          <m:sub>
            <m:r>
              <m:rPr>
                <m:nor/>
                <m:sty m:val="p"/>
              </m:rPr>
              <m:t>aero</m:t>
            </m:r>
          </m:sub>
        </m:sSub>
      </m:oMath>
      <w:r>
        <w:t xml:space="preserve"> </w:t>
      </w:r>
      <w:r>
        <w:rPr>
          <w:rFonts w:hint="eastAsia"/>
        </w:rPr>
        <w:t xml:space="preserve">的大小及方向高度耦合于当前的实际桨距角</w:t>
      </w:r>
      <w:r>
        <w:t xml:space="preserve"> </w:t>
      </w:r>
      <m:oMath>
        <m:r>
          <m:t>β</m:t>
        </m:r>
      </m:oMath>
      <w:r>
        <w:rPr>
          <w:rFonts w:hint="eastAsia"/>
        </w:rPr>
        <w:t xml:space="preserve">、叶尖速比</w:t>
      </w:r>
      <w:r>
        <w:t xml:space="preserve"> </w:t>
      </w:r>
      <m:oMath>
        <m:r>
          <m:t>λ</m:t>
        </m:r>
      </m:oMath>
      <w:r>
        <w:t xml:space="preserve"> </w:t>
      </w:r>
      <w:r>
        <w:rPr>
          <w:rFonts w:hint="eastAsia"/>
        </w:rPr>
        <w:t xml:space="preserve">以及实时湍流风速</w:t>
      </w:r>
      <w:r>
        <w:t xml:space="preserve"> </w:t>
      </w:r>
      <m:oMath>
        <m:r>
          <m:t>v</m:t>
        </m:r>
      </m:oMath>
      <w:r>
        <w:t xml:space="preserve">。</w:t>
      </w:r>
      <w:r>
        <w:t xml:space="preserve"> </w:t>
      </w:r>
      <w:r>
        <w:rPr>
          <w:rFonts w:hint="eastAsia"/>
        </w:rPr>
        <w:t xml:space="preserve">构建变桨系统HIL测试台架的核心价值在于，物理模型能够高精度还原执行伺服的真实非线性硬约束边界。例如：受限的母线电压导致的电机输出力矩动态饱和、受限于液压或电气物理极值的绝对变桨速率限制（通常硬件被锁死在</w:t>
      </w:r>
      <w:r>
        <w:t xml:space="preserve"> </w:t>
      </w:r>
      <m:oMath>
        <m:r>
          <m:rPr>
            <m:sty m:val="p"/>
          </m:rPr>
          <m:t>±</m:t>
        </m:r>
        <m:sSup>
          <m:e>
            <m:r>
              <m:t>8</m:t>
            </m:r>
          </m:e>
          <m:sup>
            <m:r>
              <m:rPr>
                <m:sty m:val="p"/>
              </m:rPr>
              <m:t>∘</m:t>
            </m:r>
          </m:sup>
        </m:sSup>
        <m:r>
          <m:rPr>
            <m:sty m:val="p"/>
          </m:rPr>
          <m:t>/</m:t>
        </m:r>
        <m:r>
          <m:rPr>
            <m:nor/>
            <m:sty m:val="p"/>
          </m:rPr>
          <m:t>s</m:t>
        </m:r>
        <m:r>
          <m:rPr>
            <m:sty m:val="p"/>
          </m:rPr>
          <m:t>∼</m:t>
        </m:r>
        <m:r>
          <m:rPr>
            <m:sty m:val="p"/>
          </m:rPr>
          <m:t>±</m:t>
        </m:r>
        <m:sSup>
          <m:e>
            <m:r>
              <m:t>10</m:t>
            </m:r>
          </m:e>
          <m:sup>
            <m:r>
              <m:rPr>
                <m:sty m:val="p"/>
              </m:rPr>
              <m:t>∘</m:t>
            </m:r>
          </m:sup>
        </m:sSup>
        <m:r>
          <m:rPr>
            <m:sty m:val="p"/>
          </m:rPr>
          <m:t>/</m:t>
        </m:r>
        <m:r>
          <m:rPr>
            <m:nor/>
            <m:sty m:val="p"/>
          </m:rPr>
          <m:t>s</m:t>
        </m:r>
      </m:oMath>
      <w:r>
        <w:t xml:space="preserve"> </w:t>
      </w:r>
      <w:r>
        <w:rPr>
          <w:rFonts w:hint="eastAsia"/>
        </w:rPr>
        <w:t xml:space="preserve">范围内），以及齿轮磨损带来的背隙（Backlash）引发的闭环控制极限环振荡隐患。这些影响系统绝对稳定性的摩擦与饱和参数在理想化的SIL纯数学算域中通常被选择性忽略，但在实际工程中却是诱发大风天机组功率剧烈震荡的罪魁祸首。</w:t>
      </w:r>
    </w:p>
    <w:bookmarkEnd w:id="22"/>
    <w:bookmarkStart w:id="26" w:name="仿真案例分析sil与hil变桨控制性能对比剖析"/>
    <w:p>
      <w:pPr>
        <w:pStyle w:val="Heading3"/>
      </w:pPr>
      <w:r>
        <w:rPr>
          <w:rStyle w:val="SectionNumber"/>
        </w:rPr>
        <w:t xml:space="preserve">1.5.2</w:t>
      </w:r>
      <w:r>
        <w:tab/>
      </w:r>
      <w:r>
        <w:t xml:space="preserve">4.4.2 </w:t>
      </w:r>
      <w:r>
        <w:rPr>
          <w:rFonts w:hint="eastAsia"/>
        </w:rPr>
        <w:t xml:space="preserve">仿真案例分析：SIL与HIL变桨控制性能对比剖析</w:t>
      </w:r>
    </w:p>
    <w:p>
      <w:pPr>
        <w:pStyle w:val="FirstParagraph"/>
      </w:pPr>
      <w:r>
        <w:rPr>
          <w:rFonts w:hint="eastAsia"/>
        </w:rPr>
        <w:t xml:space="preserve">本节基于上述变桨模型，设计了风电机组变桨控制算法在三种阶梯式仿真测试环境下的指令跟踪性能演变实验：</w:t>
      </w:r>
      <w:r>
        <w:t xml:space="preserve"> </w:t>
      </w:r>
      <w:r>
        <w:t xml:space="preserve">1.</w:t>
      </w:r>
      <w:r>
        <w:t xml:space="preserve"> </w:t>
      </w:r>
      <w:r>
        <w:rPr>
          <w:rFonts w:hint="eastAsia"/>
          <w:b/>
          <w:bCs/>
        </w:rPr>
        <w:t xml:space="preserve">SIL测试环境</w:t>
      </w:r>
      <w:r>
        <w:rPr>
          <w:rFonts w:hint="eastAsia"/>
        </w:rPr>
        <w:t xml:space="preserve">：纯计算机内存软件演算，内部无硬件延迟，无模拟量热噪声侵入。</w:t>
      </w:r>
      <w:r>
        <w:t xml:space="preserve"> </w:t>
      </w:r>
      <w:r>
        <w:t xml:space="preserve">2.</w:t>
      </w:r>
      <w:r>
        <w:t xml:space="preserve"> </w:t>
      </w:r>
      <w:r>
        <w:rPr>
          <w:rFonts w:hint="eastAsia"/>
          <w:b/>
          <w:bCs/>
        </w:rPr>
        <w:t xml:space="preserve">HIL-1ms测试环境</w:t>
      </w:r>
      <w:r>
        <w:rPr>
          <w:rFonts w:hint="eastAsia"/>
        </w:rPr>
        <w:t xml:space="preserve">：模拟搭载了高速EtherCAT总线与精密板卡的高性能物理HIL平台，闭环通讯包含稳定的1个离散采样周期固有延迟。</w:t>
      </w:r>
      <w:r>
        <w:t xml:space="preserve"> </w:t>
      </w:r>
      <w:r>
        <w:t xml:space="preserve">3.</w:t>
      </w:r>
      <w:r>
        <w:t xml:space="preserve"> </w:t>
      </w:r>
      <w:r>
        <w:rPr>
          <w:rFonts w:hint="eastAsia"/>
          <w:b/>
          <w:bCs/>
        </w:rPr>
        <w:t xml:space="preserve">HIL-5ms测试环境</w:t>
      </w:r>
      <w:r>
        <w:rPr>
          <w:rFonts w:hint="eastAsia"/>
        </w:rPr>
        <w:t xml:space="preserve">：模拟传统低成本分布式通信架构（如标准CAN总线或旧型PLC扫描周期较长）下，存在5个采样周期深长延迟的被测物理系统。</w:t>
      </w:r>
    </w:p>
    <w:p>
      <w:pPr>
        <w:pStyle w:val="BodyText"/>
      </w:pPr>
      <w:r>
        <w:rPr>
          <w:rFonts w:hint="eastAsia"/>
        </w:rPr>
        <w:t xml:space="preserve">数学模型参数基准设定为：</w:t>
      </w:r>
      <m:oMath>
        <m:sSub>
          <m:e>
            <m:r>
              <m:t>J</m:t>
            </m:r>
          </m:e>
          <m:sub>
            <m:r>
              <m:rPr>
                <m:nor/>
                <m:sty m:val="p"/>
              </m:rPr>
              <m:t>pitch</m:t>
            </m:r>
          </m:sub>
        </m:sSub>
        <m:r>
          <m:rPr>
            <m:sty m:val="p"/>
          </m:rPr>
          <m:t>=</m:t>
        </m:r>
        <m:r>
          <m:t>50</m:t>
        </m:r>
      </m:oMath>
      <w:r>
        <w:t xml:space="preserve"> </w:t>
      </w:r>
      <w:r>
        <w:t xml:space="preserve">kg</w:t>
      </w:r>
      <m:oMath>
        <m:r>
          <m:rPr>
            <m:sty m:val="p"/>
          </m:rPr>
          <m:t>⋅</m:t>
        </m:r>
      </m:oMath>
      <w:r>
        <w:t xml:space="preserve">m</w:t>
      </w:r>
      <m:oMath>
        <m:sSup>
          <m:e>
            <m:r>
              <m:t>​</m:t>
            </m:r>
          </m:e>
          <m:sup>
            <m:r>
              <m:t>2</m:t>
            </m:r>
          </m:sup>
        </m:sSup>
      </m:oMath>
      <w:r>
        <w:rPr>
          <w:rFonts w:hint="eastAsia"/>
        </w:rPr>
        <w:t xml:space="preserve">，</w:t>
      </w:r>
      <m:oMath>
        <m:sSub>
          <m:e>
            <m:r>
              <m:t>D</m:t>
            </m:r>
          </m:e>
          <m:sub>
            <m:r>
              <m:rPr>
                <m:nor/>
                <m:sty m:val="p"/>
              </m:rPr>
              <m:t>pitch</m:t>
            </m:r>
          </m:sub>
        </m:sSub>
        <m:r>
          <m:rPr>
            <m:sty m:val="p"/>
          </m:rPr>
          <m:t>=</m:t>
        </m:r>
        <m:r>
          <m:t>20</m:t>
        </m:r>
      </m:oMath>
      <w:r>
        <w:t xml:space="preserve"> </w:t>
      </w:r>
      <w:r>
        <w:t xml:space="preserve">N</w:t>
      </w:r>
      <m:oMath>
        <m:r>
          <m:rPr>
            <m:sty m:val="p"/>
          </m:rPr>
          <m:t>⋅</m:t>
        </m:r>
      </m:oMath>
      <w:r>
        <w:t xml:space="preserve">m</w:t>
      </w:r>
      <m:oMath>
        <m:r>
          <m:rPr>
            <m:sty m:val="p"/>
          </m:rPr>
          <m:t>⋅</m:t>
        </m:r>
      </m:oMath>
      <w:r>
        <w:rPr>
          <w:rFonts w:hint="eastAsia"/>
        </w:rPr>
        <w:t xml:space="preserve">s/rad。被测实体算法采用带有动态抗积分饱和（Anti-windup）功能的离散PI控制器，工程初调参数固定为比例增益</w:t>
      </w:r>
      <w:r>
        <w:t xml:space="preserve"> </w:t>
      </w:r>
      <m:oMath>
        <m:sSub>
          <m:e>
            <m:r>
              <m:t>K</m:t>
            </m:r>
          </m:e>
          <m:sub>
            <m:r>
              <m:t>p</m:t>
            </m:r>
          </m:sub>
        </m:sSub>
        <m:r>
          <m:rPr>
            <m:sty m:val="p"/>
          </m:rPr>
          <m:t>=</m:t>
        </m:r>
        <m:r>
          <m:t>500</m:t>
        </m:r>
      </m:oMath>
      <w:r>
        <w:rPr>
          <w:rFonts w:hint="eastAsia"/>
        </w:rPr>
        <w:t xml:space="preserve">，积分增益</w:t>
      </w:r>
      <w:r>
        <w:t xml:space="preserve"> </w:t>
      </w:r>
      <m:oMath>
        <m:sSub>
          <m:e>
            <m:r>
              <m:t>K</m:t>
            </m:r>
          </m:e>
          <m:sub>
            <m:r>
              <m:t>i</m:t>
            </m:r>
          </m:sub>
        </m:sSub>
        <m:r>
          <m:rPr>
            <m:sty m:val="p"/>
          </m:rPr>
          <m:t>=</m:t>
        </m:r>
        <m:r>
          <m:t>100</m:t>
        </m:r>
      </m:oMath>
      <w:r>
        <w:rPr>
          <w:rFonts w:hint="eastAsia"/>
        </w:rPr>
        <w:t xml:space="preserve">。数字求解与通讯步长全局统一锁定为</w:t>
      </w:r>
      <w:r>
        <w:t xml:space="preserve"> 1 </w:t>
      </w:r>
      <w:r>
        <w:rPr>
          <w:rFonts w:hint="eastAsia"/>
        </w:rPr>
        <w:t xml:space="preserve">ms。仿真全流程总时长为</w:t>
      </w:r>
      <w:r>
        <w:t xml:space="preserve"> 10 </w:t>
      </w:r>
      <w:r>
        <w:rPr>
          <w:rFonts w:hint="eastAsia"/>
        </w:rPr>
        <w:t xml:space="preserve">秒。在此期间，上位机环境连续向控制算法下发三次幅值与变化率各异的桨距角位置阶跃指令序列。</w:t>
      </w:r>
      <w:r>
        <w:t xml:space="preserve"> </w:t>
      </w:r>
      <w:r>
        <w:rPr>
          <w:rFonts w:hint="eastAsia"/>
        </w:rPr>
        <w:t xml:space="preserve">仿真执行底层相关实现代码请参照工程目录：</w:t>
      </w:r>
      <w:r>
        <w:rPr>
          <w:rStyle w:val="VerbatimChar"/>
        </w:rPr>
        <w:t xml:space="preserve">assets/ch04/ch04_hil_simulation.py</w:t>
      </w:r>
    </w:p>
    <w:p>
      <w:pPr>
        <w:pStyle w:val="CaptionedFigure"/>
      </w:pPr>
      <w:r>
        <w:drawing>
          <wp:inline>
            <wp:extent cx="3810000" cy="2540000"/>
            <wp:effectExtent b="0" l="0" r="0" t="0"/>
            <wp:docPr descr="SIL vs HIL变桨控制对比" title="" id="24" name="Picture"/>
            <a:graphic>
              <a:graphicData uri="http://schemas.openxmlformats.org/drawingml/2006/picture">
                <pic:pic>
                  <pic:nvPicPr>
                    <pic:cNvPr descr="assets/ch04/hil_vs_sil_pitch.pn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SIL vs </w:t>
      </w:r>
      <w:r>
        <w:rPr>
          <w:rFonts w:hint="eastAsia"/>
        </w:rPr>
        <w:t xml:space="preserve">HIL变桨控制对比</w:t>
      </w:r>
    </w:p>
    <w:p>
      <w:pPr>
        <w:pStyle w:val="BodyText"/>
      </w:pPr>
      <w:r>
        <w:rPr>
          <w:rFonts w:hint="eastAsia"/>
        </w:rPr>
        <w:t xml:space="preserve">为了量化评估控制品质退化程度，下表提取了实验中第二个指令阶跃阶跃（要求叶片角度由初始稳态的</w:t>
      </w:r>
      <w:r>
        <w:t xml:space="preserve"> 5 </w:t>
      </w:r>
      <w:r>
        <w:rPr>
          <w:rFonts w:hint="eastAsia"/>
        </w:rPr>
        <w:t xml:space="preserve">度阶跃拉升至</w:t>
      </w:r>
      <w:r>
        <w:t xml:space="preserve"> 10 </w:t>
      </w:r>
      <w:r>
        <w:rPr>
          <w:rFonts w:hint="eastAsia"/>
        </w:rPr>
        <w:t xml:space="preserve">度动态响应区间）的核心动态特征参数指标：</w:t>
      </w:r>
    </w:p>
    <w:p>
      <w:pPr>
        <w:pStyle w:val="BodyText"/>
      </w:pPr>
      <w:r>
        <w:rPr>
          <w:rFonts w:hint="eastAsia"/>
          <w:b/>
          <w:bCs/>
        </w:rPr>
        <w:t xml:space="preserve">变桨控制阶跃响应动态性能量化对比表：</w:t>
      </w:r>
    </w:p>
    <w:tbl>
      <w:tblPr>
        <w:tblStyle w:val="Table"/>
        <w:tblW w:type="pct" w:w="5000"/>
        <w:tblLayout w:type="fixed"/>
        <w:tblLook w:firstRow="1" w:lastRow="0" w:firstColumn="0" w:lastColumn="0" w:noHBand="0" w:noVBand="0" w:val="0020"/>
      </w:tblPr>
      <w:tblGrid>
        <w:gridCol w:w="1218"/>
        <w:gridCol w:w="1015"/>
        <w:gridCol w:w="2843"/>
        <w:gridCol w:w="2843"/>
      </w:tblGrid>
      <w:tr>
        <w:trPr>
          <w:tblHeader w:val="on"/>
        </w:trPr>
        <w:tc>
          <w:tcPr/>
          <w:p>
            <w:pPr>
              <w:pStyle w:val="Compact"/>
              <w:jc w:val="left"/>
            </w:pPr>
            <w:r>
              <w:rPr>
                <w:rFonts w:hint="eastAsia"/>
              </w:rPr>
              <w:t xml:space="preserve">评价分析指标</w:t>
            </w:r>
          </w:p>
        </w:tc>
        <w:tc>
          <w:tcPr/>
          <w:p>
            <w:pPr>
              <w:pStyle w:val="Compact"/>
              <w:jc w:val="center"/>
            </w:pPr>
            <w:r>
              <w:rPr>
                <w:rFonts w:hint="eastAsia"/>
              </w:rPr>
              <w:t xml:space="preserve">SIL纯净测试域</w:t>
            </w:r>
          </w:p>
        </w:tc>
        <w:tc>
          <w:tcPr/>
          <w:p>
            <w:pPr>
              <w:pStyle w:val="Compact"/>
              <w:jc w:val="center"/>
            </w:pPr>
            <w:r>
              <w:rPr>
                <w:rFonts w:hint="eastAsia"/>
              </w:rPr>
              <w:t xml:space="preserve">物理HIL测试</w:t>
            </w:r>
            <w:r>
              <w:t xml:space="preserve"> </w:t>
            </w:r>
            <w:r>
              <w:rPr>
                <w:rFonts w:hint="eastAsia"/>
              </w:rPr>
              <w:t xml:space="preserve">(1ms总线延迟)</w:t>
            </w:r>
          </w:p>
        </w:tc>
        <w:tc>
          <w:tcPr/>
          <w:p>
            <w:pPr>
              <w:pStyle w:val="Compact"/>
              <w:jc w:val="center"/>
            </w:pPr>
            <w:r>
              <w:rPr>
                <w:rFonts w:hint="eastAsia"/>
              </w:rPr>
              <w:t xml:space="preserve">物理HIL测试</w:t>
            </w:r>
            <w:r>
              <w:t xml:space="preserve"> </w:t>
            </w:r>
            <w:r>
              <w:rPr>
                <w:rFonts w:hint="eastAsia"/>
              </w:rPr>
              <w:t xml:space="preserve">(5ms总线延迟)</w:t>
            </w:r>
          </w:p>
        </w:tc>
      </w:tr>
      <w:tr>
        <w:tc>
          <w:tcPr/>
          <w:p>
            <w:pPr>
              <w:pStyle w:val="Compact"/>
              <w:jc w:val="left"/>
            </w:pPr>
            <w:r>
              <w:rPr>
                <w:rFonts w:hint="eastAsia"/>
              </w:rPr>
              <w:t xml:space="preserve">稳态最终误差</w:t>
            </w:r>
            <w:r>
              <w:t xml:space="preserve"> (deg)</w:t>
            </w:r>
          </w:p>
        </w:tc>
        <w:tc>
          <w:tcPr/>
          <w:p>
            <w:pPr>
              <w:pStyle w:val="Compact"/>
              <w:jc w:val="center"/>
            </w:pPr>
            <w:r>
              <w:t xml:space="preserve">0.326</w:t>
            </w:r>
          </w:p>
        </w:tc>
        <w:tc>
          <w:tcPr/>
          <w:p>
            <w:pPr>
              <w:pStyle w:val="Compact"/>
              <w:jc w:val="center"/>
            </w:pPr>
            <w:r>
              <w:t xml:space="preserve">0.314</w:t>
            </w:r>
          </w:p>
        </w:tc>
        <w:tc>
          <w:tcPr/>
          <w:p>
            <w:pPr>
              <w:pStyle w:val="Compact"/>
              <w:jc w:val="center"/>
            </w:pPr>
            <w:r>
              <w:t xml:space="preserve">0.192</w:t>
            </w:r>
          </w:p>
        </w:tc>
      </w:tr>
      <w:tr>
        <w:tc>
          <w:tcPr/>
          <w:p>
            <w:pPr>
              <w:pStyle w:val="Compact"/>
              <w:jc w:val="left"/>
            </w:pPr>
            <w:r>
              <w:rPr>
                <w:rFonts w:hint="eastAsia"/>
              </w:rPr>
              <w:t xml:space="preserve">阶跃最大超调量</w:t>
            </w:r>
            <w:r>
              <w:t xml:space="preserve"> (%)</w:t>
            </w:r>
          </w:p>
        </w:tc>
        <w:tc>
          <w:tcPr/>
          <w:p>
            <w:pPr>
              <w:pStyle w:val="Compact"/>
              <w:jc w:val="center"/>
            </w:pPr>
            <w:r>
              <w:t xml:space="preserve">6.20</w:t>
            </w:r>
          </w:p>
        </w:tc>
        <w:tc>
          <w:tcPr/>
          <w:p>
            <w:pPr>
              <w:pStyle w:val="Compact"/>
              <w:jc w:val="center"/>
            </w:pPr>
            <w:r>
              <w:t xml:space="preserve">5.85</w:t>
            </w:r>
          </w:p>
        </w:tc>
        <w:tc>
          <w:tcPr/>
          <w:p>
            <w:pPr>
              <w:pStyle w:val="Compact"/>
              <w:jc w:val="center"/>
            </w:pPr>
            <w:r>
              <w:t xml:space="preserve">3.86</w:t>
            </w:r>
          </w:p>
        </w:tc>
      </w:tr>
      <w:tr>
        <w:tc>
          <w:tcPr/>
          <w:p>
            <w:pPr>
              <w:pStyle w:val="Compact"/>
              <w:jc w:val="left"/>
            </w:pPr>
            <w:r>
              <w:rPr>
                <w:rFonts w:hint="eastAsia"/>
              </w:rPr>
              <w:t xml:space="preserve">局部均方根误差</w:t>
            </w:r>
            <w:r>
              <w:t xml:space="preserve"> (RMSE/deg)</w:t>
            </w:r>
          </w:p>
        </w:tc>
        <w:tc>
          <w:tcPr/>
          <w:p>
            <w:pPr>
              <w:pStyle w:val="Compact"/>
              <w:jc w:val="center"/>
            </w:pPr>
            <w:r>
              <w:t xml:space="preserve">0.435</w:t>
            </w:r>
          </w:p>
        </w:tc>
        <w:tc>
          <w:tcPr/>
          <w:p>
            <w:pPr>
              <w:pStyle w:val="Compact"/>
              <w:jc w:val="center"/>
            </w:pPr>
            <w:r>
              <w:t xml:space="preserve">0.411</w:t>
            </w:r>
          </w:p>
        </w:tc>
        <w:tc>
          <w:tcPr/>
          <w:p>
            <w:pPr>
              <w:pStyle w:val="Compact"/>
              <w:jc w:val="center"/>
            </w:pPr>
            <w:r>
              <w:t xml:space="preserve">0.281</w:t>
            </w:r>
          </w:p>
        </w:tc>
      </w:tr>
      <w:tr>
        <w:tc>
          <w:tcPr/>
          <w:p>
            <w:pPr>
              <w:pStyle w:val="Compact"/>
              <w:jc w:val="left"/>
            </w:pPr>
            <w:r>
              <w:rPr>
                <w:rFonts w:hint="eastAsia"/>
              </w:rPr>
              <w:t xml:space="preserve">全程10秒全局RMSE</w:t>
            </w:r>
            <w:r>
              <w:t xml:space="preserve"> (deg)</w:t>
            </w:r>
          </w:p>
        </w:tc>
        <w:tc>
          <w:tcPr/>
          <w:p>
            <w:pPr>
              <w:pStyle w:val="Compact"/>
              <w:jc w:val="center"/>
            </w:pPr>
            <w:r>
              <w:t xml:space="preserve">2.986</w:t>
            </w:r>
          </w:p>
        </w:tc>
        <w:tc>
          <w:tcPr/>
          <w:p>
            <w:pPr>
              <w:pStyle w:val="Compact"/>
              <w:jc w:val="center"/>
            </w:pPr>
            <w:r>
              <w:t xml:space="preserve">2.997</w:t>
            </w:r>
          </w:p>
        </w:tc>
        <w:tc>
          <w:tcPr/>
          <w:p>
            <w:pPr>
              <w:pStyle w:val="Compact"/>
              <w:jc w:val="center"/>
            </w:pPr>
            <w:r>
              <w:t xml:space="preserve">3.025</w:t>
            </w:r>
          </w:p>
        </w:tc>
      </w:tr>
    </w:tbl>
    <w:bookmarkEnd w:id="26"/>
    <w:bookmarkStart w:id="27" w:name="代码实现要点"/>
    <w:p>
      <w:pPr>
        <w:pStyle w:val="Heading3"/>
      </w:pPr>
      <w:r>
        <w:rPr>
          <w:rStyle w:val="SectionNumber"/>
        </w:rPr>
        <w:t xml:space="preserve">1.5.3</w:t>
      </w:r>
      <w:r>
        <w:tab/>
      </w:r>
      <w:r>
        <w:t xml:space="preserve">4.4.3 </w:t>
      </w:r>
      <w:r>
        <w:rPr>
          <w:rFonts w:hint="eastAsia"/>
        </w:rPr>
        <w:t xml:space="preserve">代码实现要点</w:t>
      </w:r>
    </w:p>
    <w:p>
      <w:pPr>
        <w:pStyle w:val="FirstParagraph"/>
      </w:pPr>
      <w:r>
        <w:rPr>
          <w:rFonts w:hint="eastAsia"/>
        </w:rPr>
        <w:t xml:space="preserve">仿真脚本的代码实现中包含若干值得深入理解的工程细节：</w:t>
      </w:r>
    </w:p>
    <w:p>
      <w:pPr>
        <w:pStyle w:val="BodyText"/>
      </w:pPr>
      <w:r>
        <w:rPr>
          <w:rFonts w:hint="eastAsia"/>
        </w:rPr>
        <w:t xml:space="preserve">该脚本围绕“同一变桨控制算法在理想仿真与硬件在环条件下的差异”展开，核心是把连续动力学、控制器、时延与扰动统一到离散时间循环中，再用统一指标比较三种工况。</w:t>
      </w:r>
    </w:p>
    <w:bookmarkEnd w:id="27"/>
    <w:bookmarkStart w:id="28" w:name="变桨系统二阶惯性模型的离散化"/>
    <w:p>
      <w:pPr>
        <w:pStyle w:val="Heading3"/>
      </w:pPr>
      <w:r>
        <w:rPr>
          <w:rStyle w:val="SectionNumber"/>
        </w:rPr>
        <w:t xml:space="preserve">1.5.4</w:t>
      </w:r>
      <w:r>
        <w:tab/>
      </w:r>
      <w:r>
        <w:t xml:space="preserve">1. </w:t>
      </w:r>
      <w:r>
        <w:rPr>
          <w:rFonts w:hint="eastAsia"/>
        </w:rPr>
        <w:t xml:space="preserve">变桨系统二阶惯性模型的离散化</w:t>
      </w:r>
    </w:p>
    <w:p>
      <w:pPr>
        <w:pStyle w:val="FirstParagraph"/>
      </w:pPr>
      <w:r>
        <w:rPr>
          <w:rFonts w:hint="eastAsia"/>
        </w:rPr>
        <w:t xml:space="preserve">模型从连续方程出发：变桨惯量项加阻尼项等于执行器力矩减气动扰动力矩。代码采用显式欧拉法做两次积分：先由净力矩求角加速度，再积分得到角速度，最后积分得到桨距角。离散更新链条是“加速度→速度→角度”，每步都乘采样周期</w:t>
      </w:r>
      <w:r>
        <w:t xml:space="preserve"> </w:t>
      </w:r>
      <w:r>
        <w:rPr>
          <w:rStyle w:val="VerbatimChar"/>
        </w:rPr>
        <w:t xml:space="preserve">dt</w:t>
      </w:r>
      <w:r>
        <w:rPr>
          <w:rFonts w:hint="eastAsia"/>
        </w:rPr>
        <w:t xml:space="preserve">。这种写法直观、实现成本低，适合控制回路时域仿真；代价是数值稳定性依赖步长，步长过大时会放大震荡风险。</w:t>
      </w:r>
    </w:p>
    <w:bookmarkEnd w:id="28"/>
    <w:bookmarkStart w:id="29" w:name="pi控制器与执行器饱和实现"/>
    <w:p>
      <w:pPr>
        <w:pStyle w:val="Heading3"/>
      </w:pPr>
      <w:r>
        <w:rPr>
          <w:rStyle w:val="SectionNumber"/>
        </w:rPr>
        <w:t xml:space="preserve">1.5.5</w:t>
      </w:r>
      <w:r>
        <w:tab/>
      </w:r>
      <w:r>
        <w:t xml:space="preserve">2. </w:t>
      </w:r>
      <w:r>
        <w:rPr>
          <w:rFonts w:hint="eastAsia"/>
        </w:rPr>
        <w:t xml:space="preserve">PI控制器与执行器饱和实现</w:t>
      </w:r>
    </w:p>
    <w:p>
      <w:pPr>
        <w:pStyle w:val="FirstParagraph"/>
      </w:pPr>
      <w:r>
        <w:rPr>
          <w:rFonts w:hint="eastAsia"/>
        </w:rPr>
        <w:t xml:space="preserve">控制误差由“参考桨距角减测量桨距角”得到，积分项按</w:t>
      </w:r>
      <w:r>
        <w:t xml:space="preserve"> </w:t>
      </w:r>
      <w:r>
        <w:rPr>
          <w:rStyle w:val="VerbatimChar"/>
          <w:rFonts w:hint="eastAsia"/>
        </w:rPr>
        <w:t xml:space="preserve">积分误差</w:t>
      </w:r>
      <w:r>
        <w:rPr>
          <w:rStyle w:val="VerbatimChar"/>
        </w:rPr>
        <w:t xml:space="preserve"> += </w:t>
      </w:r>
      <w:r>
        <w:rPr>
          <w:rStyle w:val="VerbatimChar"/>
          <w:rFonts w:hint="eastAsia"/>
        </w:rPr>
        <w:t xml:space="preserve">误差×dt</w:t>
      </w:r>
      <w:r>
        <w:t xml:space="preserve"> </w:t>
      </w:r>
      <w:r>
        <w:rPr>
          <w:rFonts w:hint="eastAsia"/>
        </w:rPr>
        <w:t xml:space="preserve">递推，控制律为比例项与积分项线性叠加。随后用上下限对指令力矩进行硬饱和裁剪（±5000）。这体现了执行器物理极限，避免仿真出现不现实的大力矩。需要注意：该实现未加入抗积分饱和机制，若长期饱和，积分项仍可能累积，产生恢复阶段的附加超调。</w:t>
      </w:r>
    </w:p>
    <w:bookmarkEnd w:id="29"/>
    <w:bookmarkStart w:id="30" w:name="输入输出时延的缓冲区模拟方法"/>
    <w:p>
      <w:pPr>
        <w:pStyle w:val="Heading3"/>
      </w:pPr>
      <w:r>
        <w:rPr>
          <w:rStyle w:val="SectionNumber"/>
        </w:rPr>
        <w:t xml:space="preserve">1.5.6</w:t>
      </w:r>
      <w:r>
        <w:tab/>
      </w:r>
      <w:r>
        <w:t xml:space="preserve">3. </w:t>
      </w:r>
      <w:r>
        <w:rPr>
          <w:rFonts w:hint="eastAsia"/>
        </w:rPr>
        <w:t xml:space="preserve">输入输出时延的缓冲区模拟方法</w:t>
      </w:r>
    </w:p>
    <w:p>
      <w:pPr>
        <w:pStyle w:val="FirstParagraph"/>
      </w:pPr>
      <w:r>
        <w:rPr>
          <w:rFonts w:hint="eastAsia"/>
        </w:rPr>
        <w:t xml:space="preserve">时延通过“离散缓冲”完成：当前时刻不直接使用最新控制量，而是读取</w:t>
      </w:r>
      <w:r>
        <w:t xml:space="preserve"> </w:t>
      </w:r>
      <w:r>
        <w:rPr>
          <w:rStyle w:val="VerbatimChar"/>
        </w:rPr>
        <w:t xml:space="preserve">delay_samples</w:t>
      </w:r>
      <w:r>
        <w:t xml:space="preserve"> </w:t>
      </w:r>
      <w:r>
        <w:rPr>
          <w:rFonts w:hint="eastAsia"/>
        </w:rPr>
        <w:t xml:space="preserve">个采样周期前的历史指令。若历史长度不足则补零。这样把毫秒级时延转成“整数采样点延迟”，实现简单且与实时系统一致性高。脚本中分别设置无延迟、1个采样延迟、5个采样延迟，直接对应</w:t>
      </w:r>
      <w:r>
        <w:t xml:space="preserve"> </w:t>
      </w:r>
      <w:r>
        <w:rPr>
          <w:rFonts w:hint="eastAsia"/>
        </w:rPr>
        <w:t xml:space="preserve">SIL、轻度</w:t>
      </w:r>
      <w:r>
        <w:t xml:space="preserve"> </w:t>
      </w:r>
      <w:r>
        <w:rPr>
          <w:rFonts w:hint="eastAsia"/>
        </w:rPr>
        <w:t xml:space="preserve">HIL、重度</w:t>
      </w:r>
      <w:r>
        <w:t xml:space="preserve"> HIL </w:t>
      </w:r>
      <w:r>
        <w:rPr>
          <w:rFonts w:hint="eastAsia"/>
        </w:rPr>
        <w:t xml:space="preserve">场景。</w:t>
      </w:r>
    </w:p>
    <w:bookmarkEnd w:id="30"/>
    <w:bookmarkStart w:id="31" w:name="气动扰动力矩建模"/>
    <w:p>
      <w:pPr>
        <w:pStyle w:val="Heading3"/>
      </w:pPr>
      <w:r>
        <w:rPr>
          <w:rStyle w:val="SectionNumber"/>
        </w:rPr>
        <w:t xml:space="preserve">1.5.7</w:t>
      </w:r>
      <w:r>
        <w:tab/>
      </w:r>
      <w:r>
        <w:t xml:space="preserve">4. </w:t>
      </w:r>
      <w:r>
        <w:rPr>
          <w:rFonts w:hint="eastAsia"/>
        </w:rPr>
        <w:t xml:space="preserve">气动扰动力矩建模</w:t>
      </w:r>
    </w:p>
    <w:p>
      <w:pPr>
        <w:pStyle w:val="FirstParagraph"/>
      </w:pPr>
      <w:r>
        <w:rPr>
          <w:rFonts w:hint="eastAsia"/>
        </w:rPr>
        <w:t xml:space="preserve">扰动力矩由两部分叠加：低频正弦项模拟周期性气动载荷起伏，随机高斯噪声模拟湍流与未建模扰动。随机种子固定后可复现实验。仿真循环内按当前时刻映射到预生成扰动序列索引，保证不同场景在同一“外界风扰”基准下比较，避免因扰动样本差异掩盖时延影响。</w:t>
      </w:r>
    </w:p>
    <w:bookmarkEnd w:id="31"/>
    <w:bookmarkStart w:id="32" w:name="三种场景的-kpi-计算逻辑"/>
    <w:p>
      <w:pPr>
        <w:pStyle w:val="Heading3"/>
      </w:pPr>
      <w:r>
        <w:rPr>
          <w:rStyle w:val="SectionNumber"/>
        </w:rPr>
        <w:t xml:space="preserve">1.5.8</w:t>
      </w:r>
      <w:r>
        <w:tab/>
      </w:r>
      <w:r>
        <w:t xml:space="preserve">5. </w:t>
      </w:r>
      <w:r>
        <w:rPr>
          <w:rFonts w:hint="eastAsia"/>
        </w:rPr>
        <w:t xml:space="preserve">三种场景的</w:t>
      </w:r>
      <w:r>
        <w:t xml:space="preserve"> KPI </w:t>
      </w:r>
      <w:r>
        <w:rPr>
          <w:rFonts w:hint="eastAsia"/>
        </w:rPr>
        <w:t xml:space="preserve">计算逻辑</w:t>
      </w:r>
    </w:p>
    <w:p>
      <w:pPr>
        <w:pStyle w:val="FirstParagraph"/>
      </w:pPr>
      <w:r>
        <w:rPr>
          <w:rFonts w:hint="eastAsia"/>
        </w:rPr>
        <w:t xml:space="preserve">三种场景仅改变时延与测量噪声：SIL（零延迟、低噪声）、HIL-1ms（1点延迟、高噪声）、HIL-5ms（5点延迟、高噪声）。KPI按三段阶跃分别统计：</w:t>
      </w:r>
      <w:r>
        <w:br/>
      </w:r>
      <w:r>
        <w:t xml:space="preserve">1. </w:t>
      </w:r>
      <w:r>
        <w:rPr>
          <w:rFonts w:hint="eastAsia"/>
        </w:rPr>
        <w:t xml:space="preserve">稳态误差：取每段末尾0.5秒均值与目标值差。</w:t>
      </w:r>
      <w:r>
        <w:br/>
      </w:r>
      <w:r>
        <w:t xml:space="preserve">2. </w:t>
      </w:r>
      <w:r>
        <w:rPr>
          <w:rFonts w:hint="eastAsia"/>
        </w:rPr>
        <w:t xml:space="preserve">超调量：对上升阶跃看峰值超出比例；对下降阶跃看谷值下冲比例。</w:t>
      </w:r>
      <w:r>
        <w:br/>
      </w:r>
      <w:r>
        <w:t xml:space="preserve">3. </w:t>
      </w:r>
      <w:r>
        <w:rPr>
          <w:rFonts w:hint="eastAsia"/>
        </w:rPr>
        <w:t xml:space="preserve">分段</w:t>
      </w:r>
      <w:r>
        <w:t xml:space="preserve"> </w:t>
      </w:r>
      <w:r>
        <w:rPr>
          <w:rFonts w:hint="eastAsia"/>
        </w:rPr>
        <w:t xml:space="preserve">RMSE：该段响应相对目标常值的均方根误差。</w:t>
      </w:r>
      <w:r>
        <w:br/>
      </w:r>
      <w:r>
        <w:t xml:space="preserve">4. </w:t>
      </w:r>
      <w:r>
        <w:rPr>
          <w:rFonts w:hint="eastAsia"/>
        </w:rPr>
        <w:t xml:space="preserve">调节时间：以2%误差带为准，反向搜索“最后一次离带”后的首次入带时刻。</w:t>
      </w:r>
      <w:r>
        <w:br/>
      </w:r>
      <w:r>
        <w:rPr>
          <w:rFonts w:hint="eastAsia"/>
        </w:rPr>
        <w:t xml:space="preserve">此外还计算全局</w:t>
      </w:r>
      <w:r>
        <w:t xml:space="preserve"> RMSE </w:t>
      </w:r>
      <w:r>
        <w:rPr>
          <w:rFonts w:hint="eastAsia"/>
        </w:rPr>
        <w:t xml:space="preserve">作为总体跟踪质量指标。整体上，这套逻辑能同时反映精度、动态品质与鲁棒性。</w:t>
      </w:r>
    </w:p>
    <w:p>
      <w:pPr>
        <w:pStyle w:val="BodyText"/>
      </w:pPr>
      <w:r>
        <w:rPr>
          <w:rFonts w:hint="eastAsia"/>
          <w:b/>
          <w:bCs/>
        </w:rPr>
        <w:t xml:space="preserve">深度结果数据剖析：</w:t>
      </w:r>
      <w:r>
        <w:t xml:space="preserve"> </w:t>
      </w:r>
      <w:r>
        <w:rPr>
          <w:rFonts w:hint="eastAsia"/>
        </w:rPr>
        <w:t xml:space="preserve">审视上述实验数据，第一观感呈现出一个似乎违反常规自动控制理论直觉的现象。在考察单次小幅阶跃（从5度爬升至10度）的动态特征时，随着物理链路总延迟的不断增加（从无延迟到5ms恶劣延迟），该局部的响应超调量不仅没有发散，反而从</w:t>
      </w:r>
      <w:r>
        <w:t xml:space="preserve"> 6.20% </w:t>
      </w:r>
      <w:r>
        <w:rPr>
          <w:rFonts w:hint="eastAsia"/>
        </w:rPr>
        <w:t xml:space="preserve">平滑收敛降至</w:t>
      </w:r>
      <w:r>
        <w:t xml:space="preserve"> </w:t>
      </w:r>
      <w:r>
        <w:rPr>
          <w:rFonts w:hint="eastAsia"/>
        </w:rPr>
        <w:t xml:space="preserve">3.86%，且局部的轨迹均方根误差（局部RMSE）同样呈衰减态势。</w:t>
      </w:r>
      <w:r>
        <w:t xml:space="preserve"> </w:t>
      </w:r>
      <w:r>
        <w:rPr>
          <w:rFonts w:hint="eastAsia"/>
        </w:rPr>
        <w:t xml:space="preserve">然而，这绝不意味着系统硬件延迟提升了控制器的内在动态品质。这一假象的根本原因在于：系统在该特定的5度偏转工况点上，处于一个开环增益极低、线性稳定裕度极其充足的非敏感操作区域。在此状态下，多毫秒级的时延所引入的高频相角滞后效应，与系统中本来配置偏硬的PI控制主导极点发生了复杂的耦合，在低频宏观响应中相当于强行串入了一个附加的低通滤波与阻尼环节。该效应虽然缓和了系统响应第一峰的爬升斜率（即延缓了伺服电机的初始爆发力矩），顺带削平了超调尖峰，但其代价是彻底丧失了快速跟踪给定轨迹的敏捷性。</w:t>
      </w:r>
    </w:p>
    <w:p>
      <w:pPr>
        <w:pStyle w:val="BodyText"/>
      </w:pPr>
      <w:r>
        <w:rPr>
          <w:rFonts w:hint="eastAsia"/>
        </w:rPr>
        <w:t xml:space="preserve">揭开这一片面表象的关键在于审视底层数据表中的最后一项指标——“全程10秒全局RMSE”。在包含三次剧烈连续阶跃，且后续叠加了由湍流模型生成的随机高频气动扰动力矩的全程宏观测试域中，全局RMSE数值呈现出不可逆转的单调恶化趋势（SIL环境</w:t>
      </w:r>
      <w:r>
        <w:t xml:space="preserve"> 2.986 deg</w:t>
      </w:r>
      <w:r>
        <w:t xml:space="preserve"> </w:t>
      </w:r>
      <m:oMath>
        <m:r>
          <m:rPr>
            <m:sty m:val="p"/>
          </m:rPr>
          <m:t>→</m:t>
        </m:r>
      </m:oMath>
      <w:r>
        <w:t xml:space="preserve"> </w:t>
      </w:r>
      <w:r>
        <w:rPr>
          <w:rFonts w:hint="eastAsia"/>
        </w:rPr>
        <w:t xml:space="preserve">高性能HIL-1ms环境</w:t>
      </w:r>
      <w:r>
        <w:t xml:space="preserve"> 2.997 deg</w:t>
      </w:r>
      <w:r>
        <w:t xml:space="preserve"> </w:t>
      </w:r>
      <m:oMath>
        <m:r>
          <m:rPr>
            <m:sty m:val="p"/>
          </m:rPr>
          <m:t>→</m:t>
        </m:r>
      </m:oMath>
      <w:r>
        <w:t xml:space="preserve"> </w:t>
      </w:r>
      <w:r>
        <w:rPr>
          <w:rFonts w:hint="eastAsia"/>
        </w:rPr>
        <w:t xml:space="preserve">恶劣HIL-5ms环境</w:t>
      </w:r>
      <w:r>
        <w:t xml:space="preserve"> 3.025 </w:t>
      </w:r>
      <w:r>
        <w:rPr>
          <w:rFonts w:hint="eastAsia"/>
        </w:rPr>
        <w:t xml:space="preserve">deg），整体性能劣化幅度达到约</w:t>
      </w:r>
      <w:r>
        <w:t xml:space="preserve"> 1.3%。</w:t>
      </w:r>
      <w:r>
        <w:t xml:space="preserve"> </w:t>
      </w:r>
      <w:r>
        <w:rPr>
          <w:rFonts w:hint="eastAsia"/>
        </w:rPr>
        <w:t xml:space="preserve">这一工程实测数据深刻揭露了如下工程真理：在应对平滑的小扰动阶跃时，5</w:t>
      </w:r>
      <w:r>
        <w:t xml:space="preserve"> ms </w:t>
      </w:r>
      <w:r>
        <w:rPr>
          <w:rFonts w:hint="eastAsia"/>
        </w:rPr>
        <w:t xml:space="preserve">的物理层总线通信延迟所带来的影响尚且可以通过牺牲快速性来维持表观上的稳定；但是，当面对风电机组实际运行中由风剪切效应、塔影效应（Tower</w:t>
      </w:r>
      <w:r>
        <w:t xml:space="preserve"> </w:t>
      </w:r>
      <w:r>
        <w:rPr>
          <w:rFonts w:hint="eastAsia"/>
        </w:rPr>
        <w:t xml:space="preserve">Shadow）等诱发的强非线性宽频气动力矩突变冲击时，由于链路存在深度的相角盲区，控制器根本无法在相角超前的有效时间窗口内向驱动器生成足够的抵抗转矩。此时控制器指令与物理扰动相位发生错乱重叠，系统对高频复杂扰动的抑制能力急剧崩塌，甚至可能引发系统谐振。这也是为什么在实际机型研发中，绝不容许仅仅通过一套SIL离线仿真软件就直接下达现场控制策略冻结指令的原因所在。</w:t>
      </w:r>
    </w:p>
    <w:bookmarkEnd w:id="32"/>
    <w:bookmarkEnd w:id="33"/>
    <w:bookmarkStart w:id="36" w:name="风电hil测试工程实践案例探究"/>
    <w:p>
      <w:pPr>
        <w:pStyle w:val="Heading2"/>
      </w:pPr>
      <w:r>
        <w:rPr>
          <w:rStyle w:val="SectionNumber"/>
        </w:rPr>
        <w:t xml:space="preserve">1.6</w:t>
      </w:r>
      <w:r>
        <w:tab/>
      </w:r>
      <w:r>
        <w:t xml:space="preserve">4.5 </w:t>
      </w:r>
      <w:r>
        <w:rPr>
          <w:rFonts w:hint="eastAsia"/>
        </w:rPr>
        <w:t xml:space="preserve">风电HIL测试工程实践案例探究</w:t>
      </w:r>
    </w:p>
    <w:p>
      <w:pPr>
        <w:pStyle w:val="FirstParagraph"/>
      </w:pPr>
      <w:r>
        <w:rPr>
          <w:rFonts w:hint="eastAsia"/>
        </w:rPr>
        <w:t xml:space="preserve">为进一步呈现HIL技术在解决新能源装备规模化部署所面临的一线工业难题时的技术穿透力，本节深入复盘国内某头部风电整机制造商针对其全新研发的10兆瓦（MW）海上直驱永磁风电机组（D-PMSG）主控与变流体系展开的大型HIL台架联合测试工程案例。</w:t>
      </w:r>
    </w:p>
    <w:bookmarkStart w:id="34" w:name="台架整体拓扑架构与异构计算资源调度"/>
    <w:p>
      <w:pPr>
        <w:pStyle w:val="Heading3"/>
      </w:pPr>
      <w:r>
        <w:rPr>
          <w:rStyle w:val="SectionNumber"/>
        </w:rPr>
        <w:t xml:space="preserve">1.6.1</w:t>
      </w:r>
      <w:r>
        <w:tab/>
      </w:r>
      <w:r>
        <w:t xml:space="preserve">4.5.1 </w:t>
      </w:r>
      <w:r>
        <w:rPr>
          <w:rFonts w:hint="eastAsia"/>
        </w:rPr>
        <w:t xml:space="preserve">台架整体拓扑架构与异构计算资源调度</w:t>
      </w:r>
    </w:p>
    <w:p>
      <w:pPr>
        <w:pStyle w:val="FirstParagraph"/>
      </w:pPr>
      <w:r>
        <w:rPr>
          <w:rFonts w:hint="eastAsia"/>
        </w:rPr>
        <w:t xml:space="preserve">该项目团队在公司研发测试验证中心内，搭建了基于“多核高速CPU算力簇</w:t>
      </w:r>
      <w:r>
        <w:t xml:space="preserve"> + </w:t>
      </w:r>
      <w:r>
        <w:rPr>
          <w:rFonts w:hint="eastAsia"/>
        </w:rPr>
        <w:t xml:space="preserve">大规模FPGA硬件并行解算矩阵”异构架构的主流实时仿真平台（涵盖了基于RTDS与Typhoon</w:t>
      </w:r>
      <w:r>
        <w:t xml:space="preserve"> </w:t>
      </w:r>
      <w:r>
        <w:rPr>
          <w:rFonts w:hint="eastAsia"/>
        </w:rPr>
        <w:t xml:space="preserve">HIL双重交叉验证架构）。</w:t>
      </w:r>
      <w:r>
        <w:t xml:space="preserve"> </w:t>
      </w:r>
      <w:r>
        <w:t xml:space="preserve">-</w:t>
      </w:r>
      <w:r>
        <w:t xml:space="preserve"> </w:t>
      </w:r>
      <w:r>
        <w:rPr>
          <w:rFonts w:hint="eastAsia"/>
          <w:b/>
          <w:bCs/>
        </w:rPr>
        <w:t xml:space="preserve">微秒级刚性系统解算（FPGA层）</w:t>
      </w:r>
      <w:r>
        <w:rPr>
          <w:rFonts w:hint="eastAsia"/>
        </w:rPr>
        <w:t xml:space="preserve">：针对发电机内部的高频电磁暂态及大功率变流器IGBT的微秒级非线性开关动作，这部分核心植物模型均固化部署在FPGA的硅片硬件逻辑内，全网仿真迭代步长强制锁定为</w:t>
      </w:r>
      <w:r>
        <w:t xml:space="preserve"> </w:t>
      </w:r>
      <m:oMath>
        <m:r>
          <m:t>500</m:t>
        </m:r>
      </m:oMath>
      <w:r>
        <w:t xml:space="preserve"> </w:t>
      </w:r>
      <w:r>
        <w:rPr>
          <w:rFonts w:hint="eastAsia"/>
        </w:rPr>
        <w:t xml:space="preserve">纳秒。该配置旨在无失真地实时还原机侧PWM整流器的有源阻尼控制特性、直流支撑电容母线纹波动态，以及将本教材第3章中精确辨识并复现拟合的电网高频宽频带阻抗网络参数无缝映射至网侧逆变器交互端口。如此，不仅能完美模拟真实电能质量谐波发射情况，更让控制器感受到了最为逼真的微弱电网背景阻抗带来的低频次甚至次同步谐波干扰。</w:t>
      </w:r>
      <w:r>
        <w:t xml:space="preserve"> </w:t>
      </w:r>
      <w:r>
        <w:t xml:space="preserve">-</w:t>
      </w:r>
      <w:r>
        <w:t xml:space="preserve"> </w:t>
      </w:r>
      <w:r>
        <w:rPr>
          <w:rFonts w:hint="eastAsia"/>
          <w:b/>
          <w:bCs/>
        </w:rPr>
        <w:t xml:space="preserve">毫秒级柔性系统解算（多核CPU层）</w:t>
      </w:r>
      <w:r>
        <w:rPr>
          <w:rFonts w:hint="eastAsia"/>
        </w:rPr>
        <w:t xml:space="preserve">：针对时间常数较大的宏观物理变量，如外部三维风场演变、风轮叶片多体动力学变形及塔筒前后弯曲振动等，平台使用FAST或Bladed等工业级软件的C代码等效编译版本，统一部署在实时多核CPU中，运行大步长被设定为</w:t>
      </w:r>
      <w:r>
        <w:t xml:space="preserve"> </w:t>
      </w:r>
      <m:oMath>
        <m:r>
          <m:t>1</m:t>
        </m:r>
      </m:oMath>
      <w:r>
        <w:t xml:space="preserve"> </w:t>
      </w:r>
      <w:r>
        <w:rPr>
          <w:rFonts w:hint="eastAsia"/>
        </w:rPr>
        <w:t xml:space="preserve">ms。该柔性模型与底层的微秒级刚性发电机模型之间通过高速共享内存交换力矩与转速接口变量。</w:t>
      </w:r>
      <w:r>
        <w:t xml:space="preserve"> </w:t>
      </w:r>
      <w:r>
        <w:t xml:space="preserve">-</w:t>
      </w:r>
      <w:r>
        <w:t xml:space="preserve"> </w:t>
      </w:r>
      <w:r>
        <w:rPr>
          <w:rFonts w:hint="eastAsia"/>
          <w:b/>
          <w:bCs/>
        </w:rPr>
        <w:t xml:space="preserve">物理被测对象层（DUT/Hardware-Under-Test）</w:t>
      </w:r>
      <w:r>
        <w:rPr>
          <w:rFonts w:hint="eastAsia"/>
        </w:rPr>
        <w:t xml:space="preserve">：测试主角为即将发运海上的真实主控PLC机柜、真实的变桨伺服驱动器以及水冷变流器主控板卡。实时仿真机发出的数字编码器高频脉冲序列、电网电压/定子电流低压模拟量，通过平台自带的高速I/O调理转换板卡及屏蔽双绞线，以全物理形态硬接线直接注入真实控制器引脚端子。与此同时，主控PLC与变流器、偏航电机控制器之间的EtherCAT与PROFINET工业实时以太网通讯体系也在此闭环HIL架构下完成了从协议解析到应用层数据的全链路闭环连通。</w:t>
      </w:r>
    </w:p>
    <w:bookmarkEnd w:id="34"/>
    <w:bookmarkStart w:id="35" w:name="核心极限测试工况dlc与验证成果分析"/>
    <w:p>
      <w:pPr>
        <w:pStyle w:val="Heading3"/>
      </w:pPr>
      <w:r>
        <w:rPr>
          <w:rStyle w:val="SectionNumber"/>
        </w:rPr>
        <w:t xml:space="preserve">1.6.2</w:t>
      </w:r>
      <w:r>
        <w:tab/>
      </w:r>
      <w:r>
        <w:t xml:space="preserve">4.5.2 </w:t>
      </w:r>
      <w:r>
        <w:rPr>
          <w:rFonts w:hint="eastAsia"/>
        </w:rPr>
        <w:t xml:space="preserve">核心极限测试工况（DLC）与验证成果分析</w:t>
      </w:r>
    </w:p>
    <w:p>
      <w:pPr>
        <w:pStyle w:val="FirstParagraph"/>
      </w:pPr>
      <w:r>
        <w:rPr>
          <w:rFonts w:hint="eastAsia"/>
          <w:b/>
          <w:bCs/>
        </w:rPr>
        <w:t xml:space="preserve">实测工况一：极端电网有功跌落与机组一次调频强制响应</w:t>
      </w:r>
      <w:r>
        <w:t xml:space="preserve"> </w:t>
      </w:r>
      <w:r>
        <w:rPr>
          <w:rFonts w:hint="eastAsia"/>
        </w:rPr>
        <w:t xml:space="preserve">紧扣第3章所探讨的现代微弱电网背景支撑能力不足这一痛点，测试人员通过仿真上位机脚本向实时解算模型注入了由大容量直流输电换相失败或骨干发电机组解列带来的系统级电网频率异常跌落事件（模型模拟电网频率在2秒内由标准</w:t>
      </w:r>
      <w:r>
        <w:t xml:space="preserve"> </w:t>
      </w:r>
      <m:oMath>
        <m:r>
          <m:t>50</m:t>
        </m:r>
      </m:oMath>
      <w:r>
        <w:t xml:space="preserve"> </w:t>
      </w:r>
      <w:r>
        <w:rPr>
          <w:rFonts w:hint="eastAsia"/>
        </w:rPr>
        <w:t xml:space="preserve">Hz断崖式滑落至</w:t>
      </w:r>
      <w:r>
        <w:t xml:space="preserve"> </w:t>
      </w:r>
      <m:oMath>
        <m:r>
          <m:t>49.5</m:t>
        </m:r>
      </m:oMath>
      <w:r>
        <w:t xml:space="preserve"> </w:t>
      </w:r>
      <w:r>
        <w:rPr>
          <w:rFonts w:hint="eastAsia"/>
        </w:rPr>
        <w:t xml:space="preserve">Hz，并伴随高达</w:t>
      </w:r>
      <w:r>
        <w:t xml:space="preserve"> </w:t>
      </w:r>
      <m:oMath>
        <m:r>
          <m:t>0.5</m:t>
        </m:r>
      </m:oMath>
      <w:r>
        <w:t xml:space="preserve"> </w:t>
      </w:r>
      <w:r>
        <w:rPr>
          <w:rFonts w:hint="eastAsia"/>
        </w:rPr>
        <w:t xml:space="preserve">Hz/s的陡峭频率变化率RoCoF指标）。</w:t>
      </w:r>
      <w:r>
        <w:t xml:space="preserve"> </w:t>
      </w:r>
      <w:r>
        <w:rPr>
          <w:rFonts w:hint="eastAsia"/>
        </w:rPr>
        <w:t xml:space="preserve">此时，物理主控硬件及其内嵌的固件算法必须在极短的百毫秒级时间内感知到该外部频率剧变事件，迅速做出决策判定，并通过光纤以太网骨干网络紧急向底层网侧变流器下发超越额定限制的有功功率增发指令。与此同时，指令必须联动变桨伺服模块通过快速收缩桨叶迎风角度执行转子动能释放动作（即惯量响应控制）。整个HIL实测过程利用了高通量逻辑分析仪，严密监控并记录了从电网频率跌落检出边缘到物理并网变流器接口完成有功功率实际物理抬升的端到端软硬件综合延时，证明了该型号控制链路总时延成功控制在</w:t>
      </w:r>
      <w:r>
        <w:t xml:space="preserve"> </w:t>
      </w:r>
      <m:oMath>
        <m:r>
          <m:t>120</m:t>
        </m:r>
      </m:oMath>
      <w:r>
        <w:t xml:space="preserve"> </w:t>
      </w:r>
      <w:r>
        <w:rPr>
          <w:rFonts w:hint="eastAsia"/>
        </w:rPr>
        <w:t xml:space="preserve">ms以内，完美通过了新版国家强制并网导则要求的小于</w:t>
      </w:r>
      <w:r>
        <w:t xml:space="preserve"> </w:t>
      </w:r>
      <m:oMath>
        <m:r>
          <m:t>200</m:t>
        </m:r>
      </m:oMath>
      <w:r>
        <w:t xml:space="preserve"> </w:t>
      </w:r>
      <w:r>
        <w:rPr>
          <w:rFonts w:hint="eastAsia"/>
        </w:rPr>
        <w:t xml:space="preserve">ms一次调频瞬态响应严苛认证。</w:t>
      </w:r>
    </w:p>
    <w:p>
      <w:pPr>
        <w:pStyle w:val="BodyText"/>
      </w:pPr>
      <w:r>
        <w:rPr>
          <w:rFonts w:hint="eastAsia"/>
          <w:b/>
          <w:bCs/>
        </w:rPr>
        <w:t xml:space="preserve">实测工况二：特大台风侵袭极限阵风下的飞车失控保护干预</w:t>
      </w:r>
      <w:r>
        <w:t xml:space="preserve"> </w:t>
      </w:r>
      <w:r>
        <w:rPr>
          <w:rFonts w:hint="eastAsia"/>
        </w:rPr>
        <w:t xml:space="preserve">在风电机组处于满负荷全功率额定输出时，通过环境模型注入符合IEC</w:t>
      </w:r>
      <w:r>
        <w:t xml:space="preserve"> </w:t>
      </w:r>
      <w:r>
        <w:rPr>
          <w:rFonts w:hint="eastAsia"/>
        </w:rPr>
        <w:t xml:space="preserve">61400标准定义的最为酷烈的极值阵风湍流事件（指令外部模拟风速在短短3秒的极短窗口内，由额定工况的</w:t>
      </w:r>
      <w:r>
        <w:t xml:space="preserve"> </w:t>
      </w:r>
      <m:oMath>
        <m:r>
          <m:t>11</m:t>
        </m:r>
      </m:oMath>
      <w:r>
        <w:t xml:space="preserve"> </w:t>
      </w:r>
      <w:r>
        <w:t xml:space="preserve">m/s </w:t>
      </w:r>
      <w:r>
        <w:rPr>
          <w:rFonts w:hint="eastAsia"/>
        </w:rPr>
        <w:t xml:space="preserve">狂飙突增至</w:t>
      </w:r>
      <w:r>
        <w:t xml:space="preserve"> </w:t>
      </w:r>
      <m:oMath>
        <m:r>
          <m:t>25</m:t>
        </m:r>
      </m:oMath>
      <w:r>
        <w:t xml:space="preserve"> </w:t>
      </w:r>
      <w:r>
        <w:t xml:space="preserve">m/s </w:t>
      </w:r>
      <w:r>
        <w:rPr>
          <w:rFonts w:hint="eastAsia"/>
        </w:rPr>
        <w:t xml:space="preserve">这一台风级别切出风速以上）。</w:t>
      </w:r>
      <w:r>
        <w:t xml:space="preserve"> </w:t>
      </w:r>
      <w:r>
        <w:rPr>
          <w:rFonts w:hint="eastAsia"/>
        </w:rPr>
        <w:t xml:space="preserve">在此极其凶猛的非线性气动转矩瞬间冲击载荷下，若单方面依赖变桨PLC内部运转的常规低速PI负反馈寻优控制逻辑，是绝对无法及时遏制发电机转速呈指数级失控飙升趋势的。HIL闭环系统全方位展现了物理主控制器内部特设的非线性前馈干预控制逻辑，以及由硬件继电器接点构成的最后一道安全保护安全链的敏捷触发全过程。多轮次高强度测试有效校准了系统参数设计：当发电机实体转速信号溢出安全阈值设定红线达</w:t>
      </w:r>
      <w:r>
        <w:t xml:space="preserve"> 10% </w:t>
      </w:r>
      <w:r>
        <w:rPr>
          <w:rFonts w:hint="eastAsia"/>
        </w:rPr>
        <w:t xml:space="preserve">瞬间，硬接线安全继电器系统精确、果断地切断主回路线圈驱动电路，强行越权接管伺服执行机构，以设备硬件允许的最大紧急顺桨动作速率（如</w:t>
      </w:r>
      <w:r>
        <w:t xml:space="preserve"> </w:t>
      </w:r>
      <m:oMath>
        <m:sSup>
          <m:e>
            <m:r>
              <m:t>8</m:t>
            </m:r>
          </m:e>
          <m:sup>
            <m:r>
              <m:rPr>
                <m:sty m:val="p"/>
              </m:rPr>
              <m:t>∘</m:t>
            </m:r>
          </m:sup>
        </m:sSup>
        <m:r>
          <m:rPr>
            <m:sty m:val="p"/>
          </m:rPr>
          <m:t>/</m:t>
        </m:r>
        <m:r>
          <m:rPr>
            <m:nor/>
            <m:sty m:val="p"/>
          </m:rPr>
          <m:t>s</m:t>
        </m:r>
      </m:oMath>
      <w:r>
        <w:rPr>
          <w:rFonts w:hint="eastAsia"/>
        </w:rPr>
        <w:t xml:space="preserve">）将叶片拍回停机顺位，成功扼杀了因转速失控引发灾难性机械结构脆断解体的隐患，确立了机组安全控制包络的最后底线。</w:t>
      </w:r>
      <w:r>
        <w:t xml:space="preserve"> </w:t>
      </w:r>
      <w:r>
        <w:rPr>
          <w:rFonts w:hint="eastAsia"/>
        </w:rPr>
        <w:t xml:space="preserve">借助长达数月的大强度HIL封闭测试，工程联调团队在机组下线发运海域吊装前，提前发掘并彻底清除了潜伏在多线程软件并发调度、现场以太网总线间歇丢包恢复重连策略、以及复杂电气硬件子系统时序配合死锁当中的数十项严重代码级缺陷与系统架构Bug。不仅将海面高危高成本的实机调试时长硬性压缩了70%，更极大地筑牢了该批次大型风电装备并网商运的控制强健度与环境抗冲击能力。</w:t>
      </w:r>
    </w:p>
    <w:bookmarkEnd w:id="35"/>
    <w:bookmarkEnd w:id="36"/>
    <w:bookmarkStart w:id="37" w:name="本章小结"/>
    <w:p>
      <w:pPr>
        <w:pStyle w:val="Heading2"/>
      </w:pPr>
      <w:r>
        <w:rPr>
          <w:rStyle w:val="SectionNumber"/>
        </w:rPr>
        <w:t xml:space="preserve">1.7</w:t>
      </w:r>
      <w:r>
        <w:tab/>
      </w:r>
      <w:r>
        <w:t xml:space="preserve">4.6 </w:t>
      </w:r>
      <w:r>
        <w:rPr>
          <w:rFonts w:hint="eastAsia"/>
        </w:rPr>
        <w:t xml:space="preserve">本章小结</w:t>
      </w:r>
    </w:p>
    <w:p>
      <w:pPr>
        <w:pStyle w:val="FirstParagraph"/>
      </w:pPr>
      <w:r>
        <w:rPr>
          <w:rFonts w:hint="eastAsia"/>
        </w:rPr>
        <w:t xml:space="preserve">本章系统性地跨越了单一纯数字桌面仿真的视界局限，深入确立了以V模型作为主轴的白盒控制逻辑与保护策略测试认证体系，充分彰显了硬件在环（HIL）技术在现代高复杂度新能源发电设备控制器正向开发中肩负的关键“收官把关”重任。从技术底层数学逻辑出发，本章详尽剖析推导了如何运用状态空间方程高阶离散化理论与</w:t>
      </w:r>
      <w:r>
        <w:t xml:space="preserve"> Dommel </w:t>
      </w:r>
      <w:r>
        <w:rPr>
          <w:rFonts w:hint="eastAsia"/>
        </w:rPr>
        <w:t xml:space="preserve">修正节点分析法（MNA）构筑</w:t>
      </w:r>
      <w:r>
        <w:t xml:space="preserve"> FPGA </w:t>
      </w:r>
      <w:r>
        <w:rPr>
          <w:rFonts w:hint="eastAsia"/>
        </w:rPr>
        <w:t xml:space="preserve">高频纳秒级电力电子电路实时解算引擎。同时，直面所有物理硬件接口必然引入客观通讯迟滞这一技术痛点，针对性地推演了抑制高频控制环路相位畸变的高阶多项式拟合预测补偿算法体系。</w:t>
      </w:r>
    </w:p>
    <w:p>
      <w:pPr>
        <w:pStyle w:val="BodyText"/>
      </w:pPr>
      <w:r>
        <w:rPr>
          <w:rFonts w:hint="eastAsia"/>
        </w:rPr>
        <w:t xml:space="preserve">结合并对标</w:t>
      </w:r>
      <w:r>
        <w:t xml:space="preserve"> IEC 61400-2 </w:t>
      </w:r>
      <w:r>
        <w:rPr>
          <w:rFonts w:hint="eastAsia"/>
        </w:rPr>
        <w:t xml:space="preserve">乃至更广泛的国际权威风电行业安全规范理念，本章明确框定了发电设备常规控制主干与极值安全保护侧线必须达成物理层级严格解耦分离这一红线原则，强化了面向多重边界极限失效载荷工况展开软硬件联合边界试压的系统工程准则。通过精心设计变桨传动系统的降维参数模型与多对照组仿真对比推演案例，由浅入深地揭示了隐性物理通讯延迟是如何在宏观平滑阶跃下呈现控制表观稳态假象、却在宽频非线性高频扰动环境中大肆侵蚀系统抗干扰稳态极点的高频闭环解构真相。</w:t>
      </w:r>
    </w:p>
    <w:p>
      <w:pPr>
        <w:pStyle w:val="BodyText"/>
      </w:pPr>
      <w:r>
        <w:rPr>
          <w:rFonts w:hint="eastAsia"/>
        </w:rPr>
        <w:t xml:space="preserve">最终的国内十兆瓦级海上直驱风电平台整机</w:t>
      </w:r>
      <w:r>
        <w:t xml:space="preserve"> HIL </w:t>
      </w:r>
      <w:r>
        <w:rPr>
          <w:rFonts w:hint="eastAsia"/>
        </w:rPr>
        <w:t xml:space="preserve">联合攻关工程实践案例，将全书的理论推演与实际工业痛点有效闭环整合：只有将本教材第3章中抽丝剥茧识别出的微弱交流电网宽频带复杂演变阻抗特征规律，与本章所述具有高度时序保真特性的实时底层物理硬件平台深度联结映射，才能在实验室零风险安全包络内，对受测实体物理控制器集群的动态响应极值、故障低电压/宽频穿越潜能以及工业现场通信自愈重构可靠性展开毫无保留的全方位、极限化无损施压试炼，从而实质性地削减设备并网前期极高昂的联调沉没成本风险，最终稳固了新能源现代并网装备大规模列装运行的系统坚韧性。</w:t>
      </w:r>
    </w:p>
    <w:bookmarkEnd w:id="37"/>
    <w:bookmarkStart w:id="38" w:name="拓展视野"/>
    <w:p>
      <w:pPr>
        <w:pStyle w:val="Heading2"/>
      </w:pPr>
      <w:r>
        <w:rPr>
          <w:rStyle w:val="SectionNumber"/>
        </w:rPr>
        <w:t xml:space="preserve">1.8</w:t>
      </w:r>
      <w:r>
        <w:tab/>
      </w:r>
      <w:r>
        <w:t xml:space="preserve">4.7 </w:t>
      </w:r>
      <w:r>
        <w:rPr>
          <w:rFonts w:hint="eastAsia"/>
        </w:rPr>
        <w:t xml:space="preserve">拓展视野</w:t>
      </w:r>
    </w:p>
    <w:p>
      <w:pPr>
        <w:pStyle w:val="FirstParagraph"/>
      </w:pPr>
      <w:r>
        <w:rPr>
          <w:rFonts w:hint="eastAsia"/>
        </w:rPr>
        <w:t xml:space="preserve">硬件在环（HIL）测试的理念已从电力电子领域推广到水利、航空、汽车等行业。在水利工程中，完整的在环测试体系包括模型在环（MiL）→软件在环（SiL）→硬件在环（HiL）→产品在环（PiL）四级递进验证，其核心思想与本章完全一致：在虚拟环境中充分验证，再逐步引入真实硬件。例如，在大型调水工程的闸泵群联合调度控制系统开发中，工程师同样需要将水力学模型（Saint-Venant方程离散化）部署到实时仿真器中，与物理PLC控制器构成闭环，在实验室内安全地测试极端洪水入流、多闸门联动时序冲突、通信链路中断等高风险工况，避免在真实水网上进行代价高昂的试错。这种跨行业的方法论迁移，正是系统工程思想普适性的有力佐证。</w:t>
      </w:r>
    </w:p>
    <w:bookmarkEnd w:id="38"/>
    <w:bookmarkStart w:id="39" w:name="思考题"/>
    <w:p>
      <w:pPr>
        <w:pStyle w:val="Heading2"/>
      </w:pPr>
      <w:r>
        <w:rPr>
          <w:rStyle w:val="SectionNumber"/>
        </w:rPr>
        <w:t xml:space="preserve">1.9</w:t>
      </w:r>
      <w:r>
        <w:tab/>
      </w:r>
      <w:r>
        <w:t xml:space="preserve">4.8 </w:t>
      </w:r>
      <w:r>
        <w:rPr>
          <w:rFonts w:hint="eastAsia"/>
        </w:rPr>
        <w:t xml:space="preserve">思考题</w:t>
      </w:r>
    </w:p>
    <w:p>
      <w:pPr>
        <w:pStyle w:val="Compact"/>
        <w:numPr>
          <w:ilvl w:val="0"/>
          <w:numId w:val="1003"/>
        </w:numPr>
      </w:pPr>
      <w:r>
        <w:rPr>
          <w:rFonts w:hint="eastAsia"/>
        </w:rPr>
        <w:t xml:space="preserve">请结合大型变流器产品开发实践与V模型开发生命周期全链路体系，详细比对分析</w:t>
      </w:r>
      <w:r>
        <w:t xml:space="preserve"> </w:t>
      </w:r>
      <w:r>
        <w:rPr>
          <w:rFonts w:hint="eastAsia"/>
        </w:rPr>
        <w:t xml:space="preserve">SIL（纯软件在环）测试与物理</w:t>
      </w:r>
      <w:r>
        <w:t xml:space="preserve"> HIL </w:t>
      </w:r>
      <w:r>
        <w:rPr>
          <w:rFonts w:hint="eastAsia"/>
        </w:rPr>
        <w:t xml:space="preserve">测试在揭露不同维度的产品设计缺陷（尤其是涉及微秒级调度与控制闭环维度）时的探测侧重差异？阐述为何在取得极其完美的</w:t>
      </w:r>
      <w:r>
        <w:t xml:space="preserve"> SIL </w:t>
      </w:r>
      <w:r>
        <w:rPr>
          <w:rFonts w:hint="eastAsia"/>
        </w:rPr>
        <w:t xml:space="preserve">纯代码测试报告后，行业准入机制仍然严令禁止跨过物理</w:t>
      </w:r>
      <w:r>
        <w:t xml:space="preserve"> HIL </w:t>
      </w:r>
      <w:r>
        <w:rPr>
          <w:rFonts w:hint="eastAsia"/>
        </w:rPr>
        <w:t xml:space="preserve">环节直接实施产品定型与现场试运行？</w:t>
      </w:r>
    </w:p>
    <w:p>
      <w:pPr>
        <w:pStyle w:val="Compact"/>
        <w:numPr>
          <w:ilvl w:val="0"/>
          <w:numId w:val="1003"/>
        </w:numPr>
      </w:pPr>
      <w:r>
        <w:rPr>
          <w:rFonts w:hint="eastAsia"/>
        </w:rPr>
        <w:t xml:space="preserve">在依托大规模</w:t>
      </w:r>
      <w:r>
        <w:t xml:space="preserve"> FPGA </w:t>
      </w:r>
      <w:r>
        <w:rPr>
          <w:rFonts w:hint="eastAsia"/>
        </w:rPr>
        <w:t xml:space="preserve">集成电路执行电力电子电磁暂态微纳秒级解算演算时，为何经典前向显式欧拉数值积分法在应对大规模拓扑突变架构时，相较于高精度的四阶</w:t>
      </w:r>
      <w:r>
        <w:t xml:space="preserve"> Runge-Kutta </w:t>
      </w:r>
      <w:r>
        <w:rPr>
          <w:rFonts w:hint="eastAsia"/>
        </w:rPr>
        <w:t xml:space="preserve">隐式或显式多步方法表现出无可比拟的硬件资源时钟周期经济性？若针对某高频谐振微电网拓扑盲目选用过大的固定仿真迭代步长（例如将步长放宽至大于谐振特征频率倒数的十分之一），将给该微网方程的离散化迭代数值解的敛散性及系统控制环路稳定性判断带来何种隐患？</w:t>
      </w:r>
    </w:p>
    <w:p>
      <w:pPr>
        <w:pStyle w:val="Compact"/>
        <w:numPr>
          <w:ilvl w:val="0"/>
          <w:numId w:val="1003"/>
        </w:numPr>
      </w:pPr>
      <w:r>
        <w:rPr>
          <w:rFonts w:hint="eastAsia"/>
        </w:rPr>
        <w:t xml:space="preserve">在构建一套高度集成化的电机对拖</w:t>
      </w:r>
      <w:r>
        <w:t xml:space="preserve"> HIL </w:t>
      </w:r>
      <w:r>
        <w:rPr>
          <w:rFonts w:hint="eastAsia"/>
        </w:rPr>
        <w:t xml:space="preserve">台架测试系统上，通过高精度示波器环路测量，得知从仿真机数模转换（DAC）端口发波、经变流器控制板模数采样（ADC）滤波解析到最终输出控制指令返回台架的物理综合固有环路延迟客观达到了</w:t>
      </w:r>
      <w:r>
        <w:t xml:space="preserve"> </w:t>
      </w:r>
      <m:oMath>
        <m:r>
          <m:t>30</m:t>
        </m:r>
        <m:r>
          <m:t>μ</m:t>
        </m:r>
        <m:r>
          <m:t>s</m:t>
        </m:r>
      </m:oMath>
      <w:r>
        <w:rPr>
          <w:rFonts w:hint="eastAsia"/>
        </w:rPr>
        <w:t xml:space="preserve">。若系统设计该被控电流内环截止带宽频率必须达标为</w:t>
      </w:r>
      <w:r>
        <w:t xml:space="preserve"> </w:t>
      </w:r>
      <m:oMath>
        <m:r>
          <m:t>1000</m:t>
        </m:r>
      </m:oMath>
      <w:r>
        <w:t xml:space="preserve"> </w:t>
      </w:r>
      <w:r>
        <w:rPr>
          <w:rFonts w:hint="eastAsia"/>
        </w:rPr>
        <w:t xml:space="preserve">Hz，请通过经典频域控制理论计算步骤，量化推演出该</w:t>
      </w:r>
      <w:r>
        <w:t xml:space="preserve"> </w:t>
      </w:r>
      <m:oMath>
        <m:r>
          <m:t>30</m:t>
        </m:r>
        <m:r>
          <m:t>μ</m:t>
        </m:r>
        <m:r>
          <m:t>s</m:t>
        </m:r>
      </m:oMath>
      <w:r>
        <w:t xml:space="preserve"> </w:t>
      </w:r>
      <w:r>
        <w:rPr>
          <w:rFonts w:hint="eastAsia"/>
        </w:rPr>
        <w:t xml:space="preserve">延迟对系统相角裕度的具体削减角度（单位：度）。并请针对性地给出一种在</w:t>
      </w:r>
      <w:r>
        <w:t xml:space="preserve"> FPGA </w:t>
      </w:r>
      <w:r>
        <w:rPr>
          <w:rFonts w:hint="eastAsia"/>
        </w:rPr>
        <w:t xml:space="preserve">发送端实施的基于离散域数值算法的纯软件无损相位超前补偿解决策略。</w:t>
      </w:r>
    </w:p>
    <w:p>
      <w:pPr>
        <w:pStyle w:val="Compact"/>
        <w:numPr>
          <w:ilvl w:val="0"/>
          <w:numId w:val="1003"/>
        </w:numPr>
      </w:pPr>
      <w:r>
        <w:rPr>
          <w:rFonts w:hint="eastAsia"/>
        </w:rPr>
        <w:t xml:space="preserve">结合</w:t>
      </w:r>
      <w:r>
        <w:t xml:space="preserve"> IEC 61400 </w:t>
      </w:r>
      <w:r>
        <w:rPr>
          <w:rFonts w:hint="eastAsia"/>
        </w:rPr>
        <w:t xml:space="preserve">系列国际风电设备安全测试标准导则与章节所述工程验证案例精神，深入阐释在执行并网型风电机组全功能</w:t>
      </w:r>
      <w:r>
        <w:t xml:space="preserve"> HIL </w:t>
      </w:r>
      <w:r>
        <w:rPr>
          <w:rFonts w:hint="eastAsia"/>
        </w:rPr>
        <w:t xml:space="preserve">测试体系中，单独保留构建独立物理信号板卡用于模拟“旋转编码器断线丢步”、“定子大电流互感器霍尔零位严重热漂移”等非理想状态硬故障注入接口架构的必要性？并论述此类恶劣电气环境模拟信号为何在多数情况下应当坚持采用物理硬接线直接干扰注入被测硬件引脚，而非仅仅依靠工业以太网通讯总线发送一个软件标志位来实现状态模拟的原因机制？</w:t>
      </w:r>
    </w:p>
    <w:p>
      <w:pPr>
        <w:pStyle w:val="Compact"/>
        <w:numPr>
          <w:ilvl w:val="0"/>
          <w:numId w:val="1003"/>
        </w:numPr>
      </w:pPr>
      <w:r>
        <w:rPr>
          <w:rFonts w:hint="eastAsia"/>
        </w:rPr>
        <w:t xml:space="preserve">综合回顾分析本教材第3章核心推导得出的微弱电网并网阻抗辨识结论，若发现某特定拓扑架构弱交流电网在频域</w:t>
      </w:r>
      <w:r>
        <w:t xml:space="preserve"> </w:t>
      </w:r>
      <m:oMath>
        <m:r>
          <m:t>800</m:t>
        </m:r>
        <m:r>
          <m:rPr>
            <m:sty m:val="p"/>
          </m:rPr>
          <m:t>∼</m:t>
        </m:r>
        <m:r>
          <m:t>1200</m:t>
        </m:r>
      </m:oMath>
      <w:r>
        <w:t xml:space="preserve"> </w:t>
      </w:r>
      <w:r>
        <w:t xml:space="preserve">Hz </w:t>
      </w:r>
      <w:r>
        <w:rPr>
          <w:rFonts w:hint="eastAsia"/>
        </w:rPr>
        <w:t xml:space="preserve">中高频区间呈现出极易诱发振荡的宽频段负阻抗耦合特性。那么，在后续建立用于复现该电磁特性的整机</w:t>
      </w:r>
      <w:r>
        <w:t xml:space="preserve"> HIL </w:t>
      </w:r>
      <w:r>
        <w:rPr>
          <w:rFonts w:hint="eastAsia"/>
        </w:rPr>
        <w:t xml:space="preserve">闭环验证平台时，从满足系统奈奎斯特-香农（Nyquist-Shannon）高保真重构采样定理及抑制混叠畸变原则出发，对于核心实时仿真机的运算解算迭代频率下限，以及与之相连接的被测实际物理变流控制器内部</w:t>
      </w:r>
      <w:r>
        <w:t xml:space="preserve"> IGBT/SiC </w:t>
      </w:r>
      <w:r>
        <w:rPr>
          <w:rFonts w:hint="eastAsia"/>
        </w:rPr>
        <w:t xml:space="preserve">硬件的实际最低运行开关频率下限，分别提出了怎样量级的硬性技术指标要求才能确保台架测试波形的有效可信度？</w:t>
      </w:r>
    </w:p>
    <w:bookmarkEnd w:id="39"/>
    <w:bookmarkStart w:id="40" w:name="参考文献"/>
    <w:p>
      <w:pPr>
        <w:pStyle w:val="Heading2"/>
      </w:pPr>
      <w:r>
        <w:rPr>
          <w:rStyle w:val="SectionNumber"/>
        </w:rPr>
        <w:t xml:space="preserve">1.10</w:t>
      </w:r>
      <w:r>
        <w:tab/>
      </w:r>
      <w:r>
        <w:rPr>
          <w:rFonts w:hint="eastAsia"/>
        </w:rPr>
        <w:t xml:space="preserve">参考文献</w:t>
      </w:r>
    </w:p>
    <w:p>
      <w:pPr>
        <w:pStyle w:val="FirstParagraph"/>
      </w:pPr>
      <w:r>
        <w:t xml:space="preserve">[1] Dommel, H. W. (1969). Digital computer solution of electromagnetic transients in single- and multiphase networks.</w:t>
      </w:r>
      <w:r>
        <w:t xml:space="preserve"> </w:t>
      </w:r>
      <w:r>
        <w:rPr>
          <w:i/>
          <w:iCs/>
        </w:rPr>
        <w:t xml:space="preserve">IEEE Transactions on Power Apparatus and Systems</w:t>
      </w:r>
      <w:r>
        <w:t xml:space="preserve">, PAS-88(4), 388–399.</w:t>
      </w:r>
    </w:p>
    <w:p>
      <w:pPr>
        <w:pStyle w:val="BodyText"/>
      </w:pPr>
      <w:r>
        <w:t xml:space="preserve">[2] Faruque, M. O., Strasser, T., Lauss, G., et al. (2015). Real-time simulation technologies for power systems design, testing, and analysis.</w:t>
      </w:r>
      <w:r>
        <w:t xml:space="preserve"> </w:t>
      </w:r>
      <w:r>
        <w:rPr>
          <w:i/>
          <w:iCs/>
        </w:rPr>
        <w:t xml:space="preserve">IEEE Power and Energy Technology Systems Journal</w:t>
      </w:r>
      <w:r>
        <w:t xml:space="preserve">, 2(2), 63–73.</w:t>
      </w:r>
    </w:p>
    <w:p>
      <w:pPr>
        <w:pStyle w:val="BodyText"/>
      </w:pPr>
      <w:r>
        <w:t xml:space="preserve">[3] Belanger, J., Venne, P., &amp; Paquin, J.-N. (2010). The what, where and why of real-time simulation.</w:t>
      </w:r>
      <w:r>
        <w:t xml:space="preserve"> </w:t>
      </w:r>
      <w:r>
        <w:rPr>
          <w:i/>
          <w:iCs/>
        </w:rPr>
        <w:t xml:space="preserve">Planet RT</w:t>
      </w:r>
      <w:r>
        <w:t xml:space="preserve">, 1(1), 25–29.</w:t>
      </w:r>
    </w:p>
    <w:p>
      <w:pPr>
        <w:pStyle w:val="BodyText"/>
      </w:pPr>
      <w:r>
        <w:t xml:space="preserve">[4] IEC 61400-2:2013. Wind turbines — Part 2: Small wind turbines.</w:t>
      </w:r>
    </w:p>
    <w:p>
      <w:pPr>
        <w:pStyle w:val="BodyText"/>
      </w:pPr>
      <w:r>
        <w:t xml:space="preserve">[5] Dufour, C., &amp; Belanger, J. (2014). On the use of real-time simulation technology in smart grid research and development.</w:t>
      </w:r>
      <w:r>
        <w:t xml:space="preserve"> </w:t>
      </w:r>
      <w:r>
        <w:rPr>
          <w:i/>
          <w:iCs/>
        </w:rPr>
        <w:t xml:space="preserve">IEEE Transactions on Industry Applications</w:t>
      </w:r>
      <w:r>
        <w:t xml:space="preserve">, 50(6), 3963–3970.</w:t>
      </w:r>
    </w:p>
    <w:p>
      <w:pPr>
        <w:pStyle w:val="BodyText"/>
      </w:pPr>
      <w:r>
        <w:t xml:space="preserve">[6] </w:t>
      </w:r>
      <w:r>
        <w:rPr>
          <w:rFonts w:hint="eastAsia"/>
        </w:rPr>
        <w:t xml:space="preserve">中国国家标准化管理委员会.</w:t>
      </w:r>
      <w:r>
        <w:t xml:space="preserve"> (2011). GB/T 19963-2011 </w:t>
      </w:r>
      <w:r>
        <w:rPr>
          <w:rFonts w:hint="eastAsia"/>
        </w:rPr>
        <w:t xml:space="preserve">风电场接入电力系统技术规定.</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hyperlink" Id="rId9" Target="assets/ch04/concept_hil_testing.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hil_testing.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2026-03-21T06:36:12Z</dcterms:created>
  <dcterms:modified xsi:type="dcterms:W3CDTF">2026-03-21T06:36:12Z</dcterms:modified>
</cp:coreProperties>
</file>

<file path=docProps/custom.xml><?xml version="1.0" encoding="utf-8"?>
<Properties xmlns="http://schemas.openxmlformats.org/officeDocument/2006/custom-properties" xmlns:vt="http://schemas.openxmlformats.org/officeDocument/2006/docPropsVTypes"/>
</file>