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水库群调度优化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水库群调度优化</w:t>
      </w:r>
    </w:p>
    <w:p>
      <w:pPr>
        <w:pStyle w:val="FirstParagraph"/>
      </w:pPr>
      <w:r>
        <w:rPr>
          <w:rFonts w:hint="eastAsia"/>
        </w:rPr>
        <w:t xml:space="preserve">面向水利工程专业研究生和工程师的教材。</w:t>
      </w:r>
    </w:p>
    <w:bookmarkStart w:id="9" w:name="参考文献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Bellman, R. (1957).</w:t>
      </w:r>
      <w:r>
        <w:t xml:space="preserve"> </w:t>
      </w:r>
      <w:r>
        <w:rPr>
          <w:i/>
          <w:iCs/>
        </w:rPr>
        <w:t xml:space="preserve">Dynamic Programming</w:t>
      </w:r>
      <w:r>
        <w:t xml:space="preserve">. Princeton University Press.</w:t>
      </w:r>
    </w:p>
    <w:p>
      <w:pPr>
        <w:pStyle w:val="Compact"/>
        <w:numPr>
          <w:ilvl w:val="0"/>
          <w:numId w:val="1001"/>
        </w:numPr>
      </w:pPr>
      <w:r>
        <w:t xml:space="preserve">Yeh, W. W.-G. (1985). Reservoir Management and Operations Models: A State-of-the-Art Review.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21(12), 1797-1818.</w:t>
      </w:r>
    </w:p>
    <w:p>
      <w:pPr>
        <w:pStyle w:val="Compact"/>
        <w:numPr>
          <w:ilvl w:val="0"/>
          <w:numId w:val="1001"/>
        </w:numPr>
      </w:pPr>
      <w:r>
        <w:t xml:space="preserve">Labadie, J. W. (2004). Optimal Operation of Multireservoir Systems: State-of-the-Art Review.</w:t>
      </w:r>
      <w:r>
        <w:t xml:space="preserve"> </w:t>
      </w:r>
      <w:r>
        <w:rPr>
          <w:i/>
          <w:iCs/>
        </w:rPr>
        <w:t xml:space="preserve">Journal of Water Resources Planning and Management</w:t>
      </w:r>
      <w:r>
        <w:t xml:space="preserve">, 130(2), 93-111.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2026-03-21T06:35:19Z</dcterms:created>
  <dcterms:modified xsi:type="dcterms:W3CDTF">2026-03-21T06:35:19Z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