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船闸调度优化与自动化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船闸调度优化与自动化</w:t>
      </w:r>
    </w:p>
    <w:p>
      <w:pPr>
        <w:pStyle w:val="FirstParagraph"/>
      </w:pPr>
      <w:r>
        <w:rPr>
          <w:rFonts w:hint="eastAsia"/>
        </w:rPr>
        <w:t xml:space="preserve">面向水利工程专业研究生和工程师的教材。</w:t>
      </w:r>
    </w:p>
    <w:bookmarkStart w:id="9" w:name="参考文献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1"/>
        </w:numPr>
      </w:pPr>
      <w:r>
        <w:t xml:space="preserve">Nauss, K., &amp; Schönknecht, K. (2009). Optimization of lock scheduling.</w:t>
      </w:r>
      <w:r>
        <w:t xml:space="preserve"> </w:t>
      </w:r>
      <w:r>
        <w:rPr>
          <w:i/>
          <w:iCs/>
        </w:rPr>
        <w:t xml:space="preserve">Journal of Waterway, Port, Coastal, and Ocean Engineering</w:t>
      </w:r>
      <w:r>
        <w:t xml:space="preserve">, 135(5), 205-214.</w:t>
      </w:r>
    </w:p>
    <w:p>
      <w:pPr>
        <w:pStyle w:val="Compact"/>
        <w:numPr>
          <w:ilvl w:val="0"/>
          <w:numId w:val="1001"/>
        </w:numPr>
      </w:pPr>
      <w:r>
        <w:t xml:space="preserve">Smith, L. D., et al. (2009). Scheduling operations at system of locks.</w:t>
      </w:r>
      <w:r>
        <w:t xml:space="preserve"> </w:t>
      </w:r>
      <w:r>
        <w:rPr>
          <w:i/>
          <w:iCs/>
        </w:rPr>
        <w:t xml:space="preserve">Journal of Waterway, Port, Coastal, and Ocean Engineering</w:t>
      </w:r>
      <w:r>
        <w:t xml:space="preserve">, 135(2), 47-56.</w:t>
      </w:r>
    </w:p>
    <w:p>
      <w:pPr>
        <w:pStyle w:val="Compact"/>
        <w:numPr>
          <w:ilvl w:val="0"/>
          <w:numId w:val="1001"/>
        </w:numPr>
      </w:pPr>
      <w:r>
        <w:t xml:space="preserve">Lei et al. (2025b). </w:t>
      </w:r>
      <w:r>
        <w:rPr>
          <w:rFonts w:hint="eastAsia"/>
        </w:rPr>
        <w:t xml:space="preserve">自主水网：概念、架构与关键技术.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. DOI: 10.13476/j.cnki.nsbdqk.2025.0079</w:t>
      </w:r>
    </w:p>
    <w:p>
      <w:pPr>
        <w:pStyle w:val="Compact"/>
        <w:numPr>
          <w:ilvl w:val="0"/>
          <w:numId w:val="1001"/>
        </w:numPr>
      </w:pPr>
      <w:r>
        <w:t xml:space="preserve">Lei et al. (2025a). </w:t>
      </w:r>
      <w:r>
        <w:rPr>
          <w:rFonts w:hint="eastAsia"/>
        </w:rPr>
        <w:t xml:space="preserve">水系统控制论：基本原理与理论框架.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. DOI: 10.13476/j.cnki.nsbdqk.2025.0077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2026-03-21T06:35:11Z</dcterms:created>
  <dcterms:modified xsi:type="dcterms:W3CDTF">2026-03-21T06:35:11Z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