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城市排水与海绵城市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城市排水与海绵城市</w:t>
      </w:r>
    </w:p>
    <w:p>
      <w:pPr>
        <w:pStyle w:val="FirstParagraph"/>
      </w:pPr>
      <w:r>
        <w:rPr>
          <w:b/>
          <w:bCs/>
        </w:rPr>
        <w:t xml:space="preserve">Urban Drainage and Sponge City Engineering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城市化进程的加速使不透水面积持续扩张，暴雨径流峰值显著增大、汇流时间大幅缩短，城市内涝已成为制约城市安全运行的突出问题。与此同时，</w:t>
      </w:r>
      <w:r>
        <w:rPr>
          <w:rFonts w:hint="eastAsia"/>
        </w:rPr>
        <w:t xml:space="preserve">“海绵城市”</w:t>
      </w:r>
      <w:r>
        <w:rPr>
          <w:rFonts w:hint="eastAsia"/>
        </w:rPr>
        <w:t xml:space="preserve">理念的提出为城市雨洪管理提供了系统性解决方案——通过源头减排、过程控制与末端调蓄的三级体系，将传统”快排”模式转变为”渗、滞、蓄、净、用、排”的综合治理模式。本书以城市排水系统的水力学建模与智能调度为主线，系统介绍暴雨径流模拟、管网水力计算、内涝风险评估、低影响开发（LID）水文效应分析、泵站群联合调度以及城市内涝应急响应等核心内容。全书注重理论推导与工程实践的结合，每章配有仿真设置与结果分析，力求使读者既能掌握基本原理，又能将方法应用于实际工程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目录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暴雨径流SWMM建模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降雨-产流-汇流过程，SWMM模型结构与参数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排水管网水力计算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管网拓扑建模，Saint-Venant方程简化，稳态/非稳态求解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内涝风险评估与预警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危险性-暴露度-脆弱性框架，GIS风险制图，预警阈值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LID（低影响开发）水文效应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透水铺装、生物滞留、绿色屋顶的水文响应模拟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泵站群联合调度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多泵站协调优化，模型预测控制（MPC），能耗最小化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案例：城市内涝应急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典型城市内涝事件复盘，应急预案编制，多部门协同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2026-03-21T06:36:47Z</dcterms:created>
  <dcterms:modified xsi:type="dcterms:W3CDTF">2026-03-21T06:36:47Z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