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城市供水管网建模与优化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城市供水管网建模与优化</w:t>
      </w:r>
    </w:p>
    <w:p>
      <w:pPr>
        <w:pStyle w:val="FirstParagraph"/>
      </w:pPr>
      <w:r>
        <w:rPr>
          <w:b/>
          <w:bCs/>
        </w:rPr>
        <w:t xml:space="preserve">Modeling and Optimization of Urban Water Distribution Networks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城市供水管网是现代城市生命线工程的核心组成部分，承担着将净水厂出厂水安全、高效地输送至千家万户的使命。随着城镇化进程加速，我国城市供水管网总长度已超过100万公里，管网规模的持续扩大与老旧管网的逐步退化，使得漏损控制、水质保障和能耗优化等问题日益突出。传统的经验驱动管理模式已难以应对日益复杂的供水系统运行需求，亟需引入系统建模、智能优化和数字孪生等现代技术手段。</w:t>
      </w:r>
    </w:p>
    <w:p>
      <w:pPr>
        <w:pStyle w:val="BodyText"/>
      </w:pPr>
      <w:r>
        <w:rPr>
          <w:rFonts w:hint="eastAsia"/>
        </w:rPr>
        <w:t xml:space="preserve">本书以城市供水管网为研究对象，从拓扑建模出发，系统介绍管网水力计算、水质模拟、分区管理、压力优化、需水预测和数字孪生等关键技术，力图为读者构建从基础理论到工程实践的完整知识体系。全书注重数学建模与工程应用的结合，每章配有仿真设置与结果分析，帮助读者在理论学习的同时获得解决实际问题的能力。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目录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管网拓扑与图论建模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图论基础、关联矩阵、拓扑分析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稳态水力计算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Hardy-Cross法、Newton-Raphson法、节点法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水质衰减模型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余氯衰减动力学、多组分反应、水龄分析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DMA分区与漏损控制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独立计量区、最小夜间流量、漏损评估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压力管理与变频调速泵站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压力分区、变频泵控制、节能优化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第6章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需水预测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时间序列分析、LSTM网络、Prophet模型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第7章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管网数字孪生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模型校核、在线同化、虚实交互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第8章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案例：城市供水优化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综合案例、多目标优化、实施效果</w:t>
            </w:r>
          </w:p>
        </w:tc>
      </w:tr>
    </w:tbl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2026-03-21T06:36:40Z</dcterms:created>
  <dcterms:modified xsi:type="dcterms:W3CDTF">2026-03-21T06:36:40Z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