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水-能-粮纽带系统建模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水-能-粮纽带系统建模</w:t>
      </w:r>
    </w:p>
    <w:p>
      <w:pPr>
        <w:pStyle w:val="FirstParagraph"/>
      </w:pPr>
      <w:r>
        <w:rPr>
          <w:rFonts w:hint="eastAsia"/>
        </w:rPr>
        <w:t xml:space="preserve">面向水利工程专业研究生和工程师的教材。</w:t>
      </w:r>
    </w:p>
    <w:bookmarkStart w:id="9" w:name="参考文献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1"/>
        </w:numPr>
      </w:pPr>
      <w:r>
        <w:t xml:space="preserve">Hoff, H. (2011). Understanding the Nexus.</w:t>
      </w:r>
      <w:r>
        <w:t xml:space="preserve"> </w:t>
      </w:r>
      <w:r>
        <w:rPr>
          <w:i/>
          <w:iCs/>
        </w:rPr>
        <w:t xml:space="preserve">Background Paper for the Bonn 2011 Conference: The Water, Energy and Food Security Nexus</w:t>
      </w:r>
      <w:r>
        <w:t xml:space="preserve">. Stockholm Environment Institute.</w:t>
      </w:r>
    </w:p>
    <w:p>
      <w:pPr>
        <w:pStyle w:val="Compact"/>
        <w:numPr>
          <w:ilvl w:val="0"/>
          <w:numId w:val="1001"/>
        </w:numPr>
      </w:pPr>
      <w:r>
        <w:t xml:space="preserve">Bazilian, M., et al. (2011). Considering the energy, water and food nexus: Towards an integrated modelling approach.</w:t>
      </w:r>
      <w:r>
        <w:t xml:space="preserve"> </w:t>
      </w:r>
      <w:r>
        <w:rPr>
          <w:i/>
          <w:iCs/>
        </w:rPr>
        <w:t xml:space="preserve">Energy Policy</w:t>
      </w:r>
      <w:r>
        <w:t xml:space="preserve">, 39(12), 7896-7906.</w:t>
      </w:r>
    </w:p>
    <w:p>
      <w:pPr>
        <w:pStyle w:val="Compact"/>
        <w:numPr>
          <w:ilvl w:val="0"/>
          <w:numId w:val="1001"/>
        </w:numPr>
      </w:pPr>
      <w:r>
        <w:t xml:space="preserve">Albrecht, T. R., et al. (2018). The Water-Energy-Food Nexus: A systematic review of methods for nexus assessment.</w:t>
      </w:r>
      <w:r>
        <w:t xml:space="preserve"> </w:t>
      </w:r>
      <w:r>
        <w:rPr>
          <w:i/>
          <w:iCs/>
        </w:rPr>
        <w:t xml:space="preserve">Environmental Research Letters</w:t>
      </w:r>
      <w:r>
        <w:t xml:space="preserve">, 13(4), 043002.</w:t>
      </w:r>
    </w:p>
    <w:p>
      <w:pPr>
        <w:pStyle w:val="Compact"/>
        <w:numPr>
          <w:ilvl w:val="0"/>
          <w:numId w:val="1001"/>
        </w:numPr>
      </w:pPr>
      <w:r>
        <w:t xml:space="preserve">Lei et al. (2025a). </w:t>
      </w:r>
      <w:r>
        <w:rPr>
          <w:rFonts w:hint="eastAsia"/>
        </w:rPr>
        <w:t xml:space="preserve">水系统控制论：基本原理与理论框架.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. DOI: 10.13476/j.cnki.nsbdqk.2025.0077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2026-03-21T06:35:15Z</dcterms:created>
  <dcterms:modified xsi:type="dcterms:W3CDTF">2026-03-21T06:35:15Z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