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bookmarkStart w:id="0" w:name="OLE_LINK1"/>
    </w:p>
    <w:p>
      <w:pPr>
        <w:jc w:val="center"/>
        <w:rPr>
          <w:rFonts w:hint="eastAsia"/>
          <w:b/>
          <w:bCs/>
          <w:lang w:val="en-US" w:eastAsia="zh-CN"/>
        </w:rPr>
      </w:pPr>
      <w:r>
        <w:rPr>
          <w:rFonts w:hint="eastAsia"/>
          <w:b/>
          <w:bCs/>
          <w:lang w:val="en-US" w:eastAsia="zh-CN"/>
        </w:rPr>
        <w:t>Applied Speech and Audio Processing 第四章读书报告</w:t>
      </w:r>
    </w:p>
    <w:p>
      <w:pPr>
        <w:jc w:val="center"/>
        <w:rPr>
          <w:rFonts w:hint="eastAsia"/>
          <w:b/>
          <w:bCs/>
          <w:lang w:val="en-US" w:eastAsia="zh-CN"/>
        </w:rPr>
      </w:pPr>
    </w:p>
    <w:p>
      <w:pPr>
        <w:jc w:val="center"/>
        <w:rPr>
          <w:rFonts w:hint="eastAsia"/>
          <w:b/>
          <w:bCs/>
          <w:lang w:val="en-US" w:eastAsia="zh-CN"/>
        </w:rPr>
      </w:pPr>
      <w:r>
        <w:rPr>
          <w:rFonts w:hint="eastAsia"/>
          <w:b/>
          <w:bCs/>
          <w:lang w:val="en-US" w:eastAsia="zh-CN"/>
        </w:rPr>
        <w:t>姓名：湛颖</w:t>
      </w:r>
      <w:bookmarkEnd w:id="0"/>
      <w:r>
        <w:rPr>
          <w:rFonts w:hint="eastAsia"/>
          <w:b/>
          <w:bCs/>
          <w:lang w:val="en-US" w:eastAsia="zh-CN"/>
        </w:rPr>
        <w:t xml:space="preserve"> </w:t>
      </w:r>
    </w:p>
    <w:p>
      <w:pPr>
        <w:jc w:val="center"/>
        <w:rPr>
          <w:rFonts w:hint="eastAsia"/>
          <w:b/>
          <w:bCs/>
          <w:lang w:val="en-US" w:eastAsia="zh-CN"/>
        </w:rPr>
      </w:pPr>
    </w:p>
    <w:p>
      <w:pPr>
        <w:jc w:val="left"/>
        <w:rPr>
          <w:rFonts w:hint="eastAsia"/>
          <w:b/>
          <w:bCs/>
          <w:lang w:val="en-US" w:eastAsia="zh-CN"/>
        </w:rPr>
      </w:pPr>
      <w:r>
        <w:rPr>
          <w:rFonts w:hint="eastAsia"/>
          <w:b/>
          <w:bCs/>
          <w:lang w:val="en-US" w:eastAsia="zh-CN"/>
        </w:rPr>
        <w:t>4 听力</w:t>
      </w:r>
    </w:p>
    <w:p>
      <w:pPr>
        <w:jc w:val="left"/>
        <w:rPr>
          <w:rFonts w:hint="eastAsia"/>
          <w:b/>
          <w:bCs/>
          <w:lang w:val="en-US" w:eastAsia="zh-CN"/>
        </w:rPr>
      </w:pPr>
    </w:p>
    <w:p>
      <w:pPr>
        <w:jc w:val="left"/>
        <w:rPr>
          <w:rFonts w:hint="eastAsia"/>
          <w:b w:val="0"/>
          <w:bCs w:val="0"/>
          <w:lang w:val="en-US" w:eastAsia="zh-CN"/>
        </w:rPr>
      </w:pPr>
      <w:r>
        <w:rPr>
          <w:rFonts w:hint="eastAsia"/>
          <w:b w:val="0"/>
          <w:bCs w:val="0"/>
          <w:lang w:val="en-US" w:eastAsia="zh-CN"/>
        </w:rPr>
        <w:t>4.1 生理过程</w:t>
      </w:r>
    </w:p>
    <w:p>
      <w:pPr>
        <w:jc w:val="left"/>
        <w:rPr>
          <w:rFonts w:hint="eastAsia"/>
          <w:b w:val="0"/>
          <w:bCs w:val="0"/>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pPr>
      <w:r>
        <w:rPr>
          <w:rFonts w:hint="eastAsia"/>
          <w:b w:val="0"/>
          <w:bCs w:val="0"/>
          <w:lang w:val="en-US" w:eastAsia="zh-CN"/>
        </w:rPr>
        <w:t xml:space="preserve"> 耳廓、外耳道、鼓膜、malleus锤骨、incus砧骨、stapes镫骨、oval window卵圆窗、Cochlea耳蜗、</w:t>
      </w:r>
      <w:r>
        <w:drawing>
          <wp:inline distT="0" distB="0" distL="114300" distR="114300">
            <wp:extent cx="5268595" cy="2573020"/>
            <wp:effectExtent l="0" t="0" r="825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57302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r>
        <w:rPr>
          <w:rFonts w:hint="eastAsia"/>
          <w:lang w:val="en-US" w:eastAsia="zh-CN"/>
        </w:rPr>
        <w:t>耳蜗（cochlea）结构上图（已展开），35mm长，上有blabla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r>
        <w:rPr>
          <w:rFonts w:hint="eastAsia"/>
          <w:lang w:val="en-US" w:eastAsia="zh-CN"/>
        </w:rPr>
        <w:t>4.2 心理声学</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r>
        <w:rPr>
          <w:rFonts w:hint="eastAsia"/>
          <w:lang w:val="en-US" w:eastAsia="zh-CN"/>
        </w:rPr>
        <w:t>4.2.1 等响曲线</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pPr>
      <w:r>
        <w:drawing>
          <wp:inline distT="0" distB="0" distL="114300" distR="114300">
            <wp:extent cx="4370070" cy="2399030"/>
            <wp:effectExtent l="0" t="0" r="1143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370070" cy="239903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r>
        <w:rPr>
          <w:rFonts w:hint="eastAsia"/>
          <w:lang w:val="en-US" w:eastAsia="zh-CN"/>
        </w:rPr>
        <w:t>人类听觉系统对与听起来响度相等的两个音在不同的频率对应的声压级是不同的，对此有等响曲线来描述。</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r>
        <w:rPr>
          <w:rFonts w:hint="eastAsia"/>
          <w:lang w:val="en-US" w:eastAsia="zh-CN"/>
        </w:rPr>
        <w:t>测试代码：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ascii="宋体" w:hAnsi="宋体" w:eastAsia="宋体" w:cs="宋体"/>
          <w:sz w:val="24"/>
          <w:szCs w:val="24"/>
        </w:rPr>
      </w:pPr>
      <w:r>
        <w:rPr>
          <w:rFonts w:ascii="Courier" w:hAnsi="Courier" w:eastAsia="宋体" w:cs="Courier"/>
          <w:b w:val="0"/>
          <w:i w:val="0"/>
          <w:color w:val="000000"/>
          <w:sz w:val="20"/>
          <w:szCs w:val="20"/>
        </w:rPr>
        <w:t>lo= tonegen(250, 441000, 2);</w:t>
      </w:r>
      <w:r>
        <w:rPr>
          <w:rFonts w:ascii="Courier" w:hAnsi="Courier" w:eastAsia="宋体" w:cs="Courier"/>
          <w:b w:val="0"/>
          <w:i w:val="0"/>
          <w:color w:val="000000"/>
          <w:sz w:val="20"/>
          <w:szCs w:val="20"/>
        </w:rPr>
        <w:br w:type="textWrapping"/>
      </w:r>
      <w:r>
        <w:rPr>
          <w:rFonts w:ascii="Courier" w:hAnsi="Courier" w:eastAsia="宋体" w:cs="Courier"/>
          <w:b w:val="0"/>
          <w:i w:val="0"/>
          <w:color w:val="000000"/>
          <w:sz w:val="20"/>
          <w:szCs w:val="20"/>
        </w:rPr>
        <w:t>mi= tonegen(1200, 441000, 2);</w:t>
      </w:r>
      <w:r>
        <w:rPr>
          <w:rFonts w:ascii="宋体" w:hAnsi="宋体" w:eastAsia="宋体" w:cs="宋体"/>
          <w:sz w:val="24"/>
          <w:szCs w:val="24"/>
        </w:rPr>
        <w:br w:type="textWrapping"/>
      </w:r>
      <w:r>
        <w:rPr>
          <w:rFonts w:ascii="Courier" w:hAnsi="Courier" w:eastAsia="宋体" w:cs="Courier"/>
          <w:b w:val="0"/>
          <w:i w:val="0"/>
          <w:color w:val="000000"/>
          <w:sz w:val="20"/>
          <w:szCs w:val="20"/>
        </w:rPr>
        <w:t>hi= tonegen(11000, 441000, 2);</w:t>
      </w:r>
      <w:r>
        <w:rPr>
          <w:rFonts w:ascii="Courier" w:hAnsi="Courier" w:eastAsia="宋体" w:cs="Courier"/>
          <w:b w:val="0"/>
          <w:i w:val="0"/>
          <w:color w:val="000000"/>
          <w:sz w:val="20"/>
          <w:szCs w:val="20"/>
        </w:rPr>
        <w:br w:type="textWrapping"/>
      </w:r>
      <w:r>
        <w:rPr>
          <w:rFonts w:ascii="Courier" w:hAnsi="Courier" w:eastAsia="宋体" w:cs="Courier"/>
          <w:b w:val="0"/>
          <w:i w:val="0"/>
          <w:color w:val="000000"/>
          <w:sz w:val="20"/>
          <w:szCs w:val="20"/>
        </w:rPr>
        <w:t>soundsc(lo, 441000);</w:t>
      </w:r>
      <w:r>
        <w:rPr>
          <w:rFonts w:ascii="Courier" w:hAnsi="Courier" w:eastAsia="宋体" w:cs="Courier"/>
          <w:b w:val="0"/>
          <w:i w:val="0"/>
          <w:color w:val="000000"/>
          <w:sz w:val="20"/>
          <w:szCs w:val="20"/>
        </w:rPr>
        <w:br w:type="textWrapping"/>
      </w:r>
      <w:r>
        <w:rPr>
          <w:rFonts w:ascii="Courier" w:hAnsi="Courier" w:eastAsia="宋体" w:cs="Courier"/>
          <w:b w:val="0"/>
          <w:i w:val="0"/>
          <w:color w:val="000000"/>
          <w:sz w:val="20"/>
          <w:szCs w:val="20"/>
        </w:rPr>
        <w:t>soundsc(mi, 441000);</w:t>
      </w:r>
      <w:r>
        <w:rPr>
          <w:rFonts w:ascii="Courier" w:hAnsi="Courier" w:eastAsia="宋体" w:cs="Courier"/>
          <w:b w:val="0"/>
          <w:i w:val="0"/>
          <w:color w:val="000000"/>
          <w:sz w:val="20"/>
          <w:szCs w:val="20"/>
        </w:rPr>
        <w:br w:type="textWrapping"/>
      </w:r>
      <w:r>
        <w:rPr>
          <w:rFonts w:ascii="Courier" w:hAnsi="Courier" w:eastAsia="宋体" w:cs="Courier"/>
          <w:b w:val="0"/>
          <w:i w:val="0"/>
          <w:color w:val="000000"/>
          <w:sz w:val="20"/>
          <w:szCs w:val="20"/>
        </w:rPr>
        <w:t>soundsc(hi, 441000);</w:t>
      </w:r>
      <w:r>
        <w:rPr>
          <w:rFonts w:ascii="宋体" w:hAnsi="宋体" w:eastAsia="宋体" w:cs="宋体"/>
          <w:sz w:val="24"/>
          <w:szCs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1200hz应该听起来是最大的。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A加权：一个基于40phon等响曲线的加权程序</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被认为是有效的合理近似</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用于测量</w:t>
      </w:r>
      <w:r>
        <w:rPr>
          <w:rFonts w:ascii="Times-Roman" w:hAnsi="Times-Roman" w:eastAsia="Times-Roman" w:cs="Times-Roman"/>
          <w:b w:val="0"/>
          <w:i w:val="0"/>
          <w:color w:val="000000"/>
          <w:sz w:val="18"/>
          <w:szCs w:val="18"/>
        </w:rPr>
        <w:t>nuisance</w:t>
      </w:r>
      <w:r>
        <w:rPr>
          <w:rFonts w:ascii="宋体" w:hAnsi="宋体" w:eastAsia="宋体" w:cs="宋体"/>
          <w:sz w:val="24"/>
          <w:szCs w:val="24"/>
        </w:rPr>
        <w:t xml:space="preserve"> </w:t>
      </w:r>
      <w:r>
        <w:rPr>
          <w:rFonts w:hint="eastAsia" w:ascii="宋体" w:hAnsi="宋体" w:eastAsia="宋体" w:cs="宋体"/>
          <w:sz w:val="24"/>
          <w:szCs w:val="24"/>
          <w:lang w:val="en-US" w:eastAsia="zh-CN"/>
        </w:rPr>
        <w:t>噪音</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只对可听声有效</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pPr>
      <w:r>
        <w:rPr>
          <w:rFonts w:hint="eastAsia" w:ascii="宋体" w:hAnsi="宋体" w:eastAsia="宋体" w:cs="宋体"/>
          <w:sz w:val="24"/>
          <w:szCs w:val="24"/>
          <w:lang w:val="en-US" w:eastAsia="zh-CN"/>
        </w:rPr>
        <w:t>耳廓效应：</w:t>
      </w:r>
      <w:r>
        <w:drawing>
          <wp:inline distT="0" distB="0" distL="114300" distR="114300">
            <wp:extent cx="5156200" cy="1083945"/>
            <wp:effectExtent l="0" t="0" r="635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156200" cy="108394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r>
        <w:rPr>
          <w:rFonts w:hint="eastAsia"/>
          <w:lang w:val="en-US" w:eastAsia="zh-CN"/>
        </w:rPr>
        <w:t>4.2.4 耳蜗回声</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r>
        <w:rPr>
          <w:rFonts w:hint="eastAsia"/>
          <w:lang w:val="en-US" w:eastAsia="zh-CN"/>
        </w:rPr>
        <w:t>听见不存在频率的幻觉。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r>
        <w:rPr>
          <w:rFonts w:hint="eastAsia"/>
          <w:lang w:val="en-US" w:eastAsia="zh-CN"/>
        </w:rPr>
        <w:t>两音同响时听见2f1-f2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r>
        <w:rPr>
          <w:rFonts w:hint="eastAsia"/>
          <w:lang w:val="en-US" w:eastAsia="zh-CN"/>
        </w:rPr>
        <w:t>复杂织体音乐中听见不存在的低音。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lang w:val="en-US" w:eastAsia="zh-CN"/>
        </w:rPr>
      </w:pPr>
      <w:r>
        <w:rPr>
          <w:rFonts w:hint="eastAsia"/>
          <w:lang w:val="en-US" w:eastAsia="zh-CN"/>
        </w:rPr>
        <w:t>4.2.3 相位锁定</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lang w:val="en-US" w:eastAsia="zh-CN"/>
        </w:rPr>
      </w:pPr>
      <w:r>
        <w:rPr>
          <w:rFonts w:hint="eastAsia"/>
          <w:lang w:val="en-US" w:eastAsia="zh-CN"/>
        </w:rPr>
        <w:t>这是一个发生在耳蜗的特别现象。通常描述为：声波的疏部刺激毛细胞时，它们对不同的相位反应相差很大。耳蜗上不同部位毛细胞对声音的反应基本上是基于所给声波的频率和相位。一些毛细胞仅仅在对应频率声波的每2/4或更多周期响应一次，但不改变其发射（神经）信号的周期，这便于耳朵适应某个特定频率，间隔中间没有响应的周期就被错过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lang w:val="en-US" w:eastAsia="zh-CN"/>
        </w:rPr>
      </w:pPr>
      <w:r>
        <w:rPr>
          <w:rFonts w:hint="eastAsia"/>
          <w:lang w:val="en-US" w:eastAsia="zh-CN"/>
        </w:rPr>
        <w:t>据说是掩蔽效应的物理基础。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lang w:val="en-US" w:eastAsia="zh-CN"/>
        </w:rPr>
      </w:pPr>
      <w:r>
        <w:rPr>
          <w:rFonts w:hint="eastAsia"/>
          <w:lang w:val="en-US" w:eastAsia="zh-CN"/>
        </w:rPr>
        <w:t>这部分没看懂。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lang w:val="en-US" w:eastAsia="zh-CN"/>
        </w:rPr>
      </w:pPr>
      <w:r>
        <w:rPr>
          <w:rFonts w:hint="eastAsia"/>
          <w:lang w:val="en-US" w:eastAsia="zh-CN"/>
        </w:rPr>
        <w:t>4.2.4 信号处理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lang w:val="en-US" w:eastAsia="zh-CN"/>
        </w:rPr>
      </w:pPr>
      <w:r>
        <w:rPr>
          <w:rFonts w:hint="eastAsia"/>
          <w:lang w:val="en-US" w:eastAsia="zh-CN"/>
        </w:rPr>
        <w:t>人脑对听力信号的识别能力令人惊叹：音的起始时间、结束时间、音强拍、频率上升、频率下降、音量变化、爆破音。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lang w:val="en-US" w:eastAsia="zh-CN"/>
        </w:rPr>
      </w:pPr>
      <w:r>
        <w:rPr>
          <w:rFonts w:hint="eastAsia"/>
          <w:lang w:val="en-US" w:eastAsia="zh-CN"/>
        </w:rPr>
        <w:t>4.2.5 瞬时整合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lang w:val="en-US" w:eastAsia="zh-CN"/>
        </w:rPr>
      </w:pPr>
      <w:r>
        <w:rPr>
          <w:rFonts w:hint="eastAsia"/>
          <w:lang w:val="en-US" w:eastAsia="zh-CN"/>
        </w:rPr>
        <w:t>听力的时域感知高度非线性。200ms以下的频率变化，所需的用来检测的强度随着时长增加，几乎与时长和频率乘积线性成正比。高于500ms的变化因过程就不考虑变化时间和复杂度和模式了。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lang w:val="en-US" w:eastAsia="zh-CN"/>
        </w:rPr>
      </w:pPr>
      <w:r>
        <w:rPr>
          <w:rFonts w:hint="eastAsia"/>
          <w:lang w:val="en-US" w:eastAsia="zh-CN"/>
        </w:rPr>
        <w:t>对静音时长的感知同上。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ind w:right="0" w:rightChars="0"/>
        <w:jc w:val="left"/>
        <w:textAlignment w:val="center"/>
        <w:rPr>
          <w:rFonts w:hint="eastAsia" w:ascii="宋体" w:hAnsi="宋体" w:eastAsia="宋体" w:cs="宋体"/>
          <w:sz w:val="24"/>
          <w:szCs w:val="24"/>
          <w:lang w:val="en-US" w:eastAsia="zh-CN"/>
        </w:rPr>
      </w:pPr>
      <w:r>
        <w:rPr>
          <w:rFonts w:hint="eastAsia"/>
          <w:lang w:val="en-US" w:eastAsia="zh-CN"/>
        </w:rPr>
        <w:t xml:space="preserve">4.2.6 </w:t>
      </w:r>
      <w:r>
        <w:rPr>
          <w:rFonts w:ascii="Helvetica" w:hAnsi="Helvetica" w:eastAsia="Helvetica" w:cs="Helvetica"/>
          <w:b w:val="0"/>
          <w:i w:val="0"/>
          <w:color w:val="000000"/>
          <w:sz w:val="22"/>
          <w:szCs w:val="22"/>
        </w:rPr>
        <w:t>Post-stimulatory auditory fatigue</w:t>
      </w:r>
      <w:r>
        <w:rPr>
          <w:rFonts w:ascii="宋体" w:hAnsi="宋体" w:eastAsia="宋体" w:cs="宋体"/>
          <w:sz w:val="24"/>
          <w:szCs w:val="24"/>
        </w:rPr>
        <w:t xml:space="preserve"> </w:t>
      </w:r>
      <w:r>
        <w:rPr>
          <w:rFonts w:hint="eastAsia" w:ascii="宋体" w:hAnsi="宋体" w:eastAsia="宋体" w:cs="宋体"/>
          <w:sz w:val="24"/>
          <w:szCs w:val="24"/>
          <w:lang w:val="en-US" w:eastAsia="zh-CN"/>
        </w:rPr>
        <w:t>后刺激听觉疲劳</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r>
        <w:rPr>
          <w:rFonts w:hint="eastAsia"/>
          <w:lang w:val="en-US" w:eastAsia="zh-CN"/>
        </w:rPr>
        <w:t>一段异常嘈杂的声音过后耳朵有一段休整期。temporary threshold shift (TTS) 暂时性阈值移位，它的水平取决于刺激源的强度长度频率和恢复间隔。频率选择性，其分布随刺激源的给定频率成对称，在给定频率有峰值，频率范围与绝对频率相关（中耳反射作用会削弱其在低频，多于五分钟的变化将看不到明显得TTS现象）。与疲劳音音高相关，与疲劳音的对数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r>
        <w:rPr>
          <w:rFonts w:hint="eastAsia"/>
          <w:lang w:val="en-US" w:eastAsia="zh-CN"/>
        </w:rPr>
        <w:t>疲劳音是宽带时，TTS大多发生在4和6khz，立即开始，可能还会注意到噪音开始后16小时，音量约为110或120听力损失程度导致永久性的听力丧失，但tts是最突出的听力损失程度90到100db。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r>
        <w:rPr>
          <w:rFonts w:hint="eastAsia"/>
          <w:lang w:val="en-US" w:eastAsia="zh-CN"/>
        </w:rPr>
        <w:t>4.2.7 Auditory adaptation听觉适应</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r>
        <w:rPr>
          <w:rFonts w:hint="eastAsia"/>
          <w:lang w:val="en-US" w:eastAsia="zh-CN"/>
        </w:rPr>
        <w:t>稳态音频的耳朵反应会随着时间减少到最低限度，振幅约30db是才能触发效果。因此一个特定的干扰声会随着时间变得不那么明显的。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r>
        <w:rPr>
          <w:rFonts w:hint="eastAsia"/>
          <w:lang w:val="en-US" w:eastAsia="zh-CN"/>
        </w:rPr>
        <w:t>然而值得注意的是，这种影响似乎非常主观的，</w:t>
      </w:r>
      <w:r>
        <w:rPr>
          <w:rFonts w:hint="eastAsia"/>
          <w:lang w:val="en-US" w:eastAsia="zh-CN"/>
        </w:rPr>
        <w:t>在实验的音量仅在3db或更小的范围变化时。听觉系统不能适应真正的宽带噪声中，文献报道，高频音比低频率的音调更容易适应[4]。</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r>
        <w:rPr>
          <w:rFonts w:hint="eastAsia"/>
          <w:lang w:val="en-US" w:eastAsia="zh-CN"/>
        </w:rPr>
        <w:t>尽管这些报告，关于宽带噪声，坊间看来，在漫长的飞机旅行，一个初始高的舱内噪声水平(主观上都是相当宽带)成为最终几乎没有对飞行造成影响。</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r>
        <w:rPr>
          <w:rFonts w:hint="eastAsia"/>
          <w:lang w:val="en-US" w:eastAsia="zh-CN"/>
        </w:rPr>
        <w:t>4.2.8 掩蔽</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0" w:right="0"/>
        <w:jc w:val="left"/>
        <w:textAlignment w:val="center"/>
        <w:rPr>
          <w:rFonts w:hint="eastAsia"/>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Neue-BoldCond">
    <w:altName w:val="Helsinki Metronome Std"/>
    <w:panose1 w:val="00000000000000000000"/>
    <w:charset w:val="00"/>
    <w:family w:val="auto"/>
    <w:pitch w:val="default"/>
    <w:sig w:usb0="00000000" w:usb1="00000000" w:usb2="00000000" w:usb3="00000000" w:csb0="00000000" w:csb1="00000000"/>
  </w:font>
  <w:font w:name="Helsinki Metronome Std">
    <w:panose1 w:val="02000400000000000000"/>
    <w:charset w:val="00"/>
    <w:family w:val="auto"/>
    <w:pitch w:val="default"/>
    <w:sig w:usb0="00000003" w:usb1="00000000" w:usb2="00000000" w:usb3="00000000" w:csb0="20000001" w:csb1="00000000"/>
  </w:font>
  <w:font w:name="Arial">
    <w:panose1 w:val="020B0604020202020204"/>
    <w:charset w:val="00"/>
    <w:family w:val="auto"/>
    <w:pitch w:val="default"/>
    <w:sig w:usb0="E0002AFF" w:usb1="C0007843" w:usb2="00000009" w:usb3="00000000" w:csb0="400001FF" w:csb1="FFFF0000"/>
  </w:font>
  <w:font w:name="Times-Roman">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MTSYN">
    <w:altName w:val="Helsinki Metronome Std"/>
    <w:panose1 w:val="00000000000000000000"/>
    <w:charset w:val="00"/>
    <w:family w:val="auto"/>
    <w:pitch w:val="default"/>
    <w:sig w:usb0="00000000" w:usb1="00000000" w:usb2="00000000" w:usb3="00000000" w:csb0="00000000" w:csb1="00000000"/>
  </w:font>
  <w:font w:name="Times-Italic">
    <w:altName w:val="Helsinki Metronome Std"/>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TimesNewRoman">
    <w:altName w:val="Helsinki Metronome Std"/>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imes-Bold">
    <w:altName w:val="Helsinki Metronome Std"/>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MTMI">
    <w:altName w:val="Helsinki Metronome Std"/>
    <w:panose1 w:val="00000000000000000000"/>
    <w:charset w:val="00"/>
    <w:family w:val="auto"/>
    <w:pitch w:val="default"/>
    <w:sig w:usb0="00000000" w:usb1="00000000" w:usb2="00000000" w:usb3="00000000" w:csb0="00000000" w:csb1="00000000"/>
  </w:font>
  <w:font w:name="Helvetica-Bold">
    <w:altName w:val="Helsinki Metronome Std"/>
    <w:panose1 w:val="00000000000000000000"/>
    <w:charset w:val="00"/>
    <w:family w:val="auto"/>
    <w:pitch w:val="default"/>
    <w:sig w:usb0="00000000" w:usb1="00000000" w:usb2="00000000" w:usb3="00000000" w:csb0="00000000" w:csb1="00000000"/>
  </w:font>
  <w:font w:name="Times-RomanSmallCaps">
    <w:altName w:val="Helsinki Metronome Std"/>
    <w:panose1 w:val="00000000000000000000"/>
    <w:charset w:val="00"/>
    <w:family w:val="auto"/>
    <w:pitch w:val="default"/>
    <w:sig w:usb0="00000000" w:usb1="00000000" w:usb2="00000000" w:usb3="00000000" w:csb0="00000000" w:csb1="00000000"/>
  </w:font>
  <w:font w:name="MTEX">
    <w:altName w:val="Helsinki Metronome Std"/>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856AE"/>
    <w:multiLevelType w:val="singleLevel"/>
    <w:tmpl w:val="583856A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5433F"/>
    <w:rsid w:val="002D6CB7"/>
    <w:rsid w:val="01E238F2"/>
    <w:rsid w:val="023273C9"/>
    <w:rsid w:val="037B29EF"/>
    <w:rsid w:val="04261AC0"/>
    <w:rsid w:val="043B2685"/>
    <w:rsid w:val="04417583"/>
    <w:rsid w:val="047941E2"/>
    <w:rsid w:val="04D44E28"/>
    <w:rsid w:val="04DC1FAD"/>
    <w:rsid w:val="05F4746B"/>
    <w:rsid w:val="063F5DBB"/>
    <w:rsid w:val="06421AB1"/>
    <w:rsid w:val="06976521"/>
    <w:rsid w:val="06C97FF2"/>
    <w:rsid w:val="07EC7208"/>
    <w:rsid w:val="07F46ED7"/>
    <w:rsid w:val="08162CCF"/>
    <w:rsid w:val="086F2153"/>
    <w:rsid w:val="090043BC"/>
    <w:rsid w:val="094840C9"/>
    <w:rsid w:val="095433B4"/>
    <w:rsid w:val="09A338EF"/>
    <w:rsid w:val="09A757D6"/>
    <w:rsid w:val="09BF7868"/>
    <w:rsid w:val="0A0413F7"/>
    <w:rsid w:val="0A7A4A61"/>
    <w:rsid w:val="0B492871"/>
    <w:rsid w:val="0B601A54"/>
    <w:rsid w:val="0C8E7FAE"/>
    <w:rsid w:val="0CC5198D"/>
    <w:rsid w:val="0DCB1DB4"/>
    <w:rsid w:val="0E1D246C"/>
    <w:rsid w:val="0E451F49"/>
    <w:rsid w:val="0E4F4038"/>
    <w:rsid w:val="0ED42522"/>
    <w:rsid w:val="0F835549"/>
    <w:rsid w:val="0FA37A06"/>
    <w:rsid w:val="0FD12458"/>
    <w:rsid w:val="100A45A5"/>
    <w:rsid w:val="10BD1EDC"/>
    <w:rsid w:val="1163382E"/>
    <w:rsid w:val="140832CF"/>
    <w:rsid w:val="149C6F7F"/>
    <w:rsid w:val="15F112B5"/>
    <w:rsid w:val="164B58FF"/>
    <w:rsid w:val="170405EF"/>
    <w:rsid w:val="173F484B"/>
    <w:rsid w:val="17C3680E"/>
    <w:rsid w:val="17CB7CE3"/>
    <w:rsid w:val="181B4EC3"/>
    <w:rsid w:val="18465BC8"/>
    <w:rsid w:val="18E35FBD"/>
    <w:rsid w:val="1A443BD1"/>
    <w:rsid w:val="1A8846CA"/>
    <w:rsid w:val="1ABA0D41"/>
    <w:rsid w:val="1B7671AB"/>
    <w:rsid w:val="1C165598"/>
    <w:rsid w:val="1CB77D79"/>
    <w:rsid w:val="1D794C18"/>
    <w:rsid w:val="1E7F2174"/>
    <w:rsid w:val="1E801292"/>
    <w:rsid w:val="1FC515F0"/>
    <w:rsid w:val="2036730E"/>
    <w:rsid w:val="21724E0F"/>
    <w:rsid w:val="21B43626"/>
    <w:rsid w:val="21DF2B72"/>
    <w:rsid w:val="22406F5B"/>
    <w:rsid w:val="22544A19"/>
    <w:rsid w:val="235A21BC"/>
    <w:rsid w:val="23E92F0D"/>
    <w:rsid w:val="23F303F5"/>
    <w:rsid w:val="23F44A3F"/>
    <w:rsid w:val="24254C62"/>
    <w:rsid w:val="24753821"/>
    <w:rsid w:val="24905824"/>
    <w:rsid w:val="24F237A5"/>
    <w:rsid w:val="252717FD"/>
    <w:rsid w:val="25344A81"/>
    <w:rsid w:val="254963EC"/>
    <w:rsid w:val="254D670B"/>
    <w:rsid w:val="256C4704"/>
    <w:rsid w:val="2595158B"/>
    <w:rsid w:val="260353AF"/>
    <w:rsid w:val="26424C7B"/>
    <w:rsid w:val="268378EA"/>
    <w:rsid w:val="26BC793F"/>
    <w:rsid w:val="26CA4317"/>
    <w:rsid w:val="27CA708B"/>
    <w:rsid w:val="280D091C"/>
    <w:rsid w:val="28836A8E"/>
    <w:rsid w:val="289A49F2"/>
    <w:rsid w:val="29593644"/>
    <w:rsid w:val="29842CE4"/>
    <w:rsid w:val="29DA2097"/>
    <w:rsid w:val="2A255A39"/>
    <w:rsid w:val="2A757733"/>
    <w:rsid w:val="2ACC081A"/>
    <w:rsid w:val="2AF95DB8"/>
    <w:rsid w:val="2BB00D75"/>
    <w:rsid w:val="2BF25F65"/>
    <w:rsid w:val="2C361D23"/>
    <w:rsid w:val="2CB03FFD"/>
    <w:rsid w:val="2D3510E7"/>
    <w:rsid w:val="2E1C399E"/>
    <w:rsid w:val="2E4963C2"/>
    <w:rsid w:val="30A47E11"/>
    <w:rsid w:val="31350EC9"/>
    <w:rsid w:val="316D28D9"/>
    <w:rsid w:val="31D55BAC"/>
    <w:rsid w:val="31E21671"/>
    <w:rsid w:val="3263010E"/>
    <w:rsid w:val="329E2943"/>
    <w:rsid w:val="33A147FB"/>
    <w:rsid w:val="33E71479"/>
    <w:rsid w:val="34811212"/>
    <w:rsid w:val="34CC3631"/>
    <w:rsid w:val="354C6DEC"/>
    <w:rsid w:val="35CE1938"/>
    <w:rsid w:val="376401DD"/>
    <w:rsid w:val="37CF39FD"/>
    <w:rsid w:val="38290018"/>
    <w:rsid w:val="39392590"/>
    <w:rsid w:val="39A239E6"/>
    <w:rsid w:val="3A31257C"/>
    <w:rsid w:val="3ADB07FF"/>
    <w:rsid w:val="3AE233D2"/>
    <w:rsid w:val="3AE7755E"/>
    <w:rsid w:val="3AEE0E70"/>
    <w:rsid w:val="3C0E5730"/>
    <w:rsid w:val="3C26595C"/>
    <w:rsid w:val="3CD87F3D"/>
    <w:rsid w:val="3E294501"/>
    <w:rsid w:val="3E386950"/>
    <w:rsid w:val="3EF324C5"/>
    <w:rsid w:val="3F004409"/>
    <w:rsid w:val="3F214233"/>
    <w:rsid w:val="3F404D00"/>
    <w:rsid w:val="3F8B335C"/>
    <w:rsid w:val="402C160A"/>
    <w:rsid w:val="402E0FC1"/>
    <w:rsid w:val="4254452A"/>
    <w:rsid w:val="429849C4"/>
    <w:rsid w:val="42DB596E"/>
    <w:rsid w:val="43346F98"/>
    <w:rsid w:val="4397610D"/>
    <w:rsid w:val="43987719"/>
    <w:rsid w:val="45CA4797"/>
    <w:rsid w:val="45E77E35"/>
    <w:rsid w:val="460A64AF"/>
    <w:rsid w:val="468534B6"/>
    <w:rsid w:val="47665CE1"/>
    <w:rsid w:val="48562635"/>
    <w:rsid w:val="4A227306"/>
    <w:rsid w:val="4B1747B4"/>
    <w:rsid w:val="4C186F1D"/>
    <w:rsid w:val="4C45280A"/>
    <w:rsid w:val="4C6A3807"/>
    <w:rsid w:val="4CCF0760"/>
    <w:rsid w:val="4D0835BC"/>
    <w:rsid w:val="4DB45934"/>
    <w:rsid w:val="4EBC6520"/>
    <w:rsid w:val="4EFB66AB"/>
    <w:rsid w:val="4F3A13CF"/>
    <w:rsid w:val="4F955898"/>
    <w:rsid w:val="503F7CC5"/>
    <w:rsid w:val="510F3C92"/>
    <w:rsid w:val="512013ED"/>
    <w:rsid w:val="512843CD"/>
    <w:rsid w:val="519319AF"/>
    <w:rsid w:val="531D7C69"/>
    <w:rsid w:val="535E3795"/>
    <w:rsid w:val="538A1C92"/>
    <w:rsid w:val="53A44591"/>
    <w:rsid w:val="53C709FA"/>
    <w:rsid w:val="545403FA"/>
    <w:rsid w:val="546E4BDC"/>
    <w:rsid w:val="54E371EF"/>
    <w:rsid w:val="55A11CA5"/>
    <w:rsid w:val="5683443B"/>
    <w:rsid w:val="569A76EE"/>
    <w:rsid w:val="57AD06DB"/>
    <w:rsid w:val="58365866"/>
    <w:rsid w:val="58697126"/>
    <w:rsid w:val="58F44058"/>
    <w:rsid w:val="592C3846"/>
    <w:rsid w:val="595D6031"/>
    <w:rsid w:val="596330D2"/>
    <w:rsid w:val="5A5C4E48"/>
    <w:rsid w:val="5A873F4F"/>
    <w:rsid w:val="5AB567F5"/>
    <w:rsid w:val="5AF411F9"/>
    <w:rsid w:val="5B0402D9"/>
    <w:rsid w:val="5B4318AA"/>
    <w:rsid w:val="5BEC2A95"/>
    <w:rsid w:val="5D004FEB"/>
    <w:rsid w:val="5D2218EA"/>
    <w:rsid w:val="5DE529E6"/>
    <w:rsid w:val="5E571B8A"/>
    <w:rsid w:val="5E7809B0"/>
    <w:rsid w:val="5F36645D"/>
    <w:rsid w:val="600B7A25"/>
    <w:rsid w:val="6061336D"/>
    <w:rsid w:val="606D090D"/>
    <w:rsid w:val="60940028"/>
    <w:rsid w:val="60A04630"/>
    <w:rsid w:val="60AF48DF"/>
    <w:rsid w:val="616368B5"/>
    <w:rsid w:val="62F701D2"/>
    <w:rsid w:val="63E86CAA"/>
    <w:rsid w:val="655252BE"/>
    <w:rsid w:val="65A14AD0"/>
    <w:rsid w:val="66311A98"/>
    <w:rsid w:val="66646002"/>
    <w:rsid w:val="66A90455"/>
    <w:rsid w:val="66AD3034"/>
    <w:rsid w:val="66CC7D3D"/>
    <w:rsid w:val="66FC6AF1"/>
    <w:rsid w:val="67223621"/>
    <w:rsid w:val="67457697"/>
    <w:rsid w:val="6747196C"/>
    <w:rsid w:val="683444F5"/>
    <w:rsid w:val="685A119B"/>
    <w:rsid w:val="68893FAA"/>
    <w:rsid w:val="68E50DC1"/>
    <w:rsid w:val="69284BC9"/>
    <w:rsid w:val="69A12E88"/>
    <w:rsid w:val="6A081356"/>
    <w:rsid w:val="6A1B05C5"/>
    <w:rsid w:val="6A1B2B0A"/>
    <w:rsid w:val="6B6B58CB"/>
    <w:rsid w:val="6BD53C99"/>
    <w:rsid w:val="6BEB6190"/>
    <w:rsid w:val="6D0C366D"/>
    <w:rsid w:val="6D5F37D2"/>
    <w:rsid w:val="6E1100A9"/>
    <w:rsid w:val="703A45B6"/>
    <w:rsid w:val="7080682D"/>
    <w:rsid w:val="70BC4E96"/>
    <w:rsid w:val="716D4B0F"/>
    <w:rsid w:val="719A4747"/>
    <w:rsid w:val="71AB157D"/>
    <w:rsid w:val="71AD1C0E"/>
    <w:rsid w:val="71FB415B"/>
    <w:rsid w:val="73062B6B"/>
    <w:rsid w:val="73536001"/>
    <w:rsid w:val="7420004B"/>
    <w:rsid w:val="74220324"/>
    <w:rsid w:val="748676FE"/>
    <w:rsid w:val="752A17C9"/>
    <w:rsid w:val="75854E36"/>
    <w:rsid w:val="75A745E6"/>
    <w:rsid w:val="75D93EEE"/>
    <w:rsid w:val="762209B3"/>
    <w:rsid w:val="762E57D4"/>
    <w:rsid w:val="76521922"/>
    <w:rsid w:val="766F19CC"/>
    <w:rsid w:val="76C515AD"/>
    <w:rsid w:val="793E5095"/>
    <w:rsid w:val="7943146F"/>
    <w:rsid w:val="79566F9A"/>
    <w:rsid w:val="796F6B57"/>
    <w:rsid w:val="79D036DB"/>
    <w:rsid w:val="7A1800AF"/>
    <w:rsid w:val="7A356D31"/>
    <w:rsid w:val="7AD420D8"/>
    <w:rsid w:val="7B7921F1"/>
    <w:rsid w:val="7D180F6C"/>
    <w:rsid w:val="7D714B5F"/>
    <w:rsid w:val="7D9B2F89"/>
    <w:rsid w:val="7DDA0D84"/>
    <w:rsid w:val="7DFF4C2C"/>
    <w:rsid w:val="7E730C23"/>
    <w:rsid w:val="7EFB1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 w:type="character" w:customStyle="1" w:styleId="6">
    <w:name w:val="fontstyle01"/>
    <w:basedOn w:val="2"/>
    <w:qFormat/>
    <w:uiPriority w:val="0"/>
    <w:rPr>
      <w:rFonts w:ascii="Times-Roman" w:hAnsi="Times-Roman" w:eastAsia="Times-Roman" w:cs="Times-Roman"/>
      <w:color w:val="000000"/>
      <w:sz w:val="20"/>
      <w:szCs w:val="20"/>
    </w:rPr>
  </w:style>
  <w:style w:type="character" w:customStyle="1" w:styleId="7">
    <w:name w:val="fontstyle21"/>
    <w:basedOn w:val="2"/>
    <w:qFormat/>
    <w:uiPriority w:val="0"/>
    <w:rPr>
      <w:rFonts w:ascii="Times-Roman" w:hAnsi="Times-Roman" w:eastAsia="Times-Roman" w:cs="Times-Roman"/>
      <w:color w:val="000000"/>
      <w:sz w:val="18"/>
      <w:szCs w:val="18"/>
    </w:rPr>
  </w:style>
  <w:style w:type="character" w:customStyle="1" w:styleId="8">
    <w:name w:val="fontstyle31"/>
    <w:basedOn w:val="2"/>
    <w:qFormat/>
    <w:uiPriority w:val="0"/>
    <w:rPr>
      <w:rFonts w:ascii="MTMI" w:hAnsi="MTMI" w:eastAsia="MTMI" w:cs="MTMI"/>
      <w:i/>
      <w:color w:val="000000"/>
      <w:sz w:val="20"/>
      <w:szCs w:val="20"/>
    </w:rPr>
  </w:style>
  <w:style w:type="character" w:customStyle="1" w:styleId="9">
    <w:name w:val="fontstyle41"/>
    <w:basedOn w:val="2"/>
    <w:qFormat/>
    <w:uiPriority w:val="0"/>
    <w:rPr>
      <w:rFonts w:ascii="Times-Italic" w:hAnsi="Times-Italic" w:eastAsia="Times-Italic" w:cs="Times-Italic"/>
      <w:i/>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2016-11-29T01:31:20Z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