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rPr>
          <w:color w:val="444444"/>
          <w:sz w:val="24"/>
        </w:rPr>
        <w:t>GOAI 2026 · 赛道三（前沿探索 AI for Research）· 算法赛虚拟细胞方向</w:t>
        <w:br/>
        <w:t>残差分解 · 上下文先验 · GO 通路注意力 · control/delta 低秩重构 · 菌株遗传特征 · 化学迁移融合</w:t>
        <w:br/>
        <w:t>测试集真值自评加权总分 0.6349（全合规）</w:t>
      </w:r>
    </w:p>
    <w:p/>
    <w:p>
      <w:pPr>
        <w:pStyle w:val="Heading1"/>
      </w:pPr>
      <w:r>
        <w:t>一、项目概述</w:t>
      </w:r>
    </w:p>
    <w:p>
      <w:r>
        <w:t>本项目面向"AI 虚拟细胞（AIVC）"目标：给定酵母菌株、化合物、培养基、温度、时间等条件，预测 5243 个蛋白质的丰度变化向量。这是一个小样本（训练 5920）、高维输出（4422 维）、强外推（测试含未见化合物/菌株/双重未知组合）的回归任务。</w:t>
      </w:r>
    </w:p>
    <w:p>
      <w:r>
        <w:t>我们以"残差分解 + 上下文先验"为核心骨架，历经三个阶段演进：①v2.x 残差分解 B/S/C/T 四分支 + 对照监督 + LOO 组件监督（4 模型集成）；②v3.x 统一开放榜后引入 Morgan 指纹、ESM2 序列先验与 GO 通路注意力（v3.7 最强单模型）；③v5.x 审计重构——先完成数据泄漏审计与修复（3 处统计量越界全部改为 train-only），再验证 control/delta 低秩分离架构的边界，并落地组件级残差监督、RDKit 结构描述符、菌株 SNP 遗传距离特征。最终采用"场景自适应映射 + 自适应化学迁移融合"方案：各测试场景选用验证集口径最强模型组合（unseen 菌株场景用 0.75×v37+0.25×v5.2 集成），未见化合物用同菌株条件对齐的指纹相似度迁移补充特异响应（融合权重 α 由验证集伪新化合物确定）。</w:t>
      </w:r>
    </w:p>
    <w:p>
      <w:r>
        <w:t>验证集四场景蛋白 R² 中位数 0.690~0.870（5-seed 集成均值，std ≤ 0.004），FC PCC 0.236~0.607；测试集真值自评（官方允许自评不可训练）加权总分 0.6349——全合规历史最高。预测 Δ 显著富集于氨基酸转运、半乳糖代谢、氧化应激等已知功能模块，高效应蛋白（PMA2/CWP1/PLB2）均为文献记载的酵母胁迫响应蛋白。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研究对象与数据</w:t>
      </w:r>
    </w:p>
    <w:p>
      <w:r>
        <w:t>研究对象为酿酒酵母（Saccharomyces cerevisiae）——真核模式生物，蛋白网络架构与人类细胞高度保守，方法具备跨物种迁移潜力。数据覆盖 6 菌株、55 种化合物扰动（含 DMSO/Water 对照）、2 培养基（YNB+CSM glucose/galactose）、2 温度（30/37）、6 时间点（15~240 min）、2 质谱平台。蛋白维度 5243，过滤缺失率超过 80% 后保留 4422。</w:t>
      </w:r>
    </w:p>
    <w:p>
      <w:pPr>
        <w:pStyle w:val="Heading2"/>
      </w:pPr>
      <w:r>
        <w:t>2.2 核心挑战</w:t>
      </w:r>
    </w:p>
    <w:p>
      <w:r>
        <w:t>任务本质是小样本高维零样本外推：模型必须在训练集未见的化合物（新化学结构）、菌株（新遗传背景）及双重未知组合上给出可信的蛋白组响应预测。评测六模块中 65% 权重围绕 Δ = 处理 − 对照 的分解（M1 原始 FC 25% + M3 上下文残差 20% + M4 药物残差 20%），在四个 OOD 场景（新化合物/新菌株/双重未知/时间外推）分别评分。</w:t>
      </w:r>
    </w:p>
    <w:p>
      <w:pPr>
        <w:pStyle w:val="Heading2"/>
      </w:pPr>
      <w:r>
        <w:t>2.3 科学意义</w:t>
      </w:r>
    </w:p>
    <w:p>
      <w:r>
        <w:t>应用层面，AIVC 可在湿实验前进行大规模虚拟筛选：以 6 菌株×55 化合物×2 培养基×2 温度×6 时间点的组合空间为例，全面实验需近 8000 次独立测量；若模型在双重未知场景达到实用精度，可将需要实测的组合缩小到 10%~20%。方法层面，该任务同时包含高维输出、缺失观测、批次效应与实体级零样本泛化，比常规随机切分更接近真实科研场景。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设计理念</w:t>
      </w:r>
    </w:p>
    <w:p>
      <w:r>
        <w:t>三个核心设计原则。其一，结构对齐——模型组件与评测维度一一对应：残差分解 B（基线）/S（共享应激）/C（化合物特异残差）/T（菌株调制残差）分别对准绝对保真、上下文残差与药物残差模块，使架构本身包含对评测目标的归纳偏置。其二，信息先验——用训练集统计量（菌株均值 SVD、上下文分组均值 ctx_prior）为未见实体提供"细胞状态锚点"，是经验贝叶斯式的保守外推。其三，合规纪律——所有统计量（缺失率/均值/标准化/SVD/迁移池）仅从 train 划分计算，测试真值仅用于最终自评（官方允许"可自评不可训练"）。</w:t>
      </w:r>
    </w:p>
    <w:p>
      <w:pPr>
        <w:pStyle w:val="Heading2"/>
      </w:pPr>
      <w:r>
        <w:t>3.2 方法演进</w:t>
      </w:r>
    </w:p>
    <w:p>
      <w:r>
        <w:t>阶段一（v2.x 残差分解）：MLP 主干 + B/S/C/T 四分支 + 可见性门控（seen/unseen 调节分量贡献）+ 对照监督（751 对照样本）+ LOO 组件监督（μ_ctx/μ_drug 留一残差）。v2.9 加入菌株×化合物交互项与 Kendall 自适应损失权重，最优为 3×v2.1 集成。</w:t>
      </w:r>
    </w:p>
    <w:p>
      <w:r>
        <w:t>阶段二（v3.x 外部特征）：8/11 规则修订为统一开放榜后，引入化合物 Morgan 指纹（PubChem+RDKit）、蛋白序列 ESM2 先验、STRING PPI 与 UniProt GO 通路注意力。v3.7 的核心是 GO 通路注意力：构建 92 个高频通路的"通路→蛋白"矩阵，模型输出叠加"通路效应 @ 通路矩阵"，同一通路蛋白共享响应偏置——对 unseen 菌株场景提升 +0.013，为最强单模型。</w:t>
      </w:r>
    </w:p>
    <w:p>
      <w:r>
        <w:t>阶段三（v5.x 审计重构，8/16）：①P0 泄漏审计发现并修复 3 处统计量越界（chem_emb_init 曾用 val 真值、matched control 曾跨划分、迁移池曾含 val 对照），全部改为 train-only；②按评审路线实现 control/delta 低秩分离模型（状态模型预测匹配对照 + 低秩 U@z_delta 承载扰动），实证其单模型不如 v37 共享编码直接回归（control 分支监督弱、低秩表达受限），但作为集成成分有互补价值；③v5.1 补组件级残差监督与 10 项 RDKit 描述符（单模型 unseen 菌株 +0.089）；④v5.2 引入菌株 SNP 遗传距离特征——用 1011 项目 SNP 距离构建菌株到训练菌株的遗传距离向量，关键发现 test 新菌株 CRD 与训练菌株 CGD 遗传距离仅 0.383，遗传近的菌株响应可迁移（单模型 +0.038）。</w:t>
      </w:r>
    </w:p>
    <w:p>
      <w:pPr>
        <w:pStyle w:val="Heading2"/>
      </w:pPr>
      <w:r>
        <w:t>3.3 最终方案</w:t>
      </w:r>
    </w:p>
    <w:p>
      <w:r>
        <w:t>场景自适应映射（各场景用验证集口径最强组合）：新化合物与时间场景用 3×v2.1+v35，新菌株与双重未知场景用 0.75×v37+0.25×v5.2 集成。自适应化学迁移融合：对未见化合物，用"同菌株条件对齐 + 指纹相似度 top-k 加权"从训练池迁移 Δ，融合权重 α = 0.1 + 0.2·clamp((sim−0.1)/0.4)，形式由验证集 6 个伪新化合物敏感性扫描确定（低相似度 FCCP 0.085 必须小 α 防噪声），未用 test 真值调参。</w:t>
      </w:r>
    </w:p>
    <w:p>
      <w:pPr>
        <w:pStyle w:val="Heading2"/>
      </w:pPr>
      <w:r>
        <w:t>3.4 损失与训练</w:t>
      </w:r>
    </w:p>
    <w:p>
      <w:r>
        <w:t>分层损失：绝对丰度 MSE + 扰动 MSE + 对照 MSE + 上下文残差 corr + 药物残差 corr + 逐蛋白相关性 + 蛋白共表达图正则 + 残差头 L2 正则；全部 mask-aware。三阶段训练：阶段 A 对照模型预训练（仅 L_ctrl，40 epoch）→ 阶段 B 冻结对照训练响应模型（L_delta/L_ctx/L_drug/L_fc，60 epoch）→ 阶段 C 联合微调（control 分支 lr 1e-4 / 其余 3e-4，40 epoch）。AdamW（lr 1e-3，weight_decay 1e-4）、ReduceLROnPlateau、梯度裁剪 5.0。</w:t>
      </w:r>
    </w:p>
    <w:p>
      <w:pPr>
        <w:pStyle w:val="Heading1"/>
      </w:pPr>
      <w:r>
        <w:t>四、实验结果</w:t>
      </w:r>
    </w:p>
    <w:p>
      <w:pPr>
        <w:pStyle w:val="Heading2"/>
      </w:pPr>
      <w:r>
        <w:t>4.1 验证集四场景（5-seed 伪测试均值±std）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 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v37 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v5.2 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最终集成</w:t>
            </w:r>
          </w:p>
        </w:tc>
      </w:tr>
      <w:tr>
        <w:tc>
          <w:tcPr>
            <w:tcW w:type="dxa" w:w="1440"/>
          </w:tcPr>
          <w:p>
            <w:r>
              <w:t>val_chem_only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0.864</w:t>
            </w:r>
          </w:p>
        </w:tc>
        <w:tc>
          <w:tcPr>
            <w:tcW w:type="dxa" w:w="1440"/>
          </w:tcPr>
          <w:p>
            <w:r>
              <w:t>0.833</w:t>
            </w:r>
          </w:p>
        </w:tc>
        <w:tc>
          <w:tcPr>
            <w:tcW w:type="dxa" w:w="1440"/>
          </w:tcPr>
          <w:p>
            <w:r>
              <w:t>0.869±0.000</w:t>
            </w:r>
          </w:p>
        </w:tc>
      </w:tr>
      <w:tr>
        <w:tc>
          <w:tcPr>
            <w:tcW w:type="dxa" w:w="1440"/>
          </w:tcPr>
          <w:p>
            <w:r>
              <w:t>val_strain_only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0.672</w:t>
            </w:r>
          </w:p>
        </w:tc>
        <w:tc>
          <w:tcPr>
            <w:tcW w:type="dxa" w:w="1440"/>
          </w:tcPr>
          <w:p>
            <w:r>
              <w:t>0.618</w:t>
            </w:r>
          </w:p>
        </w:tc>
        <w:tc>
          <w:tcPr>
            <w:tcW w:type="dxa" w:w="1440"/>
          </w:tcPr>
          <w:p>
            <w:r>
              <w:t>0.690±0.002</w:t>
            </w:r>
          </w:p>
        </w:tc>
      </w:tr>
      <w:tr>
        <w:tc>
          <w:tcPr>
            <w:tcW w:type="dxa" w:w="1440"/>
          </w:tcPr>
          <w:p>
            <w:r>
              <w:t>val_both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0.706</w:t>
            </w:r>
          </w:p>
        </w:tc>
        <w:tc>
          <w:tcPr>
            <w:tcW w:type="dxa" w:w="1440"/>
          </w:tcPr>
          <w:p>
            <w:r>
              <w:t>0.762±0.001</w:t>
            </w:r>
          </w:p>
        </w:tc>
      </w:tr>
      <w:tr>
        <w:tc>
          <w:tcPr>
            <w:tcW w:type="dxa" w:w="1440"/>
          </w:tcPr>
          <w:p>
            <w:r>
              <w:t>val_time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0.826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0.831±0.001</w:t>
            </w:r>
          </w:p>
        </w:tc>
      </w:tr>
    </w:tbl>
    <w:p>
      <w:r>
        <w:t>集成 5-seed 极稳定（std ≤ 0.004，v37 主导）；v5.2 单模型在 unseen 菌株场景有 seed 波动（std 0.027~0.033），属小样本固有特性。FC PCC（集成）：0.427 / 0.355 / 0.236 / 0.607。</w:t>
      </w:r>
    </w:p>
    <w:p>
      <w:pPr>
        <w:pStyle w:val="Heading2"/>
      </w:pPr>
      <w:r>
        <w:t>4.2 测试集真值自评（最终提交 prediction_v52ens.csv）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M1:FC(25%)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M2:绝对(20%)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M3:ctx(20%)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M4:drug(20%)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M5:双盲(10%)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M6:DEP(5%)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总分</w:t>
            </w:r>
          </w:p>
        </w:tc>
      </w:tr>
      <w:tr>
        <w:tc>
          <w:tcPr>
            <w:tcW w:type="dxa" w:w="1080"/>
          </w:tcPr>
          <w:p>
            <w:r>
              <w:t>test_chem_only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0.922</w:t>
            </w:r>
          </w:p>
        </w:tc>
        <w:tc>
          <w:tcPr>
            <w:tcW w:type="dxa" w:w="1080"/>
          </w:tcPr>
          <w:p>
            <w:r>
              <w:t>0.397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0.771</w:t>
            </w:r>
          </w:p>
        </w:tc>
        <w:tc>
          <w:tcPr>
            <w:tcW w:type="dxa" w:w="1080"/>
          </w:tcPr>
          <w:p>
            <w:r>
              <w:t>0.513</w:t>
            </w:r>
          </w:p>
        </w:tc>
      </w:tr>
      <w:tr>
        <w:tc>
          <w:tcPr>
            <w:tcW w:type="dxa" w:w="1080"/>
          </w:tcPr>
          <w:p>
            <w:r>
              <w:t>test_strain_only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0.769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0.826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0.903</w:t>
            </w:r>
          </w:p>
        </w:tc>
        <w:tc>
          <w:tcPr>
            <w:tcW w:type="dxa" w:w="1080"/>
          </w:tcPr>
          <w:p>
            <w:r>
              <w:t>0.736</w:t>
            </w:r>
          </w:p>
        </w:tc>
      </w:tr>
      <w:tr>
        <w:tc>
          <w:tcPr>
            <w:tcW w:type="dxa" w:w="1080"/>
          </w:tcPr>
          <w:p>
            <w:r>
              <w:t>test_both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0.808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0.605</w:t>
            </w:r>
          </w:p>
        </w:tc>
        <w:tc>
          <w:tcPr>
            <w:tcW w:type="dxa" w:w="1080"/>
          </w:tcPr>
          <w:p>
            <w:r>
              <w:t>0.848</w:t>
            </w:r>
          </w:p>
        </w:tc>
        <w:tc>
          <w:tcPr>
            <w:tcW w:type="dxa" w:w="1080"/>
          </w:tcPr>
          <w:p>
            <w:r>
              <w:t>0.626</w:t>
            </w:r>
          </w:p>
        </w:tc>
      </w:tr>
      <w:tr>
        <w:tc>
          <w:tcPr>
            <w:tcW w:type="dxa" w:w="1080"/>
          </w:tcPr>
          <w:p>
            <w:r>
              <w:t>test_time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0.917</w:t>
            </w:r>
          </w:p>
        </w:tc>
        <w:tc>
          <w:tcPr>
            <w:tcW w:type="dxa" w:w="1080"/>
          </w:tcPr>
          <w:p>
            <w:r>
              <w:t>0.561</w:t>
            </w:r>
          </w:p>
        </w:tc>
        <w:tc>
          <w:tcPr>
            <w:tcW w:type="dxa" w:w="1080"/>
          </w:tcPr>
          <w:p>
            <w:r>
              <w:t>0.562</w:t>
            </w:r>
          </w:p>
        </w:tc>
        <w:tc>
          <w:tcPr>
            <w:tcW w:type="dxa" w:w="1080"/>
          </w:tcPr>
          <w:p>
            <w:r>
              <w:t>0.779</w:t>
            </w:r>
          </w:p>
        </w:tc>
        <w:tc>
          <w:tcPr>
            <w:tcW w:type="dxa" w:w="1080"/>
          </w:tcPr>
          <w:p>
            <w:r>
              <w:t>0.860</w:t>
            </w:r>
          </w:p>
        </w:tc>
        <w:tc>
          <w:tcPr>
            <w:tcW w:type="dxa" w:w="1080"/>
          </w:tcPr>
          <w:p>
            <w:r>
              <w:t>0.685</w:t>
            </w:r>
          </w:p>
        </w:tc>
      </w:tr>
    </w:tbl>
    <w:p>
      <w:r>
        <w:t>加权总分 = 0.6349（全合规历史最高；历史提交：migfusion 0.6340 [含审计前特征，存档]、final_5243 0.6295）。test_chem_only 经自适应迁移融合从 0.506 提升至 0.513。</w:t>
      </w:r>
    </w:p>
    <w:p>
      <w:pPr>
        <w:pStyle w:val="Heading2"/>
      </w:pPr>
      <w:r>
        <w:t>4.3 关键消融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关键改动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v2.1</w:t>
            </w:r>
          </w:p>
        </w:tc>
        <w:tc>
          <w:tcPr>
            <w:tcW w:type="dxa" w:w="1728"/>
          </w:tcPr>
          <w:p>
            <w:r>
              <w:t>残差分解+对照监督+LOO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v3.7</w:t>
            </w:r>
          </w:p>
        </w:tc>
        <w:tc>
          <w:tcPr>
            <w:tcW w:type="dxa" w:w="1728"/>
          </w:tcPr>
          <w:p>
            <w:r>
              <w:t>+GO 通路注意力</w:t>
            </w:r>
          </w:p>
        </w:tc>
        <w:tc>
          <w:tcPr>
            <w:tcW w:type="dxa" w:w="1728"/>
          </w:tcPr>
          <w:p>
            <w:r>
              <w:t>0.867</w:t>
            </w:r>
          </w:p>
        </w:tc>
        <w:tc>
          <w:tcPr>
            <w:tcW w:type="dxa" w:w="1728"/>
          </w:tcPr>
          <w:p>
            <w:r>
              <w:t>0.663</w:t>
            </w:r>
          </w:p>
        </w:tc>
        <w:tc>
          <w:tcPr>
            <w:tcW w:type="dxa" w:w="1728"/>
          </w:tcPr>
          <w:p>
            <w:r>
              <w:t>0.754</w:t>
            </w:r>
          </w:p>
        </w:tc>
      </w:tr>
      <w:tr>
        <w:tc>
          <w:tcPr>
            <w:tcW w:type="dxa" w:w="1728"/>
          </w:tcPr>
          <w:p>
            <w:r>
              <w:t>v5.1</w:t>
            </w:r>
          </w:p>
        </w:tc>
        <w:tc>
          <w:tcPr>
            <w:tcW w:type="dxa" w:w="1728"/>
          </w:tcPr>
          <w:p>
            <w:r>
              <w:t>control/delta+组件监督+RDKit desc</w:t>
            </w:r>
          </w:p>
        </w:tc>
        <w:tc>
          <w:tcPr>
            <w:tcW w:type="dxa" w:w="1728"/>
          </w:tcPr>
          <w:p>
            <w:r>
              <w:t>0.822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</w:tr>
      <w:tr>
        <w:tc>
          <w:tcPr>
            <w:tcW w:type="dxa" w:w="1728"/>
          </w:tcPr>
          <w:p>
            <w:r>
              <w:t>v5.2</w:t>
            </w:r>
          </w:p>
        </w:tc>
        <w:tc>
          <w:tcPr>
            <w:tcW w:type="dxa" w:w="1728"/>
          </w:tcPr>
          <w:p>
            <w:r>
              <w:t>+菌株 SNP 遗传距离</w:t>
            </w:r>
          </w:p>
        </w:tc>
        <w:tc>
          <w:tcPr>
            <w:tcW w:type="dxa" w:w="1728"/>
          </w:tcPr>
          <w:p>
            <w:r>
              <w:t>0.833</w:t>
            </w:r>
          </w:p>
        </w:tc>
        <w:tc>
          <w:tcPr>
            <w:tcW w:type="dxa" w:w="1728"/>
          </w:tcPr>
          <w:p>
            <w:r>
              <w:t>0.618</w:t>
            </w:r>
          </w:p>
        </w:tc>
        <w:tc>
          <w:tcPr>
            <w:tcW w:type="dxa" w:w="1728"/>
          </w:tcPr>
          <w:p>
            <w:r>
              <w:t>0.706</w:t>
            </w:r>
          </w:p>
        </w:tc>
      </w:tr>
      <w:tr>
        <w:tc>
          <w:tcPr>
            <w:tcW w:type="dxa" w:w="1728"/>
          </w:tcPr>
          <w:p>
            <w:r>
              <w:t>v5.3</w:t>
            </w:r>
          </w:p>
        </w:tc>
        <w:tc>
          <w:tcPr>
            <w:tcW w:type="dxa" w:w="1728"/>
          </w:tcPr>
          <w:p>
            <w:r>
              <w:t>可靠性门控</w:t>
            </w:r>
          </w:p>
        </w:tc>
        <w:tc>
          <w:tcPr>
            <w:tcW w:type="dxa" w:w="1728"/>
          </w:tcPr>
          <w:p>
            <w:r>
              <w:t>0.832</w:t>
            </w:r>
          </w:p>
        </w:tc>
        <w:tc>
          <w:tcPr>
            <w:tcW w:type="dxa" w:w="1728"/>
          </w:tcPr>
          <w:p>
            <w:r>
              <w:t>0.612</w:t>
            </w:r>
          </w:p>
        </w:tc>
        <w:tc>
          <w:tcPr>
            <w:tcW w:type="dxa" w:w="1728"/>
          </w:tcPr>
          <w:p>
            <w:r>
              <w:t>0.704</w:t>
            </w:r>
          </w:p>
        </w:tc>
      </w:tr>
      <w:tr>
        <w:tc>
          <w:tcPr>
            <w:tcW w:type="dxa" w:w="1728"/>
          </w:tcPr>
          <w:p>
            <w:r>
              <w:t>最终集成</w:t>
            </w:r>
          </w:p>
        </w:tc>
        <w:tc>
          <w:tcPr>
            <w:tcW w:type="dxa" w:w="1728"/>
          </w:tcPr>
          <w:p>
            <w:r>
              <w:t>0.75v37+0.25v5.2</w:t>
            </w:r>
          </w:p>
        </w:tc>
        <w:tc>
          <w:tcPr>
            <w:tcW w:type="dxa" w:w="1728"/>
          </w:tcPr>
          <w:p>
            <w:r>
              <w:t>0.870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0.761</w:t>
            </w:r>
          </w:p>
        </w:tc>
      </w:tr>
    </w:tbl>
    <w:p>
      <w:r>
        <w:t>三项重要负面结论（避免他人重复踩坑）：①显式 control/delta 分离单模型不如共享编码直接回归（control 分支监督弱 + 低秩 Δ 表达受限），但作集成成分有互补价值；②可靠性门控（相似度/支持数驱动）实测无收益，门控不是当前瓶颈；③退火实体 Dropout 与排序损失均无效（v2.8/v4.3/v4.7）。</w:t>
      </w:r>
    </w:p>
    <w:p>
      <w:pPr>
        <w:pStyle w:val="Heading2"/>
      </w:pPr>
      <w:r>
        <w:t>4.4 通路富集验证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p&lt;0.05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p&lt;0.01</w:t>
            </w:r>
          </w:p>
        </w:tc>
        <w:tc>
          <w:tcPr>
            <w:tcW w:type="dxa" w:w="1728"/>
          </w:tcPr>
          <w:p>
            <w:r>
              <w:t>p&lt;0.01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p&lt;0.05</w:t>
            </w:r>
          </w:p>
        </w:tc>
      </w:tr>
    </w:tbl>
    <w:p>
      <w:r>
        <w:t>氨基酸转运在所有场景显著富集（细胞对扰动最即时的响应是调整物质跨膜运输）；半乳糖代谢直接对应赛题使用的 YNB+CSM galactose 培养基；Top3 高效应蛋白 PMA2（质膜质子泵）/CWP1（细胞壁）/PLB2（磷脂酶）均为文献记载的胁迫响应蛋白——模型未接触任何文献知识，仅从数据中捕捉到这些响应模式，是学到真实生物学规律的有力证据。</w:t>
      </w:r>
    </w:p>
    <w:p>
      <w:pPr>
        <w:pStyle w:val="Heading1"/>
      </w:pPr>
      <w:r>
        <w:t>五、复现与开放计划</w:t>
      </w:r>
    </w:p>
    <w:p>
      <w:r>
        <w:t>环境：python&gt;=3.10、torch&gt;=2.12.0+cu126、numpy/pandas/scipy/scikit-learn/tqdm/rdkit/python-docx。随机种子（1/2/42/43/44）与关键超参硬编码。全代码、全权重开源（GitHub）。</w:t>
      </w:r>
    </w:p>
    <w:p>
      <w:r>
        <w:t>复现流程：01 数据预处理 → 02 特征工程（泄漏修复版）→ 12 Morgan/ESM2 → 15 GO → 17 PPI → _fix_test_morgan → _features_desc（RDKit）→ _strain_genome_feats（SNP 遗传）→ 训练 3×v2.1 / v35 / v37 / v5.2 → 07n 场景自适应提交 → 08c 自适应迁移融合 → _test_score 自评。详见 README.md。</w:t>
      </w:r>
    </w:p>
    <w:p>
      <w:pPr>
        <w:pStyle w:val="Heading2"/>
      </w:pPr>
      <w:r>
        <w:t>合规与外部数据披露</w:t>
      </w:r>
    </w:p>
    <w:p>
      <w:r>
        <w:t>· 仅 train 划分用于训练与统计量估计；测试真值仅用于最终自评（官方允许"可自评不可训练"）；</w:t>
        <w:br/>
        <w:t>· 8/16 主动泄漏审计：修复 3 处统计量越界（chem_emb_init 用 val 真值 / matched control 跨划分 / 迁移池含 val 对照），全部改为 train-only，审计脚本开源；</w:t>
        <w:br/>
        <w:t>· 外部资源（8/11 统一开放榜）全部披露来源：PubChem（Morgan/描述符，RDKit 2026.03.5）、ESM2 facebook/esm2_t6_8M_UR50D（Meta）、UniProt GO 注释（559292）、STRING v12（4932）、1011 酵母基因组项目（SNP 距离）；</w:t>
        <w:br/>
        <w:t>· 提交文件：prediction_v52ens.csv，4454×5243，log2 尺度，无缺失/无穷值；</w:t>
        <w:br/>
        <w:t>· 代码许可 MIT，模型权重仅限本次竞赛使用。</w:t>
      </w:r>
    </w:p>
    <w:p>
      <w:pPr>
        <w:pStyle w:val="Heading1"/>
      </w:pPr>
      <w:r>
        <w:t>六、局限与展望</w:t>
      </w:r>
    </w:p>
    <w:p>
      <w:r>
        <w:t>局限：①未见实体的"特异响应"本质上受数据支撑限制，化学结构→蛋白组响应的可迁移信号偏弱（同菌株迁移 PCC 平均 0.127），双重未知场景迁移信号消失；②菌株数量仅 6，深度学习菌株编码器易过拟合，遗传距离特征已是最优折中；③绝对丰度 M2 与响应形状 M1/M3/M4 存在权衡，场景自适应已按场景取最优。</w:t>
      </w:r>
    </w:p>
    <w:p>
      <w:r>
        <w:t>展望：①菌株侧功能级变异注释（通路突变负担，需原始 SNP 位点数据）可进一步增强遗传外推；②蛋白输出模块化低秩（通路→蛋白解码）与不确定性估计（conformal/MC dropout）可提升虚拟筛选的可信度；③时间动力学建模可显式刻画响应的时间演化；④本框架（残差分解 + 上下文先验 + 外部知识 + 场景自适应）可直接迁移至人类细胞系扰动筛选、药物响应预测等更复杂体系。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