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虚拟酵母扰动响应预测：从残差分解到实体外推</w:t>
      </w:r>
    </w:p>
    <w:p>
      <w:pPr>
        <w:jc w:val="center"/>
      </w:pPr>
      <w:r>
        <w:rPr>
          <w:color w:val="444444"/>
          <w:sz w:val="26"/>
        </w:rPr>
        <w:t>GOAI 2026 · 赛道三（前沿探索 AI for Research）· 算法赛题 · 虚拟细胞方向</w:t>
        <w:br/>
        <w:t>初赛方案说明文档与技术路线概述</w:t>
      </w:r>
    </w:p>
    <w:p>
      <w:r>
        <w:rPr>
          <w:b w:val="0"/>
          <w:i w:val="0"/>
          <w:sz w:val="12"/>
        </w:rPr>
      </w:r>
    </w:p>
    <w:p>
      <w:pPr>
        <w:pStyle w:val="Heading1"/>
      </w:pPr>
      <w:r>
        <w:t>一、项目概述</w:t>
      </w:r>
    </w:p>
    <w:p>
      <w:pPr>
        <w:pStyle w:val="Heading2"/>
      </w:pPr>
      <w:r>
        <w:t>1.1 项目名称</w:t>
      </w:r>
    </w:p>
    <w:p>
      <w:r>
        <w:rPr>
          <w:b w:val="0"/>
          <w:i w:val="0"/>
          <w:sz w:val="22"/>
        </w:rPr>
        <w:t>虚拟酵母扰动响应预测：条件响应分解与可迁移实体特征的蛋白质组建模</w:t>
      </w:r>
    </w:p>
    <w:p>
      <w:pPr>
        <w:pStyle w:val="Heading2"/>
      </w:pPr>
      <w:r>
        <w:t>1.2 参赛方向</w:t>
      </w:r>
    </w:p>
    <w:p>
      <w:r>
        <w:rPr>
          <w:b w:val="0"/>
          <w:i w:val="0"/>
          <w:sz w:val="22"/>
        </w:rPr>
        <w:t>算法赛题 · 方向一：虚拟细胞（虚拟酵母扰动响应预测）</w:t>
      </w:r>
    </w:p>
    <w:p>
      <w:pPr>
        <w:pStyle w:val="Heading2"/>
      </w:pPr>
      <w:r>
        <w:t>1.3 方案概述</w:t>
      </w:r>
    </w:p>
    <w:p>
      <w:r>
        <w:rPr>
          <w:b w:val="0"/>
          <w:i w:val="0"/>
          <w:sz w:val="22"/>
        </w:rPr>
        <w:t>本方案面向酿酒酵母扰动蛋白质组预测任务：给定菌株、化合物、培养基、温度、时间与测量上下文，预测完整 log2 蛋白质组响应向量。这是一个典型的小样本（训练约 5900 样本）、高维（4422 个可评蛋白）、强外推（测试含未见化合物/菌株/双重未知组合）的回归问题。</w:t>
      </w:r>
    </w:p>
    <w:p>
      <w:r>
        <w:rPr>
          <w:b w:val="0"/>
          <w:i w:val="0"/>
          <w:sz w:val="22"/>
        </w:rPr>
        <w:t>我们把任务的本质理解为"状态恢复 + 扰动外推"两个子问题，并据此确立方法骨架：预测被显式拆分为状态模型（匹配对照丰度）与扰动模型（Δ），扰动部分用低秩子空间表达；对未见实体不依赖 ID 记忆，而依赖可迁移的结构（Morgan 指纹、RDKit 描述符）、序列（ESM2）、功能（GO 通路）与遗传（SNP 距离）特征。</w:t>
      </w:r>
    </w:p>
    <w:p>
      <w:r>
        <w:rPr>
          <w:b w:val="0"/>
          <w:i w:val="0"/>
          <w:sz w:val="22"/>
        </w:rPr>
        <w:t>方案历经三个阶段的演进：v2.x 建立"残差分解 + 对照监督 + 组件监督"的骨架；v3.x 引入外部结构化先验（GO 通路注意力成为最强单模型组件）；v5.x 完成全链路数据泄漏审计与修复、验证 control/delta 分离架构的边界、并落地组件级监督、RDKit 结构描述符与菌株遗传距离特征。每一阶段均有明确的动机、验证与结论（含负面结论），完整的演进过程见第四章；后续计划见第三章 3.3 节。</w:t>
      </w:r>
    </w:p>
    <w:p>
      <w:pPr>
        <w:pStyle w:val="Heading1"/>
      </w:pPr>
      <w:r>
        <w:t>二、科学问题理解</w:t>
      </w:r>
    </w:p>
    <w:p>
      <w:pPr>
        <w:pStyle w:val="Heading2"/>
      </w:pPr>
      <w:r>
        <w:t>2.1 科学问题与研究对象</w:t>
      </w:r>
    </w:p>
    <w:p>
      <w:r>
        <w:rPr>
          <w:b w:val="0"/>
          <w:i w:val="0"/>
          <w:sz w:val="22"/>
        </w:rPr>
        <w:t>核心科学问题：在有限的扰动蛋白质组数据下，能否构建一个泛化到未知化学扰动与未知遗传背景的虚拟酵母模型——准确预测完整蛋白质组响应，并识别关键差异表达蛋白、药物响应模式与潜在调控机制。这一能力是"AI 预测 → 湿实验验证"闭环（菌株定向改造、药物响应预筛）的关键前置。</w:t>
      </w:r>
    </w:p>
    <w:p>
      <w:r>
        <w:rPr>
          <w:b w:val="0"/>
          <w:i w:val="0"/>
          <w:sz w:val="22"/>
        </w:rPr>
        <w:t>官方评测把泛化能力拆为三类核心场景：S1 已见菌株 + 未见化合物（新扰动外推）、S2 未见菌株 + 已见化合物（新遗传背景外推）、S3 双重未知组合，另含时间外推；六模块加权中约 65% 的权重围绕"处理 − 对照"的扰动响应 Δ（匹配对照原始 FC 25%、上下文均值残差 20%、药物均值残差 20%）。这意味着模型的真正考验不是拟合绝对丰度，而是刻画"这个化合物在这个菌株上引发了什么独特变化"。</w:t>
      </w:r>
    </w:p>
    <w:p>
      <w:r>
        <w:rPr>
          <w:b w:val="0"/>
          <w:i w:val="0"/>
          <w:sz w:val="22"/>
        </w:rPr>
        <w:t>从数据出发，任务有三个本质难点：（1）小样本高维——数千样本对数千蛋白，直接回归极易过拟合到"恢复群体平均状态"而丢失个体扰动信号，因此必须对任务做结构分解；（2）实体外推——未见菌株/化合物没有可学的 ID 嵌入，只能依赖可迁移特征（结构、序列、遗传距离）或上下文统计先验，而评测最难的正是未见菌株场景；（3）测量上下文混杂——数据来源、仪器、板号等测量变量与生物条件混叠，模型需吸收测量变异而不被其误导。</w:t>
      </w:r>
    </w:p>
    <w:p>
      <w:pPr>
        <w:pStyle w:val="Heading2"/>
      </w:pPr>
      <w:r>
        <w:t>2.2 科学意义</w:t>
      </w:r>
    </w:p>
    <w:p>
      <w:r>
        <w:rPr>
          <w:b w:val="0"/>
          <w:i w:val="0"/>
          <w:sz w:val="22"/>
        </w:rPr>
        <w:t>模型的科学意义体现在三处：一是为未见化合物/菌株的蛋白质组响应提供可外推的定量预测（初步实验显示预测 Δ 与真实差异表达显著相关，且富集到已知生物学通路）；二是把"遗传近的菌株响应可迁移"这一生物学直觉显式编码进模型（初步发现测试集新菌株 CRD 与训练菌株 CGD 的 SNP 距离仅 0.383，遗传近邻成为外推的关键信号）；三是通过严格的泄漏审计与消融，沉淀该数据尺度下的方法边界——哪些组件有效、哪些无效、为什么，对社区构建同类小样本高维外推任务具有参考价值。</w:t>
      </w:r>
    </w:p>
    <w:p>
      <w:pPr>
        <w:pStyle w:val="Heading1"/>
      </w:pPr>
      <w:r>
        <w:t>三、技术方案与预期方法路线</w:t>
      </w:r>
    </w:p>
    <w:p>
      <w:pPr>
        <w:pStyle w:val="Heading2"/>
      </w:pPr>
      <w:r>
        <w:t>3.1 总体技术方案</w:t>
      </w:r>
    </w:p>
    <w:p>
      <w:r>
        <w:rPr>
          <w:b w:val="0"/>
          <w:i w:val="0"/>
          <w:sz w:val="22"/>
        </w:rPr>
        <w:t>总体形式：ŷ(s,c,k) = ŷ_ctrl(s,k) + Δ̂(s,c,k)，其中 ŷ_ctrl 为匹配对照预测（状态模型），Δ̂ 为扰动响应（扰动模型），k 为培养基/温度/时间/平台上下文。扰动部分采用低秩表达：Δ̂ = U z + r，U 为训练集 Δ 的 SVD 响应基（方差解释约 48%），z 为低维扰动状态，r 为带强正则的蛋白级残差。</w:t>
      </w:r>
    </w:p>
    <w:p>
      <w:pPr>
        <w:pStyle w:val="ListBullet"/>
      </w:pPr>
      <w:r>
        <w:t>状态模型（control）：仅用非化合物信息（菌株、培养基、温度、时间、平台/板/来源、上下文先验）预测匹配对照丰度。时间编码采用 log2 + sin/cos 周期项。三阶段训练：先预训练状态模型，再固定它训练扰动模型，最后联合微调（分组学习率，control 1e-4 / response 3e-4）。</w:t>
      </w:r>
    </w:p>
    <w:p>
      <w:pPr>
        <w:pStyle w:val="ListBullet"/>
      </w:pPr>
      <w:r>
        <w:t>扰动模型（response）：菌株、化合物（Morgan 指纹 + RDKit 描述符或拼接 PCA 表示）、上下文编码 → 低维状态 z → 低秩输出 Δ̂ = U z + r，叠加 GO 通路效应与 ESM2 序列先验；v5.7 起加入菌株×化合物/化合物×上下文/菌株×上下文的交互编码。</w:t>
      </w:r>
    </w:p>
    <w:p>
      <w:pPr>
        <w:pStyle w:val="ListBullet"/>
      </w:pPr>
      <w:r>
        <w:t>上下文先验 ctx_prior：菌株×培养基×温度×时间分组均值作为蛋白空间先验（train-only），为未见菌株提供"细胞状态锚点"，是经验贝叶斯式的保守外推。</w:t>
      </w:r>
    </w:p>
    <w:p>
      <w:pPr>
        <w:pStyle w:val="ListBullet"/>
      </w:pPr>
      <w:r>
        <w:t>菌株遗传特征：由 1011 酵母菌株 SNP 距离矩阵构建"到训练菌株的遗传距离向量"，使未见菌株可借遗传近邻迁移响应（CRD–CGD 距离 0.383）。</w:t>
      </w:r>
    </w:p>
    <w:p>
      <w:pPr>
        <w:pStyle w:val="ListBullet"/>
      </w:pPr>
      <w:r>
        <w:t>结构化先验：GO 通路注意力（92 个高频通路，同一通路蛋白共享响应偏置）与 ESM2 蛋白序列先验，作为功能层面的软约束。</w:t>
      </w:r>
    </w:p>
    <w:p>
      <w:r>
        <w:rPr>
          <w:b w:val="0"/>
          <w:i w:val="0"/>
          <w:sz w:val="22"/>
        </w:rPr>
        <w:t>损失函数采用分层组合：绝对丰度 MSE、Δ 监督 MSE、FC 相关损失（对齐 Δ 预测与 Δ 真值）、蛋白谱相关损失、GO 通路图正则、留一组件残差监督（Δ 对齐去掉自身后的 μ_ctx/μ_drug 残差）、残差头 L2 正则，以及可选的 L_rank 方向损失（BCE，v5.6 验证持平）。对照匹配采用 5 级回退（精确 → 同菌株/培养基/温度/时间 → 同菌株/培养基/温度 → 同菌株/培养基 → 全局），并将 control_quality 作为 Δ 监督的样本权重（v5.7，覆盖从 79% 提升到 100%）。</w:t>
      </w:r>
    </w:p>
    <w:p>
      <w:r>
        <w:rPr>
          <w:b w:val="0"/>
          <w:i w:val="0"/>
          <w:sz w:val="22"/>
        </w:rPr>
        <w:t>门控设计经历了多次迭代：v2.x 的 seen/unseen 硬门控 → v5.3 相似度/支持数驱动的连续门控（负面）→ v5.6 θ 参数化可靠性门控（持平）。三轮实验一致表明：在当前数据尺度下门控形式并非性能瓶颈，这一负面结论本身是有价值的边界界定。</w:t>
      </w:r>
    </w:p>
    <w:p>
      <w:pPr>
        <w:pStyle w:val="Heading2"/>
      </w:pPr>
      <w:r>
        <w:t>3.2 关键设计动机</w:t>
      </w:r>
    </w:p>
    <w:p>
      <w:r>
        <w:rPr>
          <w:b w:val="0"/>
          <w:i w:val="0"/>
          <w:sz w:val="22"/>
        </w:rPr>
        <w:t>三个设计决策源于对评测与数据的理解：（1）拆分为状态 + 扰动，是因为 65% 的评分权重围绕 Δ，直接回归绝对丰度会稀释扰动信号；（2）低秩表达，是因为 4422 维输出头在小样本下极易过拟合，而 Δ 的共变结构（SVD 方差48%）足以承载主要扰动模式，残差头用强正则控制；（3）可迁移特征优先于 ID 记忆，是因为未见实体无法学习 ID 嵌入，而结构/序列/遗传特征在实体间共享，是外推的唯一信息源。</w:t>
      </w:r>
    </w:p>
    <w:p>
      <w:pPr>
        <w:pStyle w:val="Heading2"/>
      </w:pPr>
      <w:r>
        <w:t>3.3 预期方法路线（后续计划）</w:t>
      </w:r>
    </w:p>
    <w:p>
      <w:r>
        <w:rPr>
          <w:b/>
          <w:i w:val="0"/>
          <w:sz w:val="22"/>
        </w:rPr>
        <w:t>初赛阶段以方案设计与初步验证为主；以下为后续计划按优先级排列的路线。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优先级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方向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具体内容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预期收益</w:t>
            </w:r>
          </w:p>
        </w:tc>
      </w:tr>
      <w:tr>
        <w:tc>
          <w:tcPr>
            <w:tcW w:type="dxa" w:w="2160"/>
          </w:tcPr>
          <w:p>
            <w:r>
              <w:t>P1</w:t>
            </w:r>
          </w:p>
        </w:tc>
        <w:tc>
          <w:tcPr>
            <w:tcW w:type="dxa" w:w="2160"/>
          </w:tcPr>
          <w:p>
            <w:r>
              <w:t>leave-entity-out episodic training</w:t>
            </w:r>
          </w:p>
        </w:tc>
        <w:tc>
          <w:tcPr>
            <w:tcW w:type="dxa" w:w="2160"/>
          </w:tcPr>
          <w:p>
            <w:r>
              <w:t>在训练中随机留出化合物/菌株实体，把其样本按"未见"处理并加权扰动损失，使训练目标直接对应 S1/S2/S3。初赛已实现并启动初版实验（未见提升，原因可能是同批双状态折中与β 设置），复赛将按"episode 内实体整体留出 + β 网格"重做</w:t>
            </w:r>
          </w:p>
        </w:tc>
        <w:tc>
          <w:tcPr>
            <w:tcW w:type="dxa" w:w="2160"/>
          </w:tcPr>
          <w:p>
            <w:r>
              <w:t>直接优化外推目标，可能提升 S2/S3</w:t>
            </w:r>
          </w:p>
        </w:tc>
      </w:tr>
      <w:tr>
        <w:tc>
          <w:tcPr>
            <w:tcW w:type="dxa" w:w="2160"/>
          </w:tcPr>
          <w:p>
            <w:r>
              <w:t>P1</w:t>
            </w:r>
          </w:p>
        </w:tc>
        <w:tc>
          <w:tcPr>
            <w:tcW w:type="dxa" w:w="2160"/>
          </w:tcPr>
          <w:p>
            <w:r>
              <w:t>自适应化学迁移校准</w:t>
            </w:r>
          </w:p>
        </w:tc>
        <w:tc>
          <w:tcPr>
            <w:tcW w:type="dxa" w:w="2160"/>
          </w:tcPr>
          <w:p>
            <w:r>
              <w:t>把融合系数 α 从"相似度分段"升级为可学习校准器（输入：相似度、支持数、上下文匹配、不确定性），并加入"响应谱相似性迁移"分支；top-k 网格已表明 k=5~10、α 高值更优</w:t>
            </w:r>
          </w:p>
        </w:tc>
        <w:tc>
          <w:tcPr>
            <w:tcW w:type="dxa" w:w="2160"/>
          </w:tcPr>
          <w:p>
            <w:r>
              <w:t>新化合物场景更稳健</w:t>
            </w:r>
          </w:p>
        </w:tc>
      </w:tr>
      <w:tr>
        <w:tc>
          <w:tcPr>
            <w:tcW w:type="dxa" w:w="2160"/>
          </w:tcPr>
          <w:p>
            <w:r>
              <w:t>P1</w:t>
            </w:r>
          </w:p>
        </w:tc>
        <w:tc>
          <w:tcPr>
            <w:tcW w:type="dxa" w:w="2160"/>
          </w:tcPr>
          <w:p>
            <w:r>
              <w:t>菌株功能聚合特征</w:t>
            </w:r>
          </w:p>
        </w:tc>
        <w:tc>
          <w:tcPr>
            <w:tcW w:type="dxa" w:w="2160"/>
          </w:tcPr>
          <w:p>
            <w:r>
              <w:t>将拷贝数/功能注释映射到通路层面（pathway burden、TF target score），配合现有 SNP 距离核；受"仅有距离矩阵、无原始位点"数据限制，将优先利用官方与公开的菌株注释资源</w:t>
            </w:r>
          </w:p>
        </w:tc>
        <w:tc>
          <w:tcPr>
            <w:tcW w:type="dxa" w:w="2160"/>
          </w:tcPr>
          <w:p>
            <w:r>
              <w:t>进一步增强 S2 外推</w:t>
            </w:r>
          </w:p>
        </w:tc>
      </w:tr>
      <w:tr>
        <w:tc>
          <w:tcPr>
            <w:tcW w:type="dxa" w:w="2160"/>
          </w:tcPr>
          <w:p>
            <w:r>
              <w:t>P2</w:t>
            </w:r>
          </w:p>
        </w:tc>
        <w:tc>
          <w:tcPr>
            <w:tcW w:type="dxa" w:w="2160"/>
          </w:tcPr>
          <w:p>
            <w:r>
              <w:t>蛋白模块化输出</w:t>
            </w:r>
          </w:p>
        </w:tc>
        <w:tc>
          <w:tcPr>
            <w:tcW w:type="dxa" w:w="2160"/>
          </w:tcPr>
          <w:p>
            <w:r>
              <w:t>将 4422 维输出改为"通路/模块状态 → 蛋白残差"两层结构（GO 模块或数据驱动模块），替代当前低秩 + 独立残差头的组合</w:t>
            </w:r>
          </w:p>
        </w:tc>
        <w:tc>
          <w:tcPr>
            <w:tcW w:type="dxa" w:w="2160"/>
          </w:tcPr>
          <w:p>
            <w:r>
              <w:t>提升蛋白谱一致性与可解释性</w:t>
            </w:r>
          </w:p>
        </w:tc>
      </w:tr>
      <w:tr>
        <w:tc>
          <w:tcPr>
            <w:tcW w:type="dxa" w:w="2160"/>
          </w:tcPr>
          <w:p>
            <w:r>
              <w:t>P2</w:t>
            </w:r>
          </w:p>
        </w:tc>
        <w:tc>
          <w:tcPr>
            <w:tcW w:type="dxa" w:w="2160"/>
          </w:tcPr>
          <w:p>
            <w:r>
              <w:t>不确定性估计</w:t>
            </w:r>
          </w:p>
        </w:tc>
        <w:tc>
          <w:tcPr>
            <w:tcW w:type="dxa" w:w="2160"/>
          </w:tcPr>
          <w:p>
            <w:r>
              <w:t>引入深度集成 / MC-dropout / 距离感知不确定性，输出 ŷ ± σ，支持虚拟筛选中的"哪些预测可信"判断</w:t>
            </w:r>
          </w:p>
        </w:tc>
        <w:tc>
          <w:tcPr>
            <w:tcW w:type="dxa" w:w="2160"/>
          </w:tcPr>
          <w:p>
            <w:r>
              <w:t>科学价值与报告严谨性</w:t>
            </w:r>
          </w:p>
        </w:tc>
      </w:tr>
      <w:tr>
        <w:tc>
          <w:tcPr>
            <w:tcW w:type="dxa" w:w="2160"/>
          </w:tcPr>
          <w:p>
            <w:r>
              <w:t>P2</w:t>
            </w:r>
          </w:p>
        </w:tc>
        <w:tc>
          <w:tcPr>
            <w:tcW w:type="dxa" w:w="2160"/>
          </w:tcPr>
          <w:p>
            <w:r>
              <w:t>时间动力学建模</w:t>
            </w:r>
          </w:p>
        </w:tc>
        <w:tc>
          <w:tcPr>
            <w:tcW w:type="dxa" w:w="2160"/>
          </w:tcPr>
          <w:p>
            <w:r>
              <w:t>对时间外推场景引入显式动力学项（如时间序列模块或连续时间编码增强），当前时间外推已较好（val_time R² 0.83），作为后续增强</w:t>
            </w:r>
          </w:p>
        </w:tc>
        <w:tc>
          <w:tcPr>
            <w:tcW w:type="dxa" w:w="2160"/>
          </w:tcPr>
          <w:p>
            <w:r>
              <w:t>时间场景进一步稳健</w:t>
            </w:r>
          </w:p>
        </w:tc>
      </w:tr>
    </w:tbl>
    <w:p/>
    <w:p>
      <w:pPr>
        <w:pStyle w:val="Heading2"/>
      </w:pPr>
      <w:r>
        <w:t>3.4 数据来源、依赖工具与运行流程</w:t>
      </w:r>
    </w:p>
    <w:p>
      <w:r>
        <w:rPr>
          <w:b w:val="0"/>
          <w:i w:val="0"/>
          <w:sz w:val="22"/>
        </w:rPr>
        <w:t>数据来源：官方 train_val 与 test（2026-07-15 发布版），仅 train 划分用于训练与全部统计量估计；外部公开资源包括 UniProt GO 注释、ESM2 蛋白序列嵌入、STRING 蛋白互作、1011 酵母菌株 SNP 距离矩阵、PubChem 化合物 SMILES。</w:t>
      </w:r>
    </w:p>
    <w:p>
      <w:r>
        <w:rPr>
          <w:b w:val="0"/>
          <w:i w:val="0"/>
          <w:sz w:val="22"/>
        </w:rPr>
        <w:t>依赖工具：Python 3.9 / PyTorch（CUDA）/ scikit-learn（SVD、PCA）/ RDKit（指纹与描述符）/ pandas / numpy。运行流程：数据预处理 → 特征构建 → 三阶段训练（v2.1/v3.5/v3.7/v5.x）→ 四场景评估（5 个随机种子）→ 提交文件生成。</w:t>
      </w:r>
    </w:p>
    <w:p>
      <w:pPr>
        <w:pStyle w:val="Heading1"/>
      </w:pPr>
      <w:r>
        <w:t>四、阶段性实验结果或可行性验证</w:t>
      </w:r>
    </w:p>
    <w:p>
      <w:r>
        <w:rPr>
          <w:b w:val="0"/>
          <w:i/>
          <w:sz w:val="22"/>
        </w:rPr>
        <w:t>本节按时间顺序完整记录方法演进的动机、做法、结果与结论。所有统计量（缺失率、均值、标准化、SVD、迁移池、对照匹配）均仅从 train 划分计算；验证集为官方划分的四类外推场景（val_chem_only / val_strain_only / val_both / val_time）。</w:t>
      </w:r>
    </w:p>
    <w:p>
      <w:pPr>
        <w:pStyle w:val="Heading2"/>
      </w:pPr>
      <w:r>
        <w:t>4.1 v2.x：残差分解骨架</w:t>
      </w:r>
    </w:p>
    <w:p>
      <w:r>
        <w:rPr>
          <w:b w:val="0"/>
          <w:i w:val="0"/>
          <w:sz w:val="22"/>
        </w:rPr>
        <w:t>动机：评测大量基于 Δ，直接预测绝对丰度会掩盖扰动信号。做法：MLP 主干 + B/S/C/T 四分支残差分解（基线/共享应激/化合物特异/菌株调制）+ 可见性门控 + 对照监督（751 对照样本）+ 留一组件监督（μ_ctx/μ_drug 残差）；v2.9 加入菌株×化合物交互项。结果：val 四场景蛋白 R² 中位数约 0.66~0.88，3×v2.1 集成最优。结论：残差分解使架构携带对评测目标的归纳偏置，"先预测状态、再刻画扰动"的方向被验证。</w:t>
      </w:r>
    </w:p>
    <w:p>
      <w:pPr>
        <w:pStyle w:val="Heading2"/>
      </w:pPr>
      <w:r>
        <w:t>4.2 v3.x：外部结构化先验</w:t>
      </w:r>
    </w:p>
    <w:p>
      <w:r>
        <w:rPr>
          <w:b w:val="0"/>
          <w:i w:val="0"/>
          <w:sz w:val="22"/>
        </w:rPr>
        <w:t>动机：化合物/菌株 ID 嵌入无法外推，需要可迁移的结构与功能特征。做法：引入 Morgan 指纹、ESM2 蛋白序列先验、STRING 蛋白互作图、UniProt GO 通路注意力（92 个高频通路，同一通路蛋白共享响应偏置）。结果：v3.7（GO 通路注意力）成为最强单模型，对未见菌株场景 +0.013；同时记录负面结论：大模型（v3.8）过拟合、Dropout 反而降低效果、原始 SNP/CNV 直接接入无效。结论：功能层面先验（GO）对高维小样本外推有效，但"堆模块"不是出路，结构设计才是。</w:t>
      </w:r>
    </w:p>
    <w:p>
      <w:pPr>
        <w:pStyle w:val="Heading2"/>
      </w:pPr>
      <w:r>
        <w:t>4.3 v5.x：泄漏审计与重构</w:t>
      </w:r>
    </w:p>
    <w:p>
      <w:pPr>
        <w:pStyle w:val="ListBullet"/>
      </w:pPr>
      <w:r>
        <w:t>P0 泄漏审计（v5.0 前置）：发现并修复 3 处统计量越界——chem_emb_init 曾用 val 真值（6 个 val-only 化合物的初始特征直接编码了其真实平均响应）、matched control 曾跨划分（12 个训练样本对照来自 val）、迁移池曾含 val 对照。全部改为 train-only，确保后续所有结论可信。</w:t>
      </w:r>
    </w:p>
    <w:p>
      <w:pPr>
        <w:pStyle w:val="ListBullet"/>
      </w:pPr>
      <w:r>
        <w:t>control/delta 低秩分离（v5.0）：按评审路线将模型拆为状态模型 + 扰动模型（U@z_delta）。实证结论：分离单模型（0.810/0.491/0.581/0.776）弱于 v37 共享编码直接回归（0.864/0.672/0.754/0.826）——说明在该数据上"共享编码 + 直接回归"更强；但 v5.0 作为集成成分有互补价值（0.8v37+0.2v50 集成 unseen 菌株 +0.010）。</w:t>
      </w:r>
    </w:p>
    <w:p>
      <w:pPr>
        <w:pStyle w:val="ListBullet"/>
      </w:pPr>
      <w:r>
        <w:t>组件级监督 + RDKit 描述符（v5.1）：补留一 μ_ctx/μ_drug 残差监督 + 10 项结构描述符，单模型 strain +0.089、both +0.094（0.822/0.580/0.675/0.777）——组件监督对未见菌株的残差学习显著有效。</w:t>
      </w:r>
    </w:p>
    <w:p>
      <w:pPr>
        <w:pStyle w:val="ListBullet"/>
      </w:pPr>
      <w:r>
        <w:t>菌株遗传特征（v5.2）：1011 酵母 SNP 距离矩阵 → 菌株到训练菌株的遗传距离向量。关键生物学信号：测试新菌株 CRD 与训练菌株 CGD 距离仅 0.383。单模型 strain +0.038、both +0.031（0.833/0.618/0.706/0.782）。</w:t>
      </w:r>
    </w:p>
    <w:p>
      <w:pPr>
        <w:pStyle w:val="ListBullet"/>
      </w:pPr>
      <w:r>
        <w:t>可靠性门控（v5.3）：相似度/支持数驱动的连续门控替代硬门控 → 负面（0.832/0.612/0.704/0.785），与 v4.9 结论一致，门控非瓶颈。</w:t>
      </w:r>
    </w:p>
    <w:p>
      <w:pPr>
        <w:pStyle w:val="ListBullet"/>
      </w:pPr>
      <w:r>
        <w:t>训练配置修正（v5.4）：weight_decay 1e-4、阶段 C 分组学习率、残差头 L2 正则 → 持平（0.834/0.613/0.704/0.780），配置参数不损害性能。</w:t>
      </w:r>
    </w:p>
    <w:p>
      <w:pPr>
        <w:pStyle w:val="ListBullet"/>
      </w:pPr>
      <w:r>
        <w:t>θ 参数化门控 + L_rank 方向损失（v5.6）：g_c=σ(θ0+θ1·seen+θ2·sim+θ3·log1p(n)) 可学习门控 + BCE 方向损失 → 持平（0.832/0.617/0.705/0.781），再次确认门控与排序非瓶颈。</w:t>
      </w:r>
    </w:p>
    <w:p>
      <w:pPr>
        <w:pStyle w:val="ListBullet"/>
      </w:pPr>
      <w:r>
        <w:t>对照回退 + quality 加权 + 交互编码（v5.7）：对照匹配 5 级回退（覆盖 79%→100%，质量均值 0.836）+ control_quality 样本加权 + 菌株×化合物/上下文交互编码 → 持平（0.832/0.616/0.705/0.769），但数据利用率与架构完整性提升。</w:t>
      </w:r>
    </w:p>
    <w:p>
      <w:pPr>
        <w:pStyle w:val="ListBullet"/>
      </w:pPr>
      <w:r>
        <w:t>Morgan+desc 拼接 PCA-32（v5.8）：2048 指纹 + 10 描述符拼接 → PCA(32, whiten)（方差 96.3%），替换独立 morgan64 + desc 投影 → 持平（0.833/0.614/0.704/0.773）。</w:t>
      </w:r>
    </w:p>
    <w:p>
      <w:pPr>
        <w:pStyle w:val="ListBullet"/>
      </w:pPr>
      <w:r>
        <w:t>episodic training 初探：leave-entity-out 训练目标直接对应 S1/S2/S3 → 初版未见提升（阶段 B 中期 0.783/0.562/0.672/0.758，低于 v5.2 同期），可能源于同批双状态折中与β 设置，列为 P1 后续方向而非已定论。</w:t>
      </w:r>
    </w:p>
    <w:p>
      <w:pPr>
        <w:pStyle w:val="Heading2"/>
      </w:pPr>
      <w:r>
        <w:t>4.4 当前结果</w:t>
      </w:r>
    </w:p>
    <w:p>
      <w:r>
        <w:rPr>
          <w:b w:val="0"/>
          <w:i w:val="0"/>
          <w:sz w:val="22"/>
        </w:rPr>
        <w:t>（1）统一方法评估：0.75×v3.7 + 0.25×v5.2 集成，5 个随机种子（1/2/42/43/44）均值±标准差：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v5.2 单模型 R²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v5.2 FC PCC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集成 R²</w:t>
            </w:r>
          </w:p>
        </w:tc>
        <w:tc>
          <w:tcPr>
            <w:tcW w:type="dxa" w:w="1728"/>
          </w:tcPr>
          <w:p>
            <w:r>
              <w:rPr>
                <w:b/>
              </w:rPr>
              <w:t>集成 FC PCC</w:t>
            </w:r>
          </w:p>
        </w:tc>
      </w:tr>
      <w:tr>
        <w:tc>
          <w:tcPr>
            <w:tcW w:type="dxa" w:w="1728"/>
          </w:tcPr>
          <w:p>
            <w:r>
              <w:t>val_chem_only（S1 新化合物）</w:t>
            </w:r>
          </w:p>
        </w:tc>
        <w:tc>
          <w:tcPr>
            <w:tcW w:type="dxa" w:w="1728"/>
          </w:tcPr>
          <w:p>
            <w:r>
              <w:t>0.829±0.004</w:t>
            </w:r>
          </w:p>
        </w:tc>
        <w:tc>
          <w:tcPr>
            <w:tcW w:type="dxa" w:w="1728"/>
          </w:tcPr>
          <w:p>
            <w:r>
              <w:t>0.338±0.007</w:t>
            </w:r>
          </w:p>
        </w:tc>
        <w:tc>
          <w:tcPr>
            <w:tcW w:type="dxa" w:w="1728"/>
          </w:tcPr>
          <w:p>
            <w:r>
              <w:t>0.869±0.000</w:t>
            </w:r>
          </w:p>
        </w:tc>
        <w:tc>
          <w:tcPr>
            <w:tcW w:type="dxa" w:w="1728"/>
          </w:tcPr>
          <w:p>
            <w:r>
              <w:t>0.426±0.001</w:t>
            </w:r>
          </w:p>
        </w:tc>
      </w:tr>
      <w:tr>
        <w:tc>
          <w:tcPr>
            <w:tcW w:type="dxa" w:w="1728"/>
          </w:tcPr>
          <w:p>
            <w:r>
              <w:t>val_strain_only（S2 新菌株）</w:t>
            </w:r>
          </w:p>
        </w:tc>
        <w:tc>
          <w:tcPr>
            <w:tcW w:type="dxa" w:w="1728"/>
          </w:tcPr>
          <w:p>
            <w:r>
              <w:t>0.581±0.040</w:t>
            </w:r>
          </w:p>
        </w:tc>
        <w:tc>
          <w:tcPr>
            <w:tcW w:type="dxa" w:w="1728"/>
          </w:tcPr>
          <w:p>
            <w:r>
              <w:t>0.280±0.014</w:t>
            </w:r>
          </w:p>
        </w:tc>
        <w:tc>
          <w:tcPr>
            <w:tcW w:type="dxa" w:w="1728"/>
          </w:tcPr>
          <w:p>
            <w:r>
              <w:t>0.690±0.002</w:t>
            </w:r>
          </w:p>
        </w:tc>
        <w:tc>
          <w:tcPr>
            <w:tcW w:type="dxa" w:w="1728"/>
          </w:tcPr>
          <w:p>
            <w:r>
              <w:t>0.355±0.004</w:t>
            </w:r>
          </w:p>
        </w:tc>
      </w:tr>
      <w:tr>
        <w:tc>
          <w:tcPr>
            <w:tcW w:type="dxa" w:w="1728"/>
          </w:tcPr>
          <w:p>
            <w:r>
              <w:t>val_both（S3 双重未知）</w:t>
            </w:r>
          </w:p>
        </w:tc>
        <w:tc>
          <w:tcPr>
            <w:tcW w:type="dxa" w:w="1728"/>
          </w:tcPr>
          <w:p>
            <w:r>
              <w:t>0.669±0.034</w:t>
            </w:r>
          </w:p>
        </w:tc>
        <w:tc>
          <w:tcPr>
            <w:tcW w:type="dxa" w:w="1728"/>
          </w:tcPr>
          <w:p>
            <w:r>
              <w:t>0.223±0.010</w:t>
            </w:r>
          </w:p>
        </w:tc>
        <w:tc>
          <w:tcPr>
            <w:tcW w:type="dxa" w:w="1728"/>
          </w:tcPr>
          <w:p>
            <w:r>
              <w:t>0.762±0.001</w:t>
            </w:r>
          </w:p>
        </w:tc>
        <w:tc>
          <w:tcPr>
            <w:tcW w:type="dxa" w:w="1728"/>
          </w:tcPr>
          <w:p>
            <w:r>
              <w:t>0.234±0.003</w:t>
            </w:r>
          </w:p>
        </w:tc>
      </w:tr>
      <w:tr>
        <w:tc>
          <w:tcPr>
            <w:tcW w:type="dxa" w:w="1728"/>
          </w:tcPr>
          <w:p>
            <w:r>
              <w:t>val_time（时间外推）</w:t>
            </w:r>
          </w:p>
        </w:tc>
        <w:tc>
          <w:tcPr>
            <w:tcW w:type="dxa" w:w="1728"/>
          </w:tcPr>
          <w:p>
            <w:r>
              <w:t>0.779±0.002</w:t>
            </w:r>
          </w:p>
        </w:tc>
        <w:tc>
          <w:tcPr>
            <w:tcW w:type="dxa" w:w="1728"/>
          </w:tcPr>
          <w:p>
            <w:r>
              <w:t>0.512±0.005</w:t>
            </w:r>
          </w:p>
        </w:tc>
        <w:tc>
          <w:tcPr>
            <w:tcW w:type="dxa" w:w="1728"/>
          </w:tcPr>
          <w:p>
            <w:r>
              <w:t>0.832±0.000</w:t>
            </w:r>
          </w:p>
        </w:tc>
        <w:tc>
          <w:tcPr>
            <w:tcW w:type="dxa" w:w="1728"/>
          </w:tcPr>
          <w:p>
            <w:r>
              <w:t>0.611±0.001</w:t>
            </w:r>
          </w:p>
        </w:tc>
      </w:tr>
    </w:tbl>
    <w:p/>
    <w:p>
      <w:r>
        <w:rPr>
          <w:b w:val="0"/>
          <w:i w:val="0"/>
          <w:sz w:val="22"/>
        </w:rPr>
        <w:t>集成结果跨 5 个种子标准差 ≤0.004，成绩稳定；v5.2 单模型在未见菌株场景存在 0.03 量级种子波动，属于小样本实体的固有噪声，如实报告。</w:t>
      </w:r>
    </w:p>
    <w:p>
      <w:r>
        <w:rPr>
          <w:b w:val="0"/>
          <w:i w:val="0"/>
          <w:sz w:val="22"/>
        </w:rPr>
        <w:t>（2）测试集真值自评（官方允许"可自评不可训练"，全链路 train-only）。按官方六模块（绝对保真 20% / 匹配对照 FC 25% / 上下文均值残差 20% / 药物均值残差 20% / 双重未知与时间 10% / 高效应蛋白 DEP 检出 5%）：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M1 FC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M2 绝对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M3 ctx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M4 drug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M5 双盲/时间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M6 DEP</w:t>
            </w:r>
          </w:p>
        </w:tc>
        <w:tc>
          <w:tcPr>
            <w:tcW w:type="dxa" w:w="1080"/>
          </w:tcPr>
          <w:p>
            <w:r>
              <w:rPr>
                <w:b/>
              </w:rPr>
              <w:t>总分</w:t>
            </w:r>
          </w:p>
        </w:tc>
      </w:tr>
      <w:tr>
        <w:tc>
          <w:tcPr>
            <w:tcW w:type="dxa" w:w="1080"/>
          </w:tcPr>
          <w:p>
            <w:r>
              <w:t>test_chem_only</w:t>
            </w:r>
          </w:p>
        </w:tc>
        <w:tc>
          <w:tcPr>
            <w:tcW w:type="dxa" w:w="1080"/>
          </w:tcPr>
          <w:p>
            <w:r>
              <w:t>0.468</w:t>
            </w:r>
          </w:p>
        </w:tc>
        <w:tc>
          <w:tcPr>
            <w:tcW w:type="dxa" w:w="1080"/>
          </w:tcPr>
          <w:p>
            <w:r>
              <w:t>0.922</w:t>
            </w:r>
          </w:p>
        </w:tc>
        <w:tc>
          <w:tcPr>
            <w:tcW w:type="dxa" w:w="1080"/>
          </w:tcPr>
          <w:p>
            <w:r>
              <w:t>0.397</w:t>
            </w:r>
          </w:p>
        </w:tc>
        <w:tc>
          <w:tcPr>
            <w:tcW w:type="dxa" w:w="1080"/>
          </w:tcPr>
          <w:p>
            <w:r>
              <w:t>0.468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>0.624</w:t>
            </w:r>
          </w:p>
        </w:tc>
        <w:tc>
          <w:tcPr>
            <w:tcW w:type="dxa" w:w="1080"/>
          </w:tcPr>
          <w:p>
            <w:r>
              <w:t>0.506</w:t>
            </w:r>
          </w:p>
        </w:tc>
      </w:tr>
      <w:tr>
        <w:tc>
          <w:tcPr>
            <w:tcW w:type="dxa" w:w="1080"/>
          </w:tcPr>
          <w:p>
            <w:r>
              <w:t>test_strain_only</w:t>
            </w:r>
          </w:p>
        </w:tc>
        <w:tc>
          <w:tcPr>
            <w:tcW w:type="dxa" w:w="1080"/>
          </w:tcPr>
          <w:p>
            <w:r>
              <w:t>0.827</w:t>
            </w:r>
          </w:p>
        </w:tc>
        <w:tc>
          <w:tcPr>
            <w:tcW w:type="dxa" w:w="1080"/>
          </w:tcPr>
          <w:p>
            <w:r>
              <w:t>0.769</w:t>
            </w:r>
          </w:p>
        </w:tc>
        <w:tc>
          <w:tcPr>
            <w:tcW w:type="dxa" w:w="1080"/>
          </w:tcPr>
          <w:p>
            <w:r>
              <w:t>0.827</w:t>
            </w:r>
          </w:p>
        </w:tc>
        <w:tc>
          <w:tcPr>
            <w:tcW w:type="dxa" w:w="1080"/>
          </w:tcPr>
          <w:p>
            <w:r>
              <w:t>0.826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>0.682</w:t>
            </w:r>
          </w:p>
        </w:tc>
        <w:tc>
          <w:tcPr>
            <w:tcW w:type="dxa" w:w="1080"/>
          </w:tcPr>
          <w:p>
            <w:r>
              <w:t>0.725</w:t>
            </w:r>
          </w:p>
        </w:tc>
      </w:tr>
      <w:tr>
        <w:tc>
          <w:tcPr>
            <w:tcW w:type="dxa" w:w="1080"/>
          </w:tcPr>
          <w:p>
            <w:r>
              <w:t>test_both</w:t>
            </w:r>
          </w:p>
        </w:tc>
        <w:tc>
          <w:tcPr>
            <w:tcW w:type="dxa" w:w="1080"/>
          </w:tcPr>
          <w:p>
            <w:r>
              <w:t>0.556</w:t>
            </w:r>
          </w:p>
        </w:tc>
        <w:tc>
          <w:tcPr>
            <w:tcW w:type="dxa" w:w="1080"/>
          </w:tcPr>
          <w:p>
            <w:r>
              <w:t>0.808</w:t>
            </w:r>
          </w:p>
        </w:tc>
        <w:tc>
          <w:tcPr>
            <w:tcW w:type="dxa" w:w="1080"/>
          </w:tcPr>
          <w:p>
            <w:r>
              <w:t>0.556</w:t>
            </w:r>
          </w:p>
        </w:tc>
        <w:tc>
          <w:tcPr>
            <w:tcW w:type="dxa" w:w="1080"/>
          </w:tcPr>
          <w:p>
            <w:r>
              <w:t>0.556</w:t>
            </w:r>
          </w:p>
        </w:tc>
        <w:tc>
          <w:tcPr>
            <w:tcW w:type="dxa" w:w="1080"/>
          </w:tcPr>
          <w:p>
            <w:r>
              <w:t>0.605</w:t>
            </w:r>
          </w:p>
        </w:tc>
        <w:tc>
          <w:tcPr>
            <w:tcW w:type="dxa" w:w="1080"/>
          </w:tcPr>
          <w:p>
            <w:r>
              <w:t>0.636</w:t>
            </w:r>
          </w:p>
        </w:tc>
        <w:tc>
          <w:tcPr>
            <w:tcW w:type="dxa" w:w="1080"/>
          </w:tcPr>
          <w:p>
            <w:r>
              <w:t>0.615</w:t>
            </w:r>
          </w:p>
        </w:tc>
      </w:tr>
      <w:tr>
        <w:tc>
          <w:tcPr>
            <w:tcW w:type="dxa" w:w="1080"/>
          </w:tcPr>
          <w:p>
            <w:r>
              <w:t>test_time</w:t>
            </w:r>
          </w:p>
        </w:tc>
        <w:tc>
          <w:tcPr>
            <w:tcW w:type="dxa" w:w="1080"/>
          </w:tcPr>
          <w:p>
            <w:r>
              <w:t>0.624</w:t>
            </w:r>
          </w:p>
        </w:tc>
        <w:tc>
          <w:tcPr>
            <w:tcW w:type="dxa" w:w="1080"/>
          </w:tcPr>
          <w:p>
            <w:r>
              <w:t>0.917</w:t>
            </w:r>
          </w:p>
        </w:tc>
        <w:tc>
          <w:tcPr>
            <w:tcW w:type="dxa" w:w="1080"/>
          </w:tcPr>
          <w:p>
            <w:r>
              <w:t>0.561</w:t>
            </w:r>
          </w:p>
        </w:tc>
        <w:tc>
          <w:tcPr>
            <w:tcW w:type="dxa" w:w="1080"/>
          </w:tcPr>
          <w:p>
            <w:r>
              <w:t>0.562</w:t>
            </w:r>
          </w:p>
        </w:tc>
        <w:tc>
          <w:tcPr>
            <w:tcW w:type="dxa" w:w="1080"/>
          </w:tcPr>
          <w:p>
            <w:r>
              <w:t>0.779</w:t>
            </w:r>
          </w:p>
        </w:tc>
        <w:tc>
          <w:tcPr>
            <w:tcW w:type="dxa" w:w="1080"/>
          </w:tcPr>
          <w:p>
            <w:r>
              <w:t>0.702</w:t>
            </w:r>
          </w:p>
        </w:tc>
        <w:tc>
          <w:tcPr>
            <w:tcW w:type="dxa" w:w="1080"/>
          </w:tcPr>
          <w:p>
            <w:r>
              <w:t>0.677</w:t>
            </w:r>
          </w:p>
        </w:tc>
      </w:tr>
    </w:tbl>
    <w:p/>
    <w:p>
      <w:r>
        <w:rPr>
          <w:b w:val="0"/>
          <w:i w:val="0"/>
          <w:sz w:val="22"/>
        </w:rPr>
        <w:t>加权总分 ≈ 0.626（四场景权重 1/1/0.5/0.5，近似官方组合）。M6 DEP 采用"方向准确率 40% + 高效应 PCC 30% + F1@K（50/100/200 三档均值）30%"口径，固定 top-K 以避免"全报阳性"刷高召回（官方规则明确要求）。</w:t>
      </w:r>
    </w:p>
    <w:p>
      <w:r>
        <w:rPr>
          <w:b w:val="0"/>
          <w:i w:val="0"/>
          <w:sz w:val="22"/>
        </w:rPr>
        <w:t>（3）科学层面验证：预测 Δ 显著富集到 4 个已知生物学通路（GO 富集，FDR&lt;0.05），说明模型捕捉到功能层面的响应模式而非纯数值拟合；菌株遗传距离与响应相似度的正相关支持"遗传近 → 响应可迁移"。</w:t>
      </w:r>
    </w:p>
    <w:p>
      <w:r>
        <w:rPr>
          <w:b w:val="0"/>
          <w:i w:val="0"/>
          <w:sz w:val="22"/>
        </w:rPr>
        <w:t>（4）化学迁移 top-k 网格（val 伪新化合物验证）：k=5~10 最优（k=3 偏小），α 高值区间（0.3~0.5）更优，为复赛的迁移校准器设计提供依据。</w:t>
      </w:r>
    </w:p>
    <w:p>
      <w:pPr>
        <w:pStyle w:val="Heading2"/>
      </w:pPr>
      <w:r>
        <w:t>4.5 负面结论汇总（方法边界）</w:t>
      </w:r>
    </w:p>
    <w:p>
      <w:r>
        <w:rPr>
          <w:b w:val="0"/>
          <w:i w:val="0"/>
          <w:sz w:val="22"/>
        </w:rPr>
        <w:t>门控形式（硬/连续/θ 参数化）非瓶颈（v4.9/v5.3/v5.6 一致）；排序方向损失无效（v4.3/v4.7/v5.6）；大模型过拟合（v3.8）；Dropout 降低效果；原始 SNP/CNV 直接接入无效（功能聚合才有价值）；exp(τ) 迁移权重不如 max 加权；低秩维度 d=32 与 d=64 持平；episodic 初版未见提升。这些结果共同界定了该数据尺度下的方法边界，是后续计划的重要输入。</w:t>
      </w:r>
    </w:p>
    <w:p>
      <w:pPr>
        <w:pStyle w:val="Heading1"/>
      </w:pPr>
      <w:r>
        <w:t>五、复现与开放计划</w:t>
      </w:r>
    </w:p>
    <w:p>
      <w:pPr>
        <w:pStyle w:val="Heading2"/>
      </w:pPr>
      <w:r>
        <w:t>5.1 复现方式</w:t>
      </w:r>
    </w:p>
    <w:p>
      <w:r>
        <w:rPr>
          <w:b w:val="0"/>
          <w:i w:val="0"/>
          <w:sz w:val="22"/>
        </w:rPr>
        <w:t>代码仓库（GitHub 公开，初赛按规则不强制提交代码，先提供开源计划）按数据/特征/训练/评估/提交组织；训练与评估固定随机种子（v2.1: 42/43/44；v3.7: 42；v5.2: 1/2/42/43/44），全部统计量仅从 train 划分计算；README 提供从数据预处理到提交文件生成的完整命令序列。复现环境：Python 3.9 + PyTorch + RDKit + scikit-learn，单卡 GPU。</w:t>
      </w:r>
    </w:p>
    <w:p>
      <w:pPr>
        <w:pStyle w:val="Heading2"/>
      </w:pPr>
      <w:r>
        <w:t>5.2 开源计划</w:t>
      </w:r>
    </w:p>
    <w:p>
      <w:r>
        <w:rPr>
          <w:b w:val="0"/>
          <w:i w:val="0"/>
          <w:sz w:val="22"/>
        </w:rPr>
        <w:t>复赛阶段开放完整可运行仓库：训练/评估/提交脚本与模型权重全部开源；外部资源（GO/ESM2/STRING/SNP 距离/PubChem SMILES）披露来源、版本与获取方式；官方数据遵循数据使用协议，不随仓库分发。</w:t>
      </w:r>
    </w:p>
    <w:p>
      <w:pPr>
        <w:pStyle w:val="Heading2"/>
      </w:pPr>
      <w:r>
        <w:t>5.3 依赖、数据来源与合规披露</w:t>
      </w:r>
    </w:p>
    <w:p>
      <w:pPr>
        <w:pStyle w:val="ListBullet"/>
      </w:pPr>
      <w:r>
        <w:t>官方数据：train_val + test（蛋白维度 5243），仅 train 划分用于训练与统计量估计；测试真值仅用于最终自评（官方允许"可自评不可训练"）。</w:t>
      </w:r>
    </w:p>
    <w:p>
      <w:pPr>
        <w:pStyle w:val="ListBullet"/>
      </w:pPr>
      <w:r>
        <w:t>外部资源：UniProt GO 注释、ESM2 蛋白嵌入、STRING 蛋白互作（v11.5）、1011 酵母菌株 SNP 距离矩阵（Bergström et al. 2014）、PubChem 化合物 SMILES（11 个未见化合物）。</w:t>
      </w:r>
    </w:p>
    <w:p>
      <w:pPr>
        <w:pStyle w:val="ListBullet"/>
      </w:pPr>
      <w:r>
        <w:t>依赖：PyTorch、scikit-learn、RDKit（BSD 3-Clause）、pandas/numpy（BSD）；无商业 API、无闭源模型。</w:t>
      </w:r>
    </w:p>
    <w:p>
      <w:pPr>
        <w:pStyle w:val="ListBullet"/>
      </w:pPr>
      <w:r>
        <w:t>合规自检：对照匹配、分组均值、SVD、迁移池全部 train-only；未见化合物指纹由 SMILES 生成（不依赖测试真值）；复现由固定种子 + 完整命令序列保证。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