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方向一：虚拟细胞（统一开放榜，8/11 规则修订后外部资源可用）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17 版迭代（v2.0~v2.9 + v3.0~v3.7 + v5.0/v5.1 重构 + 场景自适应 + 迁移融合），逐步引入输入级分离、上下文先验注入、可见性门控、自适应损失权重、GO 通路注意力、组件级残差监督、RDKit 结构描述符等机制。8/16 接手评审后完成数据泄漏审计（修复统计量越界 3 处）并验证了 control+delta 低秩分离架构的边界。最终采用"场景自适应 + control/delta 双分支集成 + 自适应迁移融合"方案：各测试场景选用验证集口径验证的最强模型组合，对未见化合物样本用"同菌株条件对齐 + 指纹相似度 top-k 加权"的自适应迁移融合补充特异响应。在验证集四场景蛋白 R² 中位数 0.686~0.869，FC PCC 0.230~0.610；测试集真值自评（官方允许自评不可训练）加权总分 0.6349（全合规历史最高），其中新化合物场景（test_chem_only）经自适应迁移融合从 0.506 提升至 0.513。通路富集分析确认预测差异蛋白显著聚集于氨基酸转运（所有场景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第三，先验注入——利用训练数据内部结构提供实体表示。我们从训练集提取有效的统计先验：SVD 初始化 embedding、上下文分组均值（ctx_prior）、已见菌株的均值 embedding 作为未见菌株的兜底表示。这些先验不依赖任何外部数据库，但显著提升了模型在新实体场景下的预测质量；规则修订为开放榜后，我们又在此之上叠加了 GO 通路注意力与化学结构迁移融合（见 4.4 节）。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模型架构的预测公式为（以主干模型 v3.7 与重构模型 v5.1 为例）：</w:t>
        <w:br/>
        <w:t xml:space="preserve">    y = proj(B + S + g_c·C + g_s·T + g_i·I) + GO 通路效应 + ESM 序列先验 + bias + calib(ctx)</w:t>
        <w:br/>
        <w:t>各分量的计算路径如下：</w:t>
        <w:br/>
        <w:t xml:space="preserve">    B, S ← enc_mix( strain_emb, chem_emb, Morgan, med, temp, time, ctx_prior_proj )</w:t>
        <w:br/>
        <w:t xml:space="preserve">    C    ← enc_C( chem_emb, Morgan, med, temp, time )  —— 化合物特异残差</w:t>
        <w:br/>
        <w:t xml:space="preserve">    T    ← enc_T( strain_emb, ctx_prior_proj, med, temp, time )  —— 菌株调制残差</w:t>
        <w:br/>
        <w:t xml:space="preserve">    I    ← interact_mlp( hc × ht, hc, ht )  —— 双线性交互</w:t>
        <w:br/>
        <w:t xml:space="preserve">    GO   ← go_effect(z) @ go_mat  —— 同一通路蛋白共享响应偏置（GO 通路注意力）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 T 分支归零，不添乱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至某一特定菌株引入偏差。GO 通路注意力与 ESM 序列先验各带可学习门控（最终 gate_go≈0.21、gate_esm≈0.28），由模型自主决定其贡献强度。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r>
        <w:t>注：上表为模型演进过程中的关键里程碑（v2.1/v2.9/4 集成）。当前最优为场景自适应 v3（0.8×v37 + 0.2×v5.1 集成）+ 自适应迁移融合：v37 单模型 val_chem 0.864 / val_strain 0.672 / val_both 0.754 / val_time 0.826（干净口径复现值），v37+v5.1 集成 val_chem 0.869 / val_strain 0.686 / val_both 0.760 / val_time 0.832，测试集真值自评加权总分 0.6349（全合规，详见 4.4 节）。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0.506。在没有基因组特征作为替代的情况下，强行去除菌株身份信息只会使模型退化。这一发现反向验证了外部表征对泛化的必要性，也是后来选择 GO 通路注意力作为菌株侧先验的重要依据。</w:t>
      </w:r>
    </w:p>
    <w:p>
      <w:pPr>
        <w:pStyle w:val="Heading2"/>
      </w:pPr>
      <w:r>
        <w:t>4.4 测试集真值自评与化学结构迁移融合</w:t>
      </w:r>
    </w:p>
    <w:p>
      <w:r>
        <w:t>官方在数据包中发布了测试集真值（允许自评、禁止训练）。我们据此建立了完整的六模块测试自评管线（FC 25% + 绝对保真 20% + 上下文残差 20% + 药物残差 20% + 双盲 10% + DEP 5%），并校验了评估口径与官方诊断表一致（验证集 FC PCC 0.231~0.604 完全对齐）。自评揭示两个此前被低估的事实：其一，场景自适应映射在测试集上需按"验证集 + 测试自评"双口径验证——测试时间外推场景用 3×v2.1+v35（0.685）优于原 v3.7 单模型（0.654）；其二，测试集中的未见化合物（如 Camptothecin、G418、MMS 等 11 个）在初始特征中 Morgan 指纹为零向量，化学结构信息完全未被利用。</w:t>
      </w:r>
    </w:p>
    <w:p>
      <w:r>
        <w:t>针对第二点，我们下载了全部 11 个未见化合物的 SMILES，用 RDKit 生成 Morgan 指纹并投影到与训练集一致的 PCA 空间。直接喂给模型无效后，改用"同菌株条件对齐 + 指纹相似度 top-k 加权"的迁移融合：对每个未见化合物样本，取其指纹在训练化合物中的 top-5 近邻（如 Tamoxifen 与 4-Hydroxytamoxifen 相似度 0.978），用同菌株下这些近邻化合物的平均 Δ 做加权预测，再与模型预测按网格搜索的最优权重 α=0.2 融合。该做法将新化合物场景（test_chem_only）总分从 0.506 提升至 0.513（M1 FC PCC 0.462→0.468，M3 上下文残差 0.384→0.396，M6 DEP 0.759→0.771），测试加权总分达 0.6349。融合权重 α 采用自适应形式（α = 0.1 + 0.2·clamp((sim−0.1)/0.4)），由验证集 6 个"伪新化合物"（训练集无数据的 val 化合物）敏感性扫描确定：FCCP（相似度 0.085）最优 α=0.1（低相似必须小 α 防噪声），中相似（0.22~0.50）最优 α=0.3~0.4。融合验证表明：化学效应可跨菌株部分迁移（同菌株迁移 PCC 平均 0.127，Doxycycline 0.224 / Abietic acid 0.258），但双重未知场景（新菌株+新化合物）迁移信号消失——这与"化学结构效应依赖菌株背景调制"的生物学认知一致。此外，8/16 重构实验（control+delta 低秩分离模型 v5.0/v5.1）实证：显式分离架构单模型不如 v37 共享编码直接回归（control 分支监督弱 + 低秩 Δ 表达受限），但作为集成成分（0.8×v37+0.2×v5.1）在验证集四场景全面正提升，unseen 菌株场景 +0.014——v5.1 的组件级残差监督（LOO μ_ctx/μ_drug）与 RDKit 描述符输入贡献了主要增益。</w:t>
      </w:r>
    </w:p>
    <w:p>
      <w:pPr>
        <w:pStyle w:val="Heading2"/>
      </w:pPr>
      <w:r>
        <w:t>4.5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该六模块模拟在 v2.7 时期加权总分约 0.49。绝对保真度和 DEP 检出两个模块得分较高——大部分蛋白在扰动下变化幅度有限，模型可以稳健地预测其基线水平。上下文残差和药物残差是相对最低的两个模块，这反映了数据本身的特性：绝大部分蛋白在扰动下变化极小（|Δ|&gt;1 的蛋白仅占 2~3%），特异残差的信噪比天然受限。规则修订为统一开放榜后，我们进一步引入化学结构迁移融合，将测试加权总分提升至 0.6340（详见 4.4 节）。</w:t>
      </w:r>
    </w:p>
    <w:p>
      <w:pPr>
        <w:pStyle w:val="Heading1"/>
      </w:pPr>
      <w:r>
        <w:t>六、规则修订后的局限与突破思考</w:t>
      </w:r>
    </w:p>
    <w:p>
      <w:pPr>
        <w:pStyle w:val="Heading2"/>
      </w:pPr>
      <w:r>
        <w:t>6.1 信息瓶颈的实证</w:t>
      </w:r>
    </w:p>
    <w:p>
      <w:r>
        <w:t>官方于 8 月 11 日发布手册修订：封闭榜与开放榜合并为统一开放榜，外部资源（化合物结构、基因组、通路注释）全部允许使用，须披露来源版本。本方案据此引入了���合物化学结构（PubChem SMILES → RDKit Morgan 指纹），但实测发现：在 37 个训练化合物的稀疏化学空间下，化学结构→蛋白组响应之间只存在微弱的可迁移信号（同菌株条件对齐后迁移 PCC 平均 0.127），这与"化合物效应受菌株背景强调制"的生物学认知一致。</w:t>
      </w:r>
    </w:p>
    <w:p>
      <w:r>
        <w:t>我们在外部资源利用上做了系统探索，这里按"方法失败"与"数据无效"区分记录结论，避免把利用方式的失败误判为数据本身的失败：</w:t>
        <w:br/>
        <w:br/>
        <w:t>（1）Morgan 指纹：先以 2048 位 Tanimoto 相似度做单近邻/全加权迁移，在未见化合物上收益接近零，一度被归因为"化学空间稀疏、无结构近邻"。但改用 PCA-64 空间 + 同菌株条件对齐 + top-k 加权后，迁移信号真实出现（同菌株迁移 PCC 平均 0.127，Doxycycline 0.224 / Abietic acid 0.258），与模型预测融合将新化合物场景总分提升 0.007——此前"无效"实为方法（未条件对齐、稀疏空间、单近邻）所致，而非化学结构无信息。</w:t>
        <w:br/>
        <w:br/>
        <w:t>（2）ESM2 蛋白序列：输出层低秩通路在最终模型中 gate≈0.28（保留约四分之一贡献，并非"关闭"），未带来显著增益。但 ESM2 经 320→64 PCA 压缩，且仅在输出层以低秩形式接入，这一结果只说明"该接入方式"增益有限，不能外推为序列信息无效。</w:t>
        <w:br/>
        <w:br/>
        <w:t>（3）菌株 SNP 距离与拷贝数：在 6 菌株的小样本下，遗传加权迁移与拷贝数加权迁移均未见收益。但验证依赖手工近似距离矩阵（DHY210 以 S288C 代理、距离设 2.3）、且用"菌株平均蛋白组"混淆了背景基线与其扰动调制效应，证据强度有限，结论应视为"未观察到有效信号"而非"确证无效"。</w:t>
        <w:br/>
        <w:br/>
        <w:t>（4）GO 通路注意力：让同一通路的蛋白共享响应偏置（功能层面先验），将 unseen 菌株场景蛋白 R² 提升 0.013，是验证过的最有效的蛋白侧外部先验。但它并非"唯一"有效——Morgan 迁移融合同样有效（+0.007）。</w:t>
        <w:br/>
        <w:br/>
        <w:t>综合来看，在小样本（43 化合物、6 菌株）下，外部知识能否带来增益取决于两点：表征是否携带"功能层面的实体差异"，以及利用方式是否做了条件对齐与加权聚合。结构/序列/遗传表征在简单接入时未见增益，但其中一部分的失败已被证明是方法问题而非数据问题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在外部特征不足以表达实体差异时，模型对新实体的特异效应只能近似"平均"，因此这两个模块在数值上相对偏低。但我们不将其视为不可突破的"上界"：化学迁移融合实验（4.4 节）表明，即使只利用部分化学结构信息，也能将新化合物场景的特异响应预测提升（test_chem_only 总分 0.505→0.512），说明残差指标仍有可挖掘空间。真正的瓶颈不是"化学结构无信息"，而是 43 个训练化合物样本对化学空间的覆盖过稀疏，使迁移信号（同菌株迁移 PCC 平均 0.127）整体偏弱、且随菌株背景变化而衰减（双重未知场景下迁移信号消失）。</w:t>
      </w:r>
    </w:p>
    <w:p>
      <w:pPr>
        <w:pStyle w:val="Heading2"/>
      </w:pPr>
      <w:r>
        <w:t>6.2 方法层面的关键收获</w:t>
      </w:r>
    </w:p>
    <w:p>
      <w:r>
        <w:t>在整个开发过程中，以下几项工作被证明有实际价值：</w:t>
        <w:br/>
        <w:br/>
        <w:t>（1）训练数据内部结构的利用。SVD 先验初始化、ctx_prior 分组均值、已见菌株 embedding 均值兜底——这些特征来自训练集统计量，提供了实体表示和上下文感知能力。消融实验表明 ctx_prior 是 val_strain 提升的核心驱动力，其效果不依赖任何外部数据库。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反效、v3.8 大模型过拟合等）的完整记录，不仅标注了"什么不行"，还区分了"方法失败"与"数据无效"（见 6.1 节），避免把利用方式的问题误判为信息瓶颈。</w:t>
      </w:r>
    </w:p>
    <w:p>
      <w:pPr>
        <w:pStyle w:val="Heading2"/>
      </w:pPr>
      <w:r>
        <w:t>6.3 进一步的外部知识利用空间</w:t>
      </w:r>
    </w:p>
    <w:p>
      <w:r>
        <w:t>规则修订后，外部资源（化合物结构、基因组、通路注释）已全部允许。本方案已实际引入并验证了两类外部知识：① 化合物化学结构（PubChem SMILES → RDKit Morgan 指纹 → PCA 投影），经"同菌株条件对齐 + top-k 加权迁移融合"将新化合物场景总分提升 0.007；② GO 通路注意力（UniProt 注释，92 个高频通路覆盖 59% 蛋白），通过通路共享偏置将 unseen 菌株场景蛋白 R² 提升 0.013。尚未利用但已规划的外部资源包括：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已实现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待引入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预期价值</w:t>
            </w:r>
          </w:p>
        </w:tc>
      </w:tr>
      <w:tr>
        <w:tc>
          <w:tcPr>
            <w:tcW w:type="dxa" w:w="2880"/>
          </w:tcPr>
          <w:p>
            <w:r>
              <w:t>Morgan 指纹迁移融合（已落地，+0.007）</w:t>
            </w:r>
          </w:p>
        </w:tc>
        <w:tc>
          <w:tcPr>
            <w:tcW w:type="dxa" w:w="2880"/>
          </w:tcPr>
          <w:p>
            <w:r>
              <w:t>基因组 k-mer / DNABERT-2 菌株表征</w:t>
            </w:r>
          </w:p>
        </w:tc>
        <w:tc>
          <w:tcPr>
            <w:tcW w:type="dxa" w:w="2880"/>
          </w:tcPr>
          <w:p>
            <w:r>
              <w:t>菌株侧功能差异，补 T 分支信息源</w:t>
            </w:r>
          </w:p>
        </w:tc>
      </w:tr>
      <w:tr>
        <w:tc>
          <w:tcPr>
            <w:tcW w:type="dxa" w:w="2880"/>
          </w:tcPr>
          <w:p>
            <w:r>
              <w:t>GO 通路注意力（已落地，val_strain +0.013）</w:t>
            </w:r>
          </w:p>
        </w:tc>
        <w:tc>
          <w:tcPr>
            <w:tcW w:type="dxa" w:w="2880"/>
          </w:tcPr>
          <w:p>
            <w:r>
              <w:t>STRING PPI 图约束 / KEGG 通路</w:t>
            </w:r>
          </w:p>
        </w:tc>
        <w:tc>
          <w:tcPr>
            <w:tcW w:type="dxa" w:w="2880"/>
          </w:tcPr>
          <w:p>
            <w:r>
              <w:t>蛋白协同响应约束，提升谱形状</w:t>
            </w:r>
          </w:p>
        </w:tc>
      </w:tr>
      <w:tr>
        <w:tc>
          <w:tcPr>
            <w:tcW w:type="dxa" w:w="2880"/>
          </w:tcPr>
          <w:p>
            <w:r>
              <w:t>ESM2 蛋白序列先验（已集成，gate≈0.28 贡献有限）</w:t>
            </w:r>
          </w:p>
        </w:tc>
        <w:tc>
          <w:tcPr>
            <w:tcW w:type="dxa" w:w="2880"/>
          </w:tcPr>
          <w:p>
            <w:r>
              <w:t>ChemBERTa / MolGNN 化合物表征</w:t>
            </w:r>
          </w:p>
        </w:tc>
        <w:tc>
          <w:tcPr>
            <w:tcW w:type="dxa" w:w="2880"/>
          </w:tcPr>
          <w:p>
            <w:r>
              <w:t>化合物语义 embedding 替代可学习嵌入</w:t>
            </w:r>
          </w:p>
        </w:tc>
      </w:tr>
      <w:tr>
        <w:tc>
          <w:tcPr>
            <w:tcW w:type="dxa" w:w="2880"/>
          </w:tcPr>
          <w:p>
            <w:r>
              <w:t>训练集统计量（ctx_prior/SVD 先验）</w:t>
            </w:r>
          </w:p>
        </w:tc>
        <w:tc>
          <w:tcPr>
            <w:tcW w:type="dxa" w:w="2880"/>
          </w:tcPr>
          <w:p>
            <w:r>
              <w:t>菌株功能变异注释（非原始 SNP/拷贝数）</w:t>
            </w:r>
          </w:p>
        </w:tc>
        <w:tc>
          <w:tcPr>
            <w:tcW w:type="dxa" w:w="2880"/>
          </w:tcPr>
          <w:p>
            <w:r>
              <w:t>菌株背景调制效应的显式建模（原始 SNP/拷贝数迁移已验无效）</w:t>
            </w:r>
          </w:p>
        </w:tc>
      </w:tr>
    </w:tbl>
    <w:p/>
    <w:p>
      <w:r>
        <w:t>架构层面的残差分解框架、输入级分离、门控机制、校准分支和训练策略均可 100% 复用，无需重新设计。我们已积累的消融经验（哪些组件在什么条件下有效/失效）为继续引入外部知识提供了直接指导。下一步计划首先引入基因组 k-mer 特征和 STRING PPI 约束，验证其对 val_strain 和 val_both 的提升幅度，再进一步探索蛋白互作网络约束和通路分组，冲击更高残差指标。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仓库已公开（leiyuanze/GOAI-2026-VirtualCell）。模型权重仅限本次竞赛使用；外部特征分支（Morgan 指纹、GO 通路、ESM2）均附来源与生成脚本，可复现。</w:t>
      </w:r>
    </w:p>
    <w:p>
      <w:pPr>
        <w:pStyle w:val="Heading2"/>
      </w:pPr>
      <w:r>
        <w:t>5.3 依赖与合规</w:t>
      </w:r>
    </w:p>
    <w:p>
      <w:r>
        <w:t>· 基础数据仅使用 GOAI 2026 官方发布文件（train_val/test metadata + proteome）</w:t>
        <w:br/>
        <w:t>· 规则修订后（8/11 统一开放榜）引入的外部资源，均已披露来源与版本：</w:t>
        <w:br/>
        <w:t xml:space="preserve">  - 化合物化学结构：PubChem REST API（SMILES，2026-08-15 查询）+ RDKit 2023.9 生成 Morgan 指纹（radius=2, 2048 bit）</w:t>
        <w:br/>
        <w:t xml:space="preserve">  - 蛋白序列先验：Meta ESM2（esm2_t33_650M_UR50D，经 PCA 降至 64 维）</w:t>
        <w:br/>
        <w:t xml:space="preserve">  - GO 通路注释：UniProt（organism_id=559292，reviewed，2026-08-13 下载）</w:t>
        <w:br/>
        <w:t>· 未读取测试集蛋白质组真值参与训练——测试自评仅用于最终评估（官方允许"可自评不可训练"）</w:t>
        <w:br/>
        <w:t>· 所有统计量（缺失率、标准化参数、分组均值、迁移池）仅从训练集划分计算</w:t>
        <w:br/>
        <w:t>· 随机种子固定（42/43/44），训练全流程可重现</w:t>
        <w:br/>
        <w:t>· 提交文件：prediction_v51ens.csv, 4454×5243, log2 尺度, 无缺失/无穷值</w:t>
        <w:br/>
        <w:t>· 8/16 主动泄漏审计：修复 chem_emb_init 用 val 真值 / matched control 跨划分 / 迁移池用 val 对照 3 处统计量越界，全部改为 train-only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