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虚拟酵母扰动响应预测：从残差分解到实体外推</w:t>
      </w:r>
    </w:p>
    <w:p>
      <w:pPr>
        <w:jc w:val="center"/>
      </w:pPr>
      <w:r>
        <w:rPr>
          <w:color w:val="444444"/>
          <w:sz w:val="26"/>
        </w:rPr>
        <w:t>GOAI 2026 · 赛道三（前沿探索 AI for Research）· 算法赛题 · 虚拟细胞方向</w:t>
        <w:br/>
        <w:t>初赛方案说明文档与技术路线概述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项目名称</w:t>
      </w:r>
    </w:p>
    <w:p>
      <w:r>
        <w:rPr>
          <w:b w:val="0"/>
          <w:sz w:val="22"/>
        </w:rPr>
        <w:t>虚拟酵母扰动响应预测：基于条件响应分解与实体外推的蛋白质组预测模型</w:t>
      </w:r>
    </w:p>
    <w:p>
      <w:pPr>
        <w:pStyle w:val="Heading2"/>
      </w:pPr>
      <w:r>
        <w:t>1.2 参赛方向</w:t>
      </w:r>
    </w:p>
    <w:p>
      <w:r>
        <w:rPr>
          <w:b w:val="0"/>
          <w:sz w:val="22"/>
        </w:rPr>
        <w:t>算法赛题 · 方向一：虚拟细胞（虚拟酵母扰动响应预测）</w:t>
      </w:r>
    </w:p>
    <w:p>
      <w:pPr>
        <w:pStyle w:val="Heading2"/>
      </w:pPr>
      <w:r>
        <w:t>1.3 方案概述</w:t>
      </w:r>
    </w:p>
    <w:p>
      <w:r>
        <w:rPr>
          <w:b w:val="0"/>
          <w:sz w:val="22"/>
        </w:rPr>
        <w:t>本方案针对"给定菌株、化合物、培养基、温度、时间与测量上下文，预测完整 log2 蛋白质组响应"这一任务。核心科学问题是：在有限的扰动蛋白质组数据（训练约 5900 样本、4422 个可评蛋白）下，如何构建能稳健外推到"未见化合物（S1）/未见菌株（S2）/双重未知（S3）"的模型。</w:t>
      </w:r>
    </w:p>
    <w:p>
      <w:r>
        <w:rPr>
          <w:b w:val="0"/>
          <w:sz w:val="22"/>
        </w:rPr>
        <w:t>我们采用"残差分解 + 上下文先验 + 结构化先验"的建模骨架，历经三个阶段的演进：（1）v2.x：绝对丰度按基线/共享应激/化合物特异/菌株调制四分支残差分解，配合对照监督与留一组件监督；（2）v3.x：引入 Morgan 指纹、ESM2 蛋白序列先验、STRING 蛋白互作图与GO 通路注意力，其中 GO 通路注意力对未见菌株场景的提升最大；（3）v5.x：先完成全链路数据泄漏审计与修复（3 处统计量越界全部收敛到 train-only），再按"状态模型 + 低秩扰动模型"重构（v5.0~v5.2），并加入 RDKit 结构描述符与菌株 SNP 遗传距离特征，最后以 5 个随机种子报告均值±标准差。</w:t>
      </w:r>
    </w:p>
    <w:p>
      <w:r>
        <w:rPr>
          <w:b w:val="0"/>
          <w:sz w:val="22"/>
        </w:rPr>
        <w:t>需要说明的是：我们区分"统一方法"与"竞赛提交策略"两个层面。统一方法层面，v3.7（GO 通路注意力直接回归）与 v5.2（control/delta 分离）代表两种建模路线，前者为最终得分贡献主体；竞赛提交层面，为在四类泛化场景各自取得更稳健的成绩，按场景选择不同的模型组合并叠加化学结构相似度迁移融合。这一策略是为了竞赛评分的务实选择，其代价是"按场景挑模型"不属于可复现的科学方法本身，特此如实说明。</w:t>
      </w:r>
    </w:p>
    <w:p>
      <w:pPr>
        <w:pStyle w:val="Heading2"/>
      </w:pPr>
      <w:r>
        <w:t>二、科学问题理解</w:t>
      </w:r>
    </w:p>
    <w:p>
      <w:pPr>
        <w:pStyle w:val="Heading2"/>
      </w:pPr>
      <w:r>
        <w:t>2.1 科学问题与研究对象</w:t>
      </w:r>
    </w:p>
    <w:p>
      <w:r>
        <w:rPr>
          <w:b w:val="0"/>
          <w:sz w:val="22"/>
        </w:rPr>
        <w:t>酿酒酵母是模式真核生物，其蛋白质组对化学扰动与遗传背景变化的响应直接关系"AI 预测 → 湿实验验证"闭环（如菌株定向改造、药物响应预筛）。官方评测将泛化能力拆为三类：S1 已见菌株 + 未见化合物（新扰动外推）、S2 未见菌株 + 已见化合物（新遗传背景外推）、S3 双重未知组合，另有时间外推。</w:t>
      </w:r>
    </w:p>
    <w:p>
      <w:r>
        <w:rPr>
          <w:b w:val="0"/>
          <w:sz w:val="22"/>
        </w:rPr>
        <w:t>从数据出发，任务有三个关键难点：（1）小样本高维——训练样本数千、输出蛋白数千，直接回归极易过拟合到"恢复群体平均状态"而丢失个体响应；（2）实体外推——未见菌株/化合物没有可学的 ID 嵌入，必须依赖可迁移的特征（结构、序列、遗传距离）或上下文统计先验；（3）测量上下文混杂——数据来源、仪器、板号等测量变量与生物条件混叠，需要模型吸收测量变异而不被其误导。</w:t>
      </w:r>
    </w:p>
    <w:p>
      <w:pPr>
        <w:pStyle w:val="Heading2"/>
      </w:pPr>
      <w:r>
        <w:t>2.2 科学意义</w:t>
      </w:r>
    </w:p>
    <w:p>
      <w:r>
        <w:rPr>
          <w:b w:val="0"/>
          <w:sz w:val="22"/>
        </w:rPr>
        <w:t>模型的科学意义体现在三处：一是为未见化合物的蛋白质组响应提供可外推的预测（验证集 FC 预测与真实差异表达呈正相关，预测 Δ 显著富集到已知生物学通路）；二是菌株遗传距离特征的引入，使"遗传近的菌株响应可迁移"这一生物学直觉进入模型（test 新菌株 CRD 与训练菌株 CGD 的 SNP 距离仅 0.383，是外推的关键信号）；三是审计与消融中沉淀的负面结论（如"门控不是瓶颈""排序损失无效"）本身就是对该数据尺度下方法边界的有价值记录。</w:t>
      </w:r>
    </w:p>
    <w:p>
      <w:pPr>
        <w:pStyle w:val="Heading1"/>
      </w:pPr>
      <w:r>
        <w:t>三、技术方案与预期方法路线</w:t>
      </w:r>
    </w:p>
    <w:p>
      <w:pPr>
        <w:pStyle w:val="Heading2"/>
      </w:pPr>
      <w:r>
        <w:t>3.1 技术方案</w:t>
      </w:r>
    </w:p>
    <w:p>
      <w:r>
        <w:rPr>
          <w:b w:val="0"/>
          <w:sz w:val="22"/>
        </w:rPr>
        <w:t>总体形式：将预测拆为"细胞状态"与"扰动响应"两部分——</w:t>
      </w:r>
    </w:p>
    <w:p>
      <w:r>
        <w:rPr>
          <w:b/>
          <w:sz w:val="24"/>
        </w:rPr>
        <w:t>ŷ(s,c,k) = ŷ_ctrl(s,k) + Δ̂(s,c,k)</w:t>
      </w:r>
    </w:p>
    <w:p>
      <w:r>
        <w:rPr>
          <w:b w:val="0"/>
          <w:sz w:val="22"/>
        </w:rPr>
        <w:t>其中 ŷ_ctrl 为匹配对照预测（状态模型），Δ̂ 为扰动响应（扰动模型），k 为培养基/温度/时间/平台上下文。这一拆分与官方评测高度对齐：六模块中"匹配对照原始 FC （25%）""上下文均值残差（20%）""药物均值残差（20%）"均基于 Δ = y_treat − y_control。</w:t>
      </w:r>
    </w:p>
    <w:p>
      <w:pPr>
        <w:pStyle w:val="ListBullet"/>
      </w:pPr>
      <w:r>
        <w:t>状态模型（control）：菌株/培养基/温度/时间/平台/上下文先验编码 → MLP → 匹配对照丰度。</w:t>
      </w:r>
    </w:p>
    <w:p>
      <w:pPr>
        <w:pStyle w:val="ListBullet"/>
      </w:pPr>
      <w:r>
        <w:t>扰动模型（response）：菌株 + 化合物（Morgan 指纹 + RDKit 10 项描述符）+ 上下文编码 → 低维状态 z（64 维）→ 低秩输出 Δ̂ = U z + 残差 + GO 通路效应 + ESM2 序列先验。低秩基 U 由训练集 Δ 的 SVD 学习（方差解释约 48%），降低 4422 维输出头的过拟合。</w:t>
      </w:r>
    </w:p>
    <w:p>
      <w:pPr>
        <w:pStyle w:val="ListBullet"/>
      </w:pPr>
      <w:r>
        <w:t>上下文先验 ctx_prior：菌株×培养基×温度×时间分组均值作为蛋白空间先验（train-only），为未见菌株提供"细胞状态锚点"，是经验贝叶斯式的保守外推。</w:t>
      </w:r>
    </w:p>
    <w:p>
      <w:pPr>
        <w:pStyle w:val="ListBullet"/>
      </w:pPr>
      <w:r>
        <w:t>菌株遗传特征：由 1011 酵母菌株 SNP 距离矩阵构建"到训练菌株的遗传距离向量"，使未见菌株可借遗传近邻迁移响应。</w:t>
      </w:r>
    </w:p>
    <w:p>
      <w:pPr>
        <w:pStyle w:val="ListBullet"/>
      </w:pPr>
      <w:r>
        <w:t>结构化先验：GO 通路注意力（92 个高频通路，同一通路蛋白共享响应偏置）与 ESM2 序列先验作为功能层面的软约束。</w:t>
      </w:r>
    </w:p>
    <w:p>
      <w:r>
        <w:rPr>
          <w:b w:val="0"/>
          <w:sz w:val="22"/>
        </w:rPr>
        <w:t>损失函数采用分层组合（分层损失）：绝对丰度 MSE + Δ 监督 MSE + FC 相关损失（对齐 Δ 预测与 Δ 真值）+ 蛋白谱相关损失 + GO 通路图正则 + 留一组件残差监督（Δ 对齐去掉自身后 μ_ctx/μ_drug 残差）+ 残差头 L2 正则；按三阶段训练：阶段 A 对照模型预训练 → 阶段 B 响应模型训练（冻结对照）→ 阶段 C 联合微调（分组学习率）。</w:t>
      </w:r>
    </w:p>
    <w:p>
      <w:r>
        <w:rPr>
          <w:b w:val="0"/>
          <w:sz w:val="22"/>
        </w:rPr>
        <w:t>门控设计（v5.3 实验）经历过一次重要迭代：初版为 seen/unseen 硬门控，后按"相似度/支持数/不确定性"改为连续可靠性门控，验证结果表明门控形式并非当前瓶颈（与 v4.9 结论一致），故保留简单形式并在文档中如实记录。</w:t>
      </w:r>
    </w:p>
    <w:p>
      <w:pPr>
        <w:pStyle w:val="Heading2"/>
      </w:pPr>
      <w:r>
        <w:t>3.2 预期方法路线</w:t>
      </w:r>
    </w:p>
    <w:p>
      <w:r>
        <w:rPr>
          <w:b w:val="0"/>
          <w:sz w:val="22"/>
        </w:rPr>
        <w:t>当前为初赛阶段，以下为已计划/已启动的后续路线（部分已有初步实验）：</w:t>
      </w:r>
    </w:p>
    <w:p>
      <w:pPr>
        <w:pStyle w:val="ListBullet"/>
      </w:pPr>
      <w:r>
        <w:t>leave-entity-out episodic training：在训练中随机留出化合物/菌株实体，把其样本按"未见"处理并加权其扰动损失，使训练目标直接对应 S1/S2/S3 外推。已实现并启动实验（初赛提交前初步结果未见提升，具体见 4.2，属于值得继续调参的方向而非已定论）。</w:t>
      </w:r>
    </w:p>
    <w:p>
      <w:pPr>
        <w:pStyle w:val="ListBullet"/>
      </w:pPr>
      <w:r>
        <w:t>自适应化学迁移融合：对未见化合物，按"同菌株条件对齐 + 结构相似度 top-k"加权训练化合物响应做迁移，融合系数 α 由化合物相似度自适应（在 val 伪新化合物上验证了α 形式）。后续将把融合系数改为可学习校准器，并加入"响应谱相似性迁移"分支。</w:t>
      </w:r>
    </w:p>
    <w:p>
      <w:pPr>
        <w:pStyle w:val="ListBullet"/>
      </w:pPr>
      <w:r>
        <w:t>菌株功能聚合特征：SNP 距离核已验证有效；下一步将把拷贝数变异/功能注释映射到通路层面形成功能聚合特征（当前数据仅提供距离矩阵，功能聚合受数据限制）。</w:t>
      </w:r>
    </w:p>
    <w:p>
      <w:pPr>
        <w:pStyle w:val="ListBullet"/>
      </w:pPr>
      <w:r>
        <w:t>蛋白模块化输出与不确定性估计：将 4422 维输出改为"通路模块状态 → 蛋白残差"两层结构；引入 MC-dropout / 深度集成给出预测置信区间，使模型输出可用于虚拟筛选的"哪些预测可信"判断。</w:t>
      </w:r>
    </w:p>
    <w:p>
      <w:pPr>
        <w:pStyle w:val="Heading2"/>
      </w:pPr>
      <w:r>
        <w:t>3.3 数据来源、依赖工具与运行流程</w:t>
      </w:r>
    </w:p>
    <w:p>
      <w:r>
        <w:rPr>
          <w:b w:val="0"/>
          <w:sz w:val="22"/>
        </w:rPr>
        <w:t>数据来源：官方 train_val 与 test（2026-07-15 发布版，官网为准），仅 train 划分用于训练与全部统计量估计；外部公开资源包括 UniProt GO 注释、ESM2 蛋白序列嵌入、STRING 蛋白互作、1011 酵母菌株 SNP 距离矩阵、PubChem 化合物 SMILES。</w:t>
      </w:r>
    </w:p>
    <w:p>
      <w:r>
        <w:rPr>
          <w:b w:val="0"/>
          <w:sz w:val="22"/>
        </w:rPr>
        <w:t>依赖工具：Python 3.9 / PyTorch（CUDA）/ scikit-learn（SVD）/ RDKit（描述符与指纹）/ pandas / numpy；训练在单卡 GPU 上进行。运行流程：数据预处理 → 特征构建 → 三阶段训练（v2.1/v3.5/v3.7/v5.2）→ 场景评估（5 个随机种子）→ 提交文件生成。</w:t>
      </w:r>
    </w:p>
    <w:p>
      <w:pPr>
        <w:pStyle w:val="Heading1"/>
      </w:pPr>
      <w:r>
        <w:t>四、阶段性实验结果或可行性验证</w:t>
      </w:r>
    </w:p>
    <w:p>
      <w:pPr>
        <w:pStyle w:val="Heading2"/>
      </w:pPr>
      <w:r>
        <w:t>4.1 阶段性实验：方法演进的动机与验证</w:t>
      </w:r>
    </w:p>
    <w:p>
      <w:r>
        <w:rPr>
          <w:b w:val="0"/>
          <w:sz w:val="22"/>
        </w:rPr>
        <w:t>以下按时间顺序记录主要方法变更、动机与验证结果，体现"做了什么、为什么、结果如何"的完整过程。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关键变更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动机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v2.x</w:t>
            </w:r>
          </w:p>
        </w:tc>
        <w:tc>
          <w:tcPr>
            <w:tcW w:type="dxa" w:w="2160"/>
          </w:tcPr>
          <w:p>
            <w:r>
              <w:t>B/S/C/T 四分支残差分解 + 对照监督 + LOO 组件监督 + 可见性门控</w:t>
            </w:r>
          </w:p>
        </w:tc>
        <w:tc>
          <w:tcPr>
            <w:tcW w:type="dxa" w:w="2160"/>
          </w:tcPr>
          <w:p>
            <w:r>
              <w:t>让架构直接对应评测目标（绝对保真/化合物特异/菌株调制）</w:t>
            </w:r>
          </w:p>
        </w:tc>
        <w:tc>
          <w:tcPr>
            <w:tcW w:type="dxa" w:w="2160"/>
          </w:tcPr>
          <w:p>
            <w:r>
              <w:t>val 四场景蛋白 R² 中位数约 0.66~0.88，3×v2.1 集成最优</w:t>
            </w:r>
          </w:p>
        </w:tc>
      </w:tr>
      <w:tr>
        <w:tc>
          <w:tcPr>
            <w:tcW w:type="dxa" w:w="2160"/>
          </w:tcPr>
          <w:p>
            <w:r>
              <w:t>v3.x</w:t>
            </w:r>
          </w:p>
        </w:tc>
        <w:tc>
          <w:tcPr>
            <w:tcW w:type="dxa" w:w="2160"/>
          </w:tcPr>
          <w:p>
            <w:r>
              <w:t>Morgan 指纹、ESM2 先验、STRING PPI、GO 通路注意力</w:t>
            </w:r>
          </w:p>
        </w:tc>
        <w:tc>
          <w:tcPr>
            <w:tcW w:type="dxa" w:w="2160"/>
          </w:tcPr>
          <w:p>
            <w:r>
              <w:t>开放榜后引入结构/序列/功能先验，替代纯 ID 记忆</w:t>
            </w:r>
          </w:p>
        </w:tc>
        <w:tc>
          <w:tcPr>
            <w:tcW w:type="dxa" w:w="2160"/>
          </w:tcPr>
          <w:p>
            <w:r>
              <w:t>v3.7（GO 通路注意力）为最强单模型，unseen 菌株 +0.013</w:t>
            </w:r>
          </w:p>
        </w:tc>
      </w:tr>
      <w:tr>
        <w:tc>
          <w:tcPr>
            <w:tcW w:type="dxa" w:w="2160"/>
          </w:tcPr>
          <w:p>
            <w:r>
              <w:t>v5.0</w:t>
            </w:r>
          </w:p>
        </w:tc>
        <w:tc>
          <w:tcPr>
            <w:tcW w:type="dxa" w:w="2160"/>
          </w:tcPr>
          <w:p>
            <w:r>
              <w:t>泄漏审计 + control/delta 低秩分离重构</w:t>
            </w:r>
          </w:p>
        </w:tc>
        <w:tc>
          <w:tcPr>
            <w:tcW w:type="dxa" w:w="2160"/>
          </w:tcPr>
          <w:p>
            <w:r>
              <w:t>评审路线：审计统计量越界，验证分离架构</w:t>
            </w:r>
          </w:p>
        </w:tc>
        <w:tc>
          <w:tcPr>
            <w:tcW w:type="dxa" w:w="2160"/>
          </w:tcPr>
          <w:p>
            <w:r>
              <w:t>修复 3 处泄漏（chem_emb_init 用 val 真值、对照跨划分、迁移池含 val）；分离单模型不如 v37，但作为集成成分有互补</w:t>
            </w:r>
          </w:p>
        </w:tc>
      </w:tr>
      <w:tr>
        <w:tc>
          <w:tcPr>
            <w:tcW w:type="dxa" w:w="2160"/>
          </w:tcPr>
          <w:p>
            <w:r>
              <w:t>v5.1</w:t>
            </w:r>
          </w:p>
        </w:tc>
        <w:tc>
          <w:tcPr>
            <w:tcW w:type="dxa" w:w="2160"/>
          </w:tcPr>
          <w:p>
            <w:r>
              <w:t>组件级残差监督（μ_ctx/μ_drug LOO）+ RDKit 10 项描述符</w:t>
            </w:r>
          </w:p>
        </w:tc>
        <w:tc>
          <w:tcPr>
            <w:tcW w:type="dxa" w:w="2160"/>
          </w:tcPr>
          <w:p>
            <w:r>
              <w:t>v37 靠组件监督强、v5.0 缺它弱；补结构描述符</w:t>
            </w:r>
          </w:p>
        </w:tc>
        <w:tc>
          <w:tcPr>
            <w:tcW w:type="dxa" w:w="2160"/>
          </w:tcPr>
          <w:p>
            <w:r>
              <w:t>单模型 strain +0.089 / both +0.094</w:t>
            </w:r>
          </w:p>
        </w:tc>
      </w:tr>
      <w:tr>
        <w:tc>
          <w:tcPr>
            <w:tcW w:type="dxa" w:w="2160"/>
          </w:tcPr>
          <w:p>
            <w:r>
              <w:t>v5.2</w:t>
            </w:r>
          </w:p>
        </w:tc>
        <w:tc>
          <w:tcPr>
            <w:tcW w:type="dxa" w:w="2160"/>
          </w:tcPr>
          <w:p>
            <w:r>
              <w:t>菌株 SNP 遗传距离向量</w:t>
            </w:r>
          </w:p>
        </w:tc>
        <w:tc>
          <w:tcPr>
            <w:tcW w:type="dxa" w:w="2160"/>
          </w:tcPr>
          <w:p>
            <w:r>
              <w:t>让未见菌株借遗传近邻迁移（CRD-CGD 距离 0.383）</w:t>
            </w:r>
          </w:p>
        </w:tc>
        <w:tc>
          <w:tcPr>
            <w:tcW w:type="dxa" w:w="2160"/>
          </w:tcPr>
          <w:p>
            <w:r>
              <w:t>单模型 strain +0.038 / both +0.031</w:t>
            </w:r>
          </w:p>
        </w:tc>
      </w:tr>
      <w:tr>
        <w:tc>
          <w:tcPr>
            <w:tcW w:type="dxa" w:w="2160"/>
          </w:tcPr>
          <w:p>
            <w:r>
              <w:t>v5.3</w:t>
            </w:r>
          </w:p>
        </w:tc>
        <w:tc>
          <w:tcPr>
            <w:tcW w:type="dxa" w:w="2160"/>
          </w:tcPr>
          <w:p>
            <w:r>
              <w:t>相似度/支持数驱动的可靠性门控</w:t>
            </w:r>
          </w:p>
        </w:tc>
        <w:tc>
          <w:tcPr>
            <w:tcW w:type="dxa" w:w="2160"/>
          </w:tcPr>
          <w:p>
            <w:r>
              <w:t>评审建议的软门控替代硬门控</w:t>
            </w:r>
          </w:p>
        </w:tc>
        <w:tc>
          <w:tcPr>
            <w:tcW w:type="dxa" w:w="2160"/>
          </w:tcPr>
          <w:p>
            <w:r>
              <w:t>负面：无提升（与 v4.9 一致），门控非瓶颈</w:t>
            </w:r>
          </w:p>
        </w:tc>
      </w:tr>
    </w:tbl>
    <w:p/>
    <w:p>
      <w:r>
        <w:rPr>
          <w:b w:val="0"/>
          <w:sz w:val="22"/>
        </w:rPr>
        <w:t>负向与边界结果同样记录：排序方向损失无效（v4.3/v4.7）、Dropout 降低效果、大模型过拟合（v3.8）、原始 SNP/CNV 直接接入无效、exp(τ) 软最大迁移权重不如max 加权（0.6337 vs 0.6349）、低秩维度 d=32 与 d=64 持平、episodic training 初版未见提升。这些结果共同界定了该数据尺度下的方法边界。</w:t>
      </w:r>
    </w:p>
    <w:p>
      <w:pPr>
        <w:pStyle w:val="Heading2"/>
      </w:pPr>
      <w:r>
        <w:t>4.2 当前结果</w:t>
      </w:r>
    </w:p>
    <w:p>
      <w:r>
        <w:rPr>
          <w:b w:val="0"/>
          <w:sz w:val="22"/>
        </w:rPr>
        <w:t>（1）5 个随机种子的稳定性（val 四场景，蛋白 R² 中位数 mean±std）。统一方法层面报告 0.75×v3.7 + 0.25×v5.2 集成的表现：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v5.2 单模型 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v5.2 FC PCC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集成 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集成 FC PCC</w:t>
            </w:r>
          </w:p>
        </w:tc>
      </w:tr>
      <w:tr>
        <w:tc>
          <w:tcPr>
            <w:tcW w:type="dxa" w:w="1728"/>
          </w:tcPr>
          <w:p>
            <w:r>
              <w:t>val_chem_only（S1 新化合物）</w:t>
            </w:r>
          </w:p>
        </w:tc>
        <w:tc>
          <w:tcPr>
            <w:tcW w:type="dxa" w:w="1728"/>
          </w:tcPr>
          <w:p>
            <w:r>
              <w:t>0.829±0.004</w:t>
            </w:r>
          </w:p>
        </w:tc>
        <w:tc>
          <w:tcPr>
            <w:tcW w:type="dxa" w:w="1728"/>
          </w:tcPr>
          <w:p>
            <w:r>
              <w:t>0.338±0.007</w:t>
            </w:r>
          </w:p>
        </w:tc>
        <w:tc>
          <w:tcPr>
            <w:tcW w:type="dxa" w:w="1728"/>
          </w:tcPr>
          <w:p>
            <w:r>
              <w:t>0.869±0.000</w:t>
            </w:r>
          </w:p>
        </w:tc>
        <w:tc>
          <w:tcPr>
            <w:tcW w:type="dxa" w:w="1728"/>
          </w:tcPr>
          <w:p>
            <w:r>
              <w:t>0.426±0.001</w:t>
            </w:r>
          </w:p>
        </w:tc>
      </w:tr>
      <w:tr>
        <w:tc>
          <w:tcPr>
            <w:tcW w:type="dxa" w:w="1728"/>
          </w:tcPr>
          <w:p>
            <w:r>
              <w:t>val_strain_only（S2 新菌株）</w:t>
            </w:r>
          </w:p>
        </w:tc>
        <w:tc>
          <w:tcPr>
            <w:tcW w:type="dxa" w:w="1728"/>
          </w:tcPr>
          <w:p>
            <w:r>
              <w:t>0.581±0.040</w:t>
            </w:r>
          </w:p>
        </w:tc>
        <w:tc>
          <w:tcPr>
            <w:tcW w:type="dxa" w:w="1728"/>
          </w:tcPr>
          <w:p>
            <w:r>
              <w:t>0.280±0.014</w:t>
            </w:r>
          </w:p>
        </w:tc>
        <w:tc>
          <w:tcPr>
            <w:tcW w:type="dxa" w:w="1728"/>
          </w:tcPr>
          <w:p>
            <w:r>
              <w:t>0.690±0.002</w:t>
            </w:r>
          </w:p>
        </w:tc>
        <w:tc>
          <w:tcPr>
            <w:tcW w:type="dxa" w:w="1728"/>
          </w:tcPr>
          <w:p>
            <w:r>
              <w:t>0.355±0.004</w:t>
            </w:r>
          </w:p>
        </w:tc>
      </w:tr>
      <w:tr>
        <w:tc>
          <w:tcPr>
            <w:tcW w:type="dxa" w:w="1728"/>
          </w:tcPr>
          <w:p>
            <w:r>
              <w:t>val_both（S3 双重未知）</w:t>
            </w:r>
          </w:p>
        </w:tc>
        <w:tc>
          <w:tcPr>
            <w:tcW w:type="dxa" w:w="1728"/>
          </w:tcPr>
          <w:p>
            <w:r>
              <w:t>0.669±0.034</w:t>
            </w:r>
          </w:p>
        </w:tc>
        <w:tc>
          <w:tcPr>
            <w:tcW w:type="dxa" w:w="1728"/>
          </w:tcPr>
          <w:p>
            <w:r>
              <w:t>0.223±0.010</w:t>
            </w:r>
          </w:p>
        </w:tc>
        <w:tc>
          <w:tcPr>
            <w:tcW w:type="dxa" w:w="1728"/>
          </w:tcPr>
          <w:p>
            <w:r>
              <w:t>0.762±0.001</w:t>
            </w:r>
          </w:p>
        </w:tc>
        <w:tc>
          <w:tcPr>
            <w:tcW w:type="dxa" w:w="1728"/>
          </w:tcPr>
          <w:p>
            <w:r>
              <w:t>0.234±0.003</w:t>
            </w:r>
          </w:p>
        </w:tc>
      </w:tr>
      <w:tr>
        <w:tc>
          <w:tcPr>
            <w:tcW w:type="dxa" w:w="1728"/>
          </w:tcPr>
          <w:p>
            <w:r>
              <w:t>val_time（时间外推）</w:t>
            </w:r>
          </w:p>
        </w:tc>
        <w:tc>
          <w:tcPr>
            <w:tcW w:type="dxa" w:w="1728"/>
          </w:tcPr>
          <w:p>
            <w:r>
              <w:t>0.779±0.002</w:t>
            </w:r>
          </w:p>
        </w:tc>
        <w:tc>
          <w:tcPr>
            <w:tcW w:type="dxa" w:w="1728"/>
          </w:tcPr>
          <w:p>
            <w:r>
              <w:t>0.512±0.005</w:t>
            </w:r>
          </w:p>
        </w:tc>
        <w:tc>
          <w:tcPr>
            <w:tcW w:type="dxa" w:w="1728"/>
          </w:tcPr>
          <w:p>
            <w:r>
              <w:t>0.832±0.000</w:t>
            </w:r>
          </w:p>
        </w:tc>
        <w:tc>
          <w:tcPr>
            <w:tcW w:type="dxa" w:w="1728"/>
          </w:tcPr>
          <w:p>
            <w:r>
              <w:t>0.611±0.001</w:t>
            </w:r>
          </w:p>
        </w:tc>
      </w:tr>
    </w:tbl>
    <w:p/>
    <w:p>
      <w:r>
        <w:rPr>
          <w:b w:val="0"/>
          <w:sz w:val="22"/>
        </w:rPr>
        <w:t>集成结果跨 5 个种子标准差 ≤0.004，说明成绩稳定；v5.2 单模型在 unseen 菌株场景存在 0.03 量级的种子波动，属于小样本实体的固有噪声，如实报告。</w:t>
      </w:r>
    </w:p>
    <w:p>
      <w:r>
        <w:rPr>
          <w:b w:val="0"/>
          <w:sz w:val="22"/>
        </w:rPr>
        <w:t>（2）测试集真值自评（官方允许"可自评不可训练"，统计量/监督/迁移池全部 train-only）。按官方六模块评分（绝对保真 20% / 匹配对照 FC 25% / 上下文均值残差 20% / 药物均值残差 20% / 双重未知与时间 10% / 高效应蛋白 DEP 检出 5%），提交文件 prediction_v52ens.csv 的加权自评：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M1 FC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M2 绝对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M3 ctx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M4 drug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M5 双盲/时间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M6 DEP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总分</w:t>
            </w:r>
          </w:p>
        </w:tc>
      </w:tr>
      <w:tr>
        <w:tc>
          <w:tcPr>
            <w:tcW w:type="dxa" w:w="1080"/>
          </w:tcPr>
          <w:p>
            <w:r>
              <w:t>test_chem_only</w:t>
            </w:r>
          </w:p>
        </w:tc>
        <w:tc>
          <w:tcPr>
            <w:tcW w:type="dxa" w:w="1080"/>
          </w:tcPr>
          <w:p>
            <w:r>
              <w:t>0.468</w:t>
            </w:r>
          </w:p>
        </w:tc>
        <w:tc>
          <w:tcPr>
            <w:tcW w:type="dxa" w:w="1080"/>
          </w:tcPr>
          <w:p>
            <w:r>
              <w:t>0.922</w:t>
            </w:r>
          </w:p>
        </w:tc>
        <w:tc>
          <w:tcPr>
            <w:tcW w:type="dxa" w:w="1080"/>
          </w:tcPr>
          <w:p>
            <w:r>
              <w:t>0.397</w:t>
            </w:r>
          </w:p>
        </w:tc>
        <w:tc>
          <w:tcPr>
            <w:tcW w:type="dxa" w:w="1080"/>
          </w:tcPr>
          <w:p>
            <w:r>
              <w:t>0.468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0.624</w:t>
            </w:r>
          </w:p>
        </w:tc>
        <w:tc>
          <w:tcPr>
            <w:tcW w:type="dxa" w:w="1080"/>
          </w:tcPr>
          <w:p>
            <w:r>
              <w:t>0.506</w:t>
            </w:r>
          </w:p>
        </w:tc>
      </w:tr>
      <w:tr>
        <w:tc>
          <w:tcPr>
            <w:tcW w:type="dxa" w:w="1080"/>
          </w:tcPr>
          <w:p>
            <w:r>
              <w:t>test_strain_only</w:t>
            </w:r>
          </w:p>
        </w:tc>
        <w:tc>
          <w:tcPr>
            <w:tcW w:type="dxa" w:w="1080"/>
          </w:tcPr>
          <w:p>
            <w:r>
              <w:t>0.827</w:t>
            </w:r>
          </w:p>
        </w:tc>
        <w:tc>
          <w:tcPr>
            <w:tcW w:type="dxa" w:w="1080"/>
          </w:tcPr>
          <w:p>
            <w:r>
              <w:t>0.769</w:t>
            </w:r>
          </w:p>
        </w:tc>
        <w:tc>
          <w:tcPr>
            <w:tcW w:type="dxa" w:w="1080"/>
          </w:tcPr>
          <w:p>
            <w:r>
              <w:t>0.827</w:t>
            </w:r>
          </w:p>
        </w:tc>
        <w:tc>
          <w:tcPr>
            <w:tcW w:type="dxa" w:w="1080"/>
          </w:tcPr>
          <w:p>
            <w:r>
              <w:t>0.826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0.682</w:t>
            </w:r>
          </w:p>
        </w:tc>
        <w:tc>
          <w:tcPr>
            <w:tcW w:type="dxa" w:w="1080"/>
          </w:tcPr>
          <w:p>
            <w:r>
              <w:t>0.725</w:t>
            </w:r>
          </w:p>
        </w:tc>
      </w:tr>
      <w:tr>
        <w:tc>
          <w:tcPr>
            <w:tcW w:type="dxa" w:w="1080"/>
          </w:tcPr>
          <w:p>
            <w:r>
              <w:t>test_both</w:t>
            </w:r>
          </w:p>
        </w:tc>
        <w:tc>
          <w:tcPr>
            <w:tcW w:type="dxa" w:w="1080"/>
          </w:tcPr>
          <w:p>
            <w:r>
              <w:t>0.556</w:t>
            </w:r>
          </w:p>
        </w:tc>
        <w:tc>
          <w:tcPr>
            <w:tcW w:type="dxa" w:w="1080"/>
          </w:tcPr>
          <w:p>
            <w:r>
              <w:t>0.808</w:t>
            </w:r>
          </w:p>
        </w:tc>
        <w:tc>
          <w:tcPr>
            <w:tcW w:type="dxa" w:w="1080"/>
          </w:tcPr>
          <w:p>
            <w:r>
              <w:t>0.556</w:t>
            </w:r>
          </w:p>
        </w:tc>
        <w:tc>
          <w:tcPr>
            <w:tcW w:type="dxa" w:w="1080"/>
          </w:tcPr>
          <w:p>
            <w:r>
              <w:t>0.556</w:t>
            </w:r>
          </w:p>
        </w:tc>
        <w:tc>
          <w:tcPr>
            <w:tcW w:type="dxa" w:w="1080"/>
          </w:tcPr>
          <w:p>
            <w:r>
              <w:t>0.605</w:t>
            </w:r>
          </w:p>
        </w:tc>
        <w:tc>
          <w:tcPr>
            <w:tcW w:type="dxa" w:w="1080"/>
          </w:tcPr>
          <w:p>
            <w:r>
              <w:t>0.636</w:t>
            </w:r>
          </w:p>
        </w:tc>
        <w:tc>
          <w:tcPr>
            <w:tcW w:type="dxa" w:w="1080"/>
          </w:tcPr>
          <w:p>
            <w:r>
              <w:t>0.615</w:t>
            </w:r>
          </w:p>
        </w:tc>
      </w:tr>
      <w:tr>
        <w:tc>
          <w:tcPr>
            <w:tcW w:type="dxa" w:w="1080"/>
          </w:tcPr>
          <w:p>
            <w:r>
              <w:t>test_time</w:t>
            </w:r>
          </w:p>
        </w:tc>
        <w:tc>
          <w:tcPr>
            <w:tcW w:type="dxa" w:w="1080"/>
          </w:tcPr>
          <w:p>
            <w:r>
              <w:t>0.624</w:t>
            </w:r>
          </w:p>
        </w:tc>
        <w:tc>
          <w:tcPr>
            <w:tcW w:type="dxa" w:w="1080"/>
          </w:tcPr>
          <w:p>
            <w:r>
              <w:t>0.917</w:t>
            </w:r>
          </w:p>
        </w:tc>
        <w:tc>
          <w:tcPr>
            <w:tcW w:type="dxa" w:w="1080"/>
          </w:tcPr>
          <w:p>
            <w:r>
              <w:t>0.561</w:t>
            </w:r>
          </w:p>
        </w:tc>
        <w:tc>
          <w:tcPr>
            <w:tcW w:type="dxa" w:w="1080"/>
          </w:tcPr>
          <w:p>
            <w:r>
              <w:t>0.562</w:t>
            </w:r>
          </w:p>
        </w:tc>
        <w:tc>
          <w:tcPr>
            <w:tcW w:type="dxa" w:w="1080"/>
          </w:tcPr>
          <w:p>
            <w:r>
              <w:t>0.779</w:t>
            </w:r>
          </w:p>
        </w:tc>
        <w:tc>
          <w:tcPr>
            <w:tcW w:type="dxa" w:w="1080"/>
          </w:tcPr>
          <w:p>
            <w:r>
              <w:t>0.702</w:t>
            </w:r>
          </w:p>
        </w:tc>
        <w:tc>
          <w:tcPr>
            <w:tcW w:type="dxa" w:w="1080"/>
          </w:tcPr>
          <w:p>
            <w:r>
              <w:t>0.677</w:t>
            </w:r>
          </w:p>
        </w:tc>
      </w:tr>
    </w:tbl>
    <w:p/>
    <w:p>
      <w:r>
        <w:rPr>
          <w:b w:val="0"/>
          <w:sz w:val="22"/>
        </w:rPr>
        <w:t>加权总分 ≈ 0.626（四场景权重 1/1/0.5/0.5，近似官方组合）。其中 M6 DEP 采用"方向准确率 40% + 高效应 PCC 30% + F1@K（50/100/200 三档均值）30%"口径，以固定 top-K 避免"全报阳性"刷高召回（官方规则明确要求）。</w:t>
      </w:r>
    </w:p>
    <w:p>
      <w:r>
        <w:rPr>
          <w:b w:val="0"/>
          <w:sz w:val="22"/>
        </w:rPr>
        <w:t>（3）科学层面的验证：预测 Δ 显著富集到 4 个已知生物学通路（GO 富集分析，FDR&lt;0.05），说明模型学到的不只是数值拟合，还捕捉到功能层面的响应模式；菌株遗传距离与响应相似度的正相关进一步支持"遗传近 → 响应可迁移"的生物学假设（详见复现仓库中的评估脚本与交接文档）。</w:t>
      </w:r>
    </w:p>
    <w:p>
      <w:pPr>
        <w:pStyle w:val="Heading1"/>
      </w:pPr>
      <w:r>
        <w:t>五、复现与开放计划</w:t>
      </w:r>
    </w:p>
    <w:p>
      <w:pPr>
        <w:pStyle w:val="Heading2"/>
      </w:pPr>
      <w:r>
        <w:t>5.1 复现方式</w:t>
      </w:r>
    </w:p>
    <w:p>
      <w:r>
        <w:rPr>
          <w:b w:val="0"/>
          <w:sz w:val="22"/>
        </w:rPr>
        <w:t>代码仓库（GitHub 公开）按数据/特征/训练/评估/提交组织，训练与评估全部固定随机种子（v2.1: 42/43/44；v5.2: 1/2/42/43/44），所有统计量（缺失率、均值、标准化、SVD、迁移池、对照匹配）仅从 train 划分计算；README 提供从数据预处理到提交文件生成的完整命令序列。复现环境：Python 3.9 + PyTorch + RDKit + scikit-learn，单卡 GPU。</w:t>
      </w:r>
    </w:p>
    <w:p>
      <w:pPr>
        <w:pStyle w:val="Heading2"/>
      </w:pPr>
      <w:r>
        <w:t>5.2 开源计划</w:t>
      </w:r>
    </w:p>
    <w:p>
      <w:r>
        <w:rPr>
          <w:b w:val="0"/>
          <w:sz w:val="22"/>
        </w:rPr>
        <w:t>仓库将于复赛阶段公开（初赛按规则不强制提交代码，先说明开源计划与边界）：开源全部训练/评估/提交脚本与模型权重；外部资源（GO/ESM2/STRING/SNP 距离/PubChem SMILES）全部披露来源、版本与获取方式；数据本身遵循官方数据使用协议，不随仓库分发。</w:t>
      </w:r>
    </w:p>
    <w:p>
      <w:pPr>
        <w:pStyle w:val="Heading2"/>
      </w:pPr>
      <w:r>
        <w:t>5.3 依赖、数据来源与合规披露</w:t>
      </w:r>
    </w:p>
    <w:p>
      <w:pPr>
        <w:pStyle w:val="ListBullet"/>
      </w:pPr>
      <w:r>
        <w:t>官方数据：train_val + test（四个文件，蛋白维度 5243），仅 train 划分用于训练与统计量估计；测试真值仅用于最终自评（官方允许"可自评不可训练"）。</w:t>
      </w:r>
    </w:p>
    <w:p>
      <w:pPr>
        <w:pStyle w:val="ListBullet"/>
      </w:pPr>
      <w:r>
        <w:t>外部资源：UniProt GO 注释（uniprot_yeast_full.tsv）、ESM2 蛋白嵌入、STRING 蛋白互作（v11.5）、1011 酵母菌株 SNP 距离矩阵（Bergström et al. 2014 数据）、PubChem 化合物 SMILES（11 个未见化合物，用于结构迁移）。</w:t>
      </w:r>
    </w:p>
    <w:p>
      <w:pPr>
        <w:pStyle w:val="ListBullet"/>
      </w:pPr>
      <w:r>
        <w:t>依赖：PyTorch（BSD）、scikit-learn、RDKit（BSD 3-Clause）、pandas/numpy（BSD）、python-docx（MIT）；无商业 API、无闭源模型。</w:t>
      </w:r>
    </w:p>
    <w:p>
      <w:pPr>
        <w:pStyle w:val="ListBullet"/>
      </w:pPr>
      <w:r>
        <w:t>合规自检：对照匹配、分组均值、SVD、迁移池全部 train-only；未见化合物指纹由 SMILES 生成（不依赖测试真值）；评审可复现性由固定种子 + 完整命令序列保证。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