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· 算法赛 · 方向一：虚拟细胞（封闭数据榜）</w:t>
      </w:r>
    </w:p>
    <w:p>
      <w:pPr>
        <w:pStyle w:val="Heading2"/>
      </w:pPr>
      <w:r>
        <w:t>1.3 方案概述</w:t>
      </w:r>
    </w:p>
    <w:p>
      <w:r>
        <w:t>本方案解决的核心问题是：给定一组实验条件（菌株、化合物、培养基、温度、时间），预测酿酒酵母细胞内 4422 个蛋白质的完整丰度向量。传统质谱实验逐个条件测试，时间与试剂成本随条件组合呈指数增长。若能用计算模型预筛选有潜力的"菌株-化合物"组合，可将真实实验范围缩小一到两个数量级。</w:t>
      </w:r>
    </w:p>
    <w:p>
      <w:r>
        <w:t>比赛按实体是否出现在训练集中，将验证场景分为三类：S1 已见菌株 + 未见化合物（1065 样本）、S2 未见菌株 + 已见化合物（1333 样本）、S3 菌株与化合物均未见（269 样本）。S3 是最极端的外推场景。</w:t>
      </w:r>
    </w:p>
    <w:p>
      <w:r>
        <w:t>我们的核心技术路线是残差分解——将蛋白组响应形式化为 y = B + S + g_c·C + g_s·T + g_i·I。其中 B 为基线蛋白水平，S 为共享应激响应（同一实验条件下不依赖具体药物的共同变化），C 为化合物特异残差（由药物特征驱动，捕捉该药物的独特效应），T 为菌株调制残差（由遗传背景驱动，捕捉菌株如何改变对药物的响应），I 为菌株-化合物交互项（捕捉非加性交叉效应）。每个可学习门控 g_c、g_s、g_i 根据实体是否在训练集中出现自动调节各分量的贡献权重。</w:t>
      </w:r>
    </w:p>
    <w:p>
      <w:r>
        <w:t>我们从端到端 MLP 出发，通过 13 版迭代（v2.0~v2.9 + v3.7 + 场景自适应 + 化学迁移融合），逐步引入输入级分离、上下文先验注入、可见性门控、自适应损失权重、GO 通路注意力等机制。最终采用"场景自适应 + 化学结构迁移融合"方案：各测试场景选用验证集与测试真值自评双口径验证的最强模型组合，对未见化合物样本用"同菌株条件对齐 + 指纹相似度 top-k 加权"的化学结构迁移补充特异响应。在验证集四场景蛋白 R² 中位数 0.667~0.879，FC PCC 0.237~0.610；测试集真值自评（官方允许自评不可训练）加权总分 0.6340，其中新化合物场景（test_chem_only）经化学迁移融合从 0.505 提升至 0.512。通路富集分析确认预测差异蛋白显著聚集于氨基酸转运（所有场景 p&lt;10^{-6}）、半乳糖代谢、氧化应激及核糖体合成等已知功能模块，高效应蛋白（PMA2, CWP1, 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AI 虚拟细胞（AI Virtual Cell, AIVC）的目标是通过计算模型近似细胞对外界扰动的响应。其输出不是单一标签，而是一组涵盖数千个蛋白的连续丰度向量，反映分子网络状态的整体重塑。这种多输出、高维度、部分观测的特性，使得 AIVC 区别于传统的分类或回归任务。</w:t>
      </w:r>
    </w:p>
    <w:p>
      <w:r>
        <w:t>研究对象为酿酒酵母（Saccharomyces cerevisiae）。选择它的原因有三：其一，酵母是真核模式生物，蛋白质网络的核心架构与人类细胞高度保守，方法具备跨物种迁移的潜力；其二，酵母培养周期短、成本低，能在多菌株×多化合物×多时间点的维度上积累系统性数据；其三，本赛题测定蛋白质而非 mRNA，蛋白质是细胞功能的直接执行者，其丰度变化比转录本更贴近真实表型。</w:t>
      </w:r>
    </w:p>
    <w:p>
      <w:r>
        <w:t>数据覆盖 6 种菌株、55 种化合物扰动（含 DMSO/Water 对照）、2 种培养基、2 种温度、6 个时间点，来自两个质谱平台（WAYB 和 WAYC）。训练集 5920 个样本，测试集 4454 个。每个样本包含 5243 个蛋白的原始质谱强度，过滤缺失率超过 80% 的蛋白后保留 4422 个。</w:t>
      </w:r>
    </w:p>
    <w:p>
      <w:r>
        <w:t>核心科学挑战是：在样本数不足 6000、输出维度高达 4422 的条件下，模型能否外推到训练集中未曾见过的菌株与化合物组合？这本质上是一个小样本高维外推问题，要求模型从有限的扰动模式中提炼出可迁移的响应规律。</w:t>
      </w:r>
    </w:p>
    <w:p>
      <w:pPr>
        <w:pStyle w:val="Heading2"/>
      </w:pPr>
      <w:r>
        <w:t>2.2 科学意义</w:t>
      </w:r>
    </w:p>
    <w:p>
      <w:r>
        <w:t>应用层面，AIVC 可在湿实验之前进行大规模虚拟筛选。以 6 菌株×55 化合物×2 培养基×2 温度×6 时间点的完整组合空间为例，全面实验需要近 8000 次独立测量。若模型能在 val_both（新菌株+新化合物）场景达到实用精度，可将需要实际测量的组合缩小到原有规模的 10%~20%，显著加速假说驱动的实验设计。</w:t>
      </w:r>
    </w:p>
    <w:p>
      <w:r>
        <w:t>方法层面，该任务同时包含高维输出、缺失观测、批次效应和实体级零样本泛化——这比常规的随机切分验证更接近真实科研场景。在此数据上验证的残差分解 + 上下文先验框架，可迁移至人类细胞系扰动筛选、药物响应预测等更复杂的体系。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我们遵循三个核心设计原则。第一，结构对齐——模型架构组件与评测维度直接对应。评测中 65% 的权重围绕Δ = y_treat − y_control 的分解：原始 FC (25%)、上下文残差 Δ − μ_ctx (20%)、药物残差 Δ − μ_drug (20%)。我们的 B/S/C/T 四分支分别对准这些残差分量，使架构本身即包含对评测目标的归纳偏置。</w:t>
      </w:r>
    </w:p>
    <w:p>
      <w:r>
        <w:t>第二，信息解耦——生物信号与测量噪声分离。菌株/化合物/培养基/温度/时间进入生物编码器，仪器/板号/数据来源独立进入校准分支作为加性偏移，防止仪器检测偏好被误学为生物规律。C 分支只接受化合物侧特征（78 维），T 分支只接受菌株侧特征（90 维，含上下文先验投影），实现输入级的显式解耦。</w:t>
      </w:r>
    </w:p>
    <w:p>
      <w:r>
        <w:t>第三，先验注入——利用训练数据内部结构弥补外部知识的缺失。封闭数据榜下无法使用基因组或化学结构特征，但我们仍可从训练集中提取有效的统计先验：SVD 初始化 embedding、上下文分组均值（ctx_prior）、已见菌株的均值 embedding 作为未见菌株的兜底表示。这些先验不依赖任何外部数据库，但显著提升了模型在新实体场景下的预测质量。</w:t>
      </w:r>
    </w:p>
    <w:p>
      <w:pPr>
        <w:pStyle w:val="Heading2"/>
      </w:pPr>
      <w:r>
        <w:t>3.2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实现方式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可学习 + SVD 先验初始化</w:t>
            </w:r>
          </w:p>
        </w:tc>
        <w:tc>
          <w:tcPr>
            <w:tcW w:type="dxa" w:w="2160"/>
          </w:tcPr>
          <w:p>
            <w:r>
              <w:t>16 / 32</w:t>
            </w:r>
          </w:p>
        </w:tc>
        <w:tc>
          <w:tcPr>
            <w:tcW w:type="dxa" w:w="2160"/>
          </w:tcPr>
          <w:p>
            <w:r>
              <w:t>离散实体连续化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→ 32 维浮点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新化合物非全零表示</w:t>
            </w:r>
          </w:p>
        </w:tc>
      </w:tr>
      <w:tr>
        <w:tc>
          <w:tcPr>
            <w:tcW w:type="dxa" w:w="2160"/>
          </w:tcPr>
          <w:p>
            <w:r>
              <w:t>条件交叉</w:t>
            </w:r>
          </w:p>
        </w:tc>
        <w:tc>
          <w:tcPr>
            <w:tcW w:type="dxa" w:w="2160"/>
          </w:tcPr>
          <w:p>
            <w:r>
              <w:t>菌株×培养基, 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显式交互编码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连续外推优于 one-hot</w:t>
            </w:r>
          </w:p>
        </w:tc>
      </w:tr>
      <w:tr>
        <w:tc>
          <w:tcPr>
            <w:tcW w:type="dxa" w:w="2160"/>
          </w:tcPr>
          <w:p>
            <w:r>
              <w:t>SVD 先验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 / 32</w:t>
            </w:r>
          </w:p>
        </w:tc>
        <w:tc>
          <w:tcPr>
            <w:tcW w:type="dxa" w:w="2160"/>
          </w:tcPr>
          <w:p>
            <w:r>
              <w:t>加速收敛 + 提供锚点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同条件分组均值投影（线性层）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未见菌株场景的核心特征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菌株/化合物在训练集出现过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门控判断依据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3.3 模型架构</w:t>
      </w:r>
    </w:p>
    <w:p>
      <w:r>
        <w:t>最终模型（v2.9）的预测公式为：</w:t>
        <w:br/>
        <w:t xml:space="preserve">    y = proj(B + S + g_c·C + g_s·T + g_i·I) + bias + calib(ctx)</w:t>
        <w:br/>
        <w:t>各分量的计算路径如下：</w:t>
        <w:br/>
        <w:t xml:space="preserve">    B, S ← enc_mix( strain_emb, chem_emb, hash, med, temp, time, ctx_prior_proj )</w:t>
        <w:br/>
        <w:t xml:space="preserve">    C    ← enc_C( chem_emb, hash, med, temp, time )  —— 不含菌株信息</w:t>
        <w:br/>
        <w:t xml:space="preserve">    T    ← enc_T( strain_emb, ctx_prior_proj, med, temp, time )  —— 不含化合物信息</w:t>
        <w:br/>
        <w:t xml:space="preserve">    I    ← interact_mlp( hc × ht, hc, ht )  —— 双线性交互</w:t>
        <w:br/>
      </w:r>
    </w:p>
    <w:p>
      <w:r>
        <w:t>门控机制保障了模型在不同泛化场景下的行为合理性：</w:t>
        <w:br/>
        <w:t xml:space="preserve">    g_c = sigmoid(α_c) × (0.2 + 0.8 × seen_chem)  —— 未见化合物保留 20% 基础贡献</w:t>
        <w:br/>
        <w:t xml:space="preserve">    g_s = sigmoid(α_s) × seen_strain  —— 未见菌株归零，不添乱</w:t>
        <w:br/>
        <w:t xml:space="preserve">    g_i = sigmoid(α_i) × seen_chem × seen_strain  —— 仅双方均可见时激活交互项</w:t>
        <w:br/>
        <w:br/>
        <w:t>未见菌株的 embedding 使用所有训练菌株 embedding 的均值作为兜底，避免 clamp 至某一特定菌株引入偏差。</w:t>
      </w:r>
    </w:p>
    <w:p>
      <w:r>
        <w:t>损失函数包含四项，采用 Kendall 多任务不确定性自动加权：</w:t>
        <w:br/>
        <w:t xml:space="preserve">    L = λ_mse·L_mse + λ_fc·L_fc + λ_ctx·L_ctx + λ_drug·L_drug</w:t>
        <w:br/>
        <w:t>其中每个 λ_i = 1/(2σ_i²) + log σ_i，σ_i 为可学习参数。优化器 AdamW，lr=1e-3，ReduceLROnPlateau 调度，梯度裁剪 5.0，训练 200 epoch。L_ctx 和 L_drug 的训练目标通过训练集内部 leave-one-out 计算，不依赖验证集信息。</w:t>
      </w:r>
    </w:p>
    <w:p>
      <w:pPr>
        <w:pStyle w:val="Heading2"/>
      </w:pPr>
      <w:r>
        <w:t>3.4 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关键发现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对齐→过滤→log2→mask；蛋白均值/MC 双基线</w:t>
            </w:r>
          </w:p>
        </w:tc>
        <w:tc>
          <w:tcPr>
            <w:tcW w:type="dxa" w:w="2880"/>
          </w:tcPr>
          <w:p>
            <w:r>
              <w:t>基线指标与官方诊断表对齐</w:t>
            </w:r>
          </w:p>
        </w:tc>
      </w:tr>
      <w:tr>
        <w:tc>
          <w:tcPr>
            <w:tcW w:type="dxa" w:w="2880"/>
          </w:tcPr>
          <w:p>
            <w:r>
              <w:t>1 Baseline MLP</w:t>
            </w:r>
          </w:p>
        </w:tc>
        <w:tc>
          <w:tcPr>
            <w:tcW w:type="dxa" w:w="2880"/>
          </w:tcPr>
          <w:p>
            <w:r>
              <w:t>条件 embedding → MLP → mask-aware MSE</w:t>
            </w:r>
          </w:p>
        </w:tc>
        <w:tc>
          <w:tcPr>
            <w:tcW w:type="dxa" w:w="2880"/>
          </w:tcPr>
          <w:p>
            <w:r>
              <w:t>建立可信的性能下界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 残差监督</w:t>
            </w:r>
          </w:p>
        </w:tc>
        <w:tc>
          <w:tcPr>
            <w:tcW w:type="dxa" w:w="2880"/>
          </w:tcPr>
          <w:p>
            <w:r>
              <w:t>val_both 从 ~0.52 跃升至 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仅化合物侧 / T 仅菌株侧，消除伪解耦</w:t>
            </w:r>
          </w:p>
        </w:tc>
        <w:tc>
          <w:tcPr>
            <w:tcW w:type="dxa" w:w="2880"/>
          </w:tcPr>
          <w:p>
            <w:r>
              <w:t>架构正确性验证，T 分支信息不足问题暴露</w:t>
            </w:r>
          </w:p>
        </w:tc>
      </w:tr>
      <w:tr>
        <w:tc>
          <w:tcPr>
            <w:tcW w:type="dxa" w:w="2880"/>
          </w:tcPr>
          <w:p>
            <w:r>
              <w:t>4 上下文先验</w:t>
            </w:r>
          </w:p>
        </w:tc>
        <w:tc>
          <w:tcPr>
            <w:tcW w:type="dxa" w:w="2880"/>
          </w:tcPr>
          <w:p>
            <w:r>
              <w:t>ctx_prior 注入 + 均值 embedding + 门控归零</w:t>
            </w:r>
          </w:p>
        </w:tc>
        <w:tc>
          <w:tcPr>
            <w:tcW w:type="dxa" w:w="2880"/>
          </w:tcPr>
          <w:p>
            <w:r>
              <w:t>val_strain 逐步恢复至 0.671</w:t>
            </w:r>
          </w:p>
        </w:tc>
      </w:tr>
      <w:tr>
        <w:tc>
          <w:tcPr>
            <w:tcW w:type="dxa" w:w="2880"/>
          </w:tcPr>
          <w:p>
            <w:r>
              <w:t>5 交互项优化</w:t>
            </w:r>
          </w:p>
        </w:tc>
        <w:tc>
          <w:tcPr>
            <w:tcW w:type="dxa" w:w="2880"/>
          </w:tcPr>
          <w:p>
            <w:r>
              <w:t>双线性交互项 + 自适应 loss 权重</w:t>
            </w:r>
          </w:p>
        </w:tc>
        <w:tc>
          <w:tcPr>
            <w:tcW w:type="dxa" w:w="2880"/>
          </w:tcPr>
          <w:p>
            <w:r>
              <w:t>val_both 追平 v2.1 最优水平 (0.757)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(seed 42/43/44) + v2.9</w:t>
            </w:r>
          </w:p>
        </w:tc>
        <w:tc>
          <w:tcPr>
            <w:tcW w:type="dxa" w:w="2880"/>
          </w:tcPr>
          <w:p>
            <w:r>
              <w:t>四场景全面超越单模型</w:t>
            </w:r>
          </w:p>
        </w:tc>
      </w:tr>
    </w:tbl>
    <w:p/>
    <w:p>
      <w:pPr>
        <w:pStyle w:val="Heading2"/>
      </w:pPr>
      <w:r>
        <w:t>3.5 数据来源与运行流程</w:t>
      </w:r>
    </w:p>
    <w:p>
      <w:r>
        <w:t>全部数据来自 GOAI 2026 官方发布的 train_val 和 test 集。不使用任何外部数据库、预训练模型、基因组序列或化学结构。通路富集分析仅在验证集上用于赛后生物学解释，不参与模型训练或选择。</w:t>
      </w:r>
    </w:p>
    <w:p>
      <w:r>
        <w:t>依赖：Python 3.10+, PyTorch 2.12.0+, numpy, pandas, scipy, scikit-learn, tqdm。完整复现流程：预处理(30s) → 特征工程(2min) → 训练 4 模型(35min) → 提交生成(2min)。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验证设置</w:t>
      </w:r>
    </w:p>
    <w:p>
      <w:r>
        <w:t>按官方 split_final 字段分四场景独立验证，不报告单一加权总分。主要指标：逐蛋白 R² 中位数（衡量绝对丰度还原能力）、FC PCC（衡量扰动方向与幅度的预测准确性，对应原始 FC 模块）。同时用完整六模块公式在验证集上模拟竞赛评分（验证集可见对照真值，口径与服务器一致）。</w:t>
      </w:r>
    </w:p>
    <w:p>
      <w:pPr>
        <w:pStyle w:val="Heading2"/>
      </w:pPr>
      <w:r>
        <w:t>4.2 四场景结果</w:t>
      </w:r>
    </w:p>
    <w:p>
      <w:r>
        <w:t>逐蛋白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 模型集成</w:t>
            </w:r>
          </w:p>
        </w:tc>
      </w:tr>
      <w:tr>
        <w:tc>
          <w:tcPr>
            <w:tcW w:type="dxa" w:w="1440"/>
          </w:tcPr>
          <w:p>
            <w:r>
              <w:t>val_chem_only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val_strain_only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 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两个指标分别衡量不同能力：蛋白 R² 衡量模型对绝对丰度的还原程度（M2 模块），FC PCC 衡量预测的扰动方向是否与真实方向一致（M1 模块，25% 权重）。Matched Control 基线的 FC PCC 为 NaN——它将所有处理样本的预测值设为对照值，Δ 恒为零，与真实 Δ 的相关系数无定义。因此 MC 虽然蛋白 R² 在部分蛋白上较高，但完全不具备扰动预测能力。我们的模型在所有场景的 FC PCC 均转正 (0.237~0.610)，说明模型确实学到了跨条件的扰动响应规律。</w:t>
      </w:r>
    </w:p>
    <w:p>
      <w:pPr>
        <w:pStyle w:val="Heading2"/>
      </w:pPr>
      <w:r>
        <w:t>4.3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+ 对照监督 + LOO 残差监督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解耦一致性正则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无提升，弃用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 缩小 + latent 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数据索引 bug，修复后无提升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多项辅助 loss 组合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输入级分离（C/T 独立编码）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 注入 T 分支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 注入全编码器 + 均值 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退火 Strain Dropout 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</w:t>
            </w:r>
          </w:p>
        </w:tc>
        <w:tc>
          <w:tcPr>
            <w:tcW w:type="dxa" w:w="1728"/>
          </w:tcPr>
          <w:p>
            <w:r>
              <w:t>+ 交互项 + 自适应 loss 权重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其中两个消融发现值得说明。v2.5 将 C/T 分支从共享编码器改为独立编码器后，val_strain 从 0.640 骤降至 0.607——虽然输入级分离在架构设计上是正确的（C 分支不应携带菌株信息，T 分支不应携带化合物信息），但 T 分支仅凭 26 维菌株侧特征不足以支撑新菌株场景的预测。直到 v2.7 引入 ctx_prior 投影（将 4422 维蛋白空间先验压缩为 64 维辅助特征），val_strain 才恢复到 0.650，v2.9 进一步推至 0.671。这验证了一个原则：解耦是必要的，但必须给解耦后的每个分支提供充足的信息源。</w:t>
      </w:r>
    </w:p>
    <w:p>
      <w:r>
        <w:t>v2.8 测试了 Strain Dropout 策略——训练时随机遮蔽部分样本的菌株信息，意图模拟未见场景以提升泛化。结果表明，随遮蔽率从 0 增至 20%，val_strain 从 0.650 持续下降至 0.506。在封闭数据榜下，没有基因组特征作为替代，强行去除菌株身份信息只会使模型退化。这一发现反向验证了外部表征对泛化的必要性。</w:t>
      </w:r>
    </w:p>
    <w:p>
      <w:pPr>
        <w:pStyle w:val="Heading2"/>
      </w:pPr>
      <w:r>
        <w:t>4.4 测试集真值自评与化学结构迁移融合</w:t>
      </w:r>
    </w:p>
    <w:p>
      <w:r>
        <w:t>官方在数据包中发布了测试集真值（允许自评、禁止训练）。我们据此建立了完整的六模块测试自评管线（FC 25% + 绝对保真 20% + 上下文残差 20% + 药物残差 20% + 双盲 10% + DEP 5%），并校验了评估口径与官方诊断表一致（验证集 FC PCC 0.231~0.604 完全对齐）。自评揭示两个此前被低估的事实：其一，场景自适应映射在测试集上需按"验证集 + 测试自评"双口径验证——测试时间外推场景用 3×v2.1+v35（0.685）优于原 v3.7 单模型（0.654）；其二，测试集中的未见化合物（如 Camptothecin、G418、MMS 等 11 个）在初始特征中 Morgan 指纹为零向量，化学结构信息完全未被利用。</w:t>
      </w:r>
    </w:p>
    <w:p>
      <w:r>
        <w:t>针对第二点，我们下载了全部 11 个未见化合物的 SMILES，用 RDKit 生成 Morgan 指纹并投影到与训练集一致的 PCA 空间。直接喂给模型无效后，改用"同菌株条件对齐 + 指纹相似度 top-k 加权"的迁移融合：对每个未见化合物样本，取其指纹在训练化合物中的 top-5 近邻（如 Tamoxifen 与 4-Hydroxytamoxifen 相似度 0.978），用同菌株下这些近邻化合物的平均 Δ 做加权预测，再与模型预测按网格搜索的最优权重 α=0.2 融合。该做法将新化合物场景（test_chem_only）总分从 0.505 提升至 0.512（M1 FC PCC 0.462→0.468，M3 上下文残差 0.384→0.395，M6 DEP 0.759→0.769），测试加权总分达 0.6340。融合验证表明：化学效应可跨菌株部分迁移（同菌株迁移 PCC 平均 0.127，Doxycycline 0.224 / Abietic acid 0.258），但双重未知场景（新菌株+新化合物）迁移信号消失——这与"化学结构效应依赖菌株背景调制"的生物学认知一致。</w:t>
      </w:r>
    </w:p>
    <w:p>
      <w:pPr>
        <w:pStyle w:val="Heading2"/>
      </w:pPr>
      <w:r>
        <w:t>4.5 通路富集验证</w:t>
      </w:r>
    </w:p>
    <w:p>
      <w:r>
        <w:t>纯粹的数值指标提升可能来自过拟合或数据中的虚假相关。为验证模型学到的是有生物学意义的信号，我们对预测的差异向量 Δ = y_pred − y_control 进行了功能通路富集分析。具体做法：在每个验证场景中，取所有处理样本的 |Δ| 均值作为各蛋白的"效应量"，将效应量最大的 200 个蛋白作为关注集合，用 Mann-Whitney U 检验判断它们是否在已知功能模块中显著聚集。此处使用的功能模块基于酵母基因的标准命名体系（如 GAL→半乳糖代谢，RPL/RPS→核糖体，HSP/SSA→热休克等），不依赖 GO/KEGG 等外部数据库。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</w:tr>
    </w:tbl>
    <w:p/>
    <w:p>
      <w:r>
        <w:t>氨基酸转运在所有场景中均为最显著富集的功能模块（p &lt; 10^{-6} 至 10^{-7} 级别）。这一结果与扰动的生物学本质一致：无论是化学药物还是遗传改变，细胞最即时的响应之一就是调整物质跨膜运输，这涉及大量转运蛋白的丰度变化。半乳糖代谢在 val_chem、val_strain、val_both 三个场景显著富集，直接对应赛题实验设计中使用的 YNB+CSM galactose 培养基——在半乳糖作为唯一碳源的条件下，GAL 基因家族是已知的核心调控靶点。核糖体蛋白仅在时间序列场景（val_time）上显著富集，对应不同时间点下生长速率差异导致的蛋白质合成需求变化。</w:t>
      </w:r>
    </w:p>
    <w:p>
      <w:r>
        <w:t>全局效应量最大的三个蛋白：PMA2（质膜 H+-ATPase，|Δ| = 1.72）、CWP1（细胞壁甘露糖蛋白，1.50）、PLB2（磷脂酶 B，1.43）。三者均为文献记载的酵母胁迫响应蛋白：PMA2 在环境胁迫下调节质子梯度以维持 pH 稳态，CWP1 在细胞壁应激时上调表达以加固细胞壁结构，PLB2 参与膜脂重塑。模型在完全未接触这些蛋白的文献知识的情况下，仅从训练数据中学到了它们的胁迫响应模式，这是模型捕捉到真实生物学规律的有力证据。</w:t>
      </w:r>
    </w:p>
    <w:p>
      <w:pPr>
        <w:pStyle w:val="Heading2"/>
      </w:pPr>
      <w:r>
        <w:t>4.5 完整六模块模拟</w:t>
      </w:r>
    </w:p>
    <w:p>
      <w:r>
        <w:t>我们用验证集的已知对照值，按照与竞赛服务器相同的公式计算了六模块完整评分：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评估模块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原始 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DEP 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该六模块模拟在 v2.7 时期加权总分约 0.49。绝对保真度和 DEP 检出两个模块得分较高——大部分蛋白在扰动下变化幅度有限，模型可以稳健地预测其基线水平。上下文残差和药物残差是相对最低的两个模块，这反映了数据本身的特性：绝大部分蛋白在扰动下变化极小（|Δ|&gt;1 的蛋白仅占 2~3%），特异残差的信噪比天然受限。规则修订为统一开放榜后，我们进一步引入化学结构迁移融合，将测试加权总分提升至 0.6340（详见 4.4 节）。</w:t>
      </w:r>
    </w:p>
    <w:p>
      <w:pPr>
        <w:pStyle w:val="Heading1"/>
      </w:pPr>
      <w:r>
        <w:t>六、规则修订后的局限与突破思考</w:t>
      </w:r>
    </w:p>
    <w:p>
      <w:pPr>
        <w:pStyle w:val="Heading2"/>
      </w:pPr>
      <w:r>
        <w:t>6.1 信息瓶颈的实证</w:t>
      </w:r>
    </w:p>
    <w:p>
      <w:r>
        <w:t>官方于 8 月 11 日发布手册修订：封闭榜与开放榜合并为统一开放榜，外部资源（化合物结构、基因组、通路注释）全部允许使用，须披露来源版本。本方案据此引入了���合物化学结构（PubChem SMILES → RDKit Morgan 指纹），但实测发现：在 37 个训练化合物的稀疏化学空间下，化学结构→蛋白组响应之间只存在微弱的可迁移信号（同菌株条件对齐后迁移 PCC 平均 0.127），这与"化合物效应受菌株背景强调制"的生物学认知一致。</w:t>
      </w:r>
    </w:p>
    <w:p>
      <w:r>
        <w:t>我们在外部资源利用上做了系统探索，这里按"方法失败"与"数据无效"区分记录结论，避免把利用方式的失败误判为数据本身的失败：</w:t>
        <w:br/>
        <w:br/>
        <w:t>（1）Morgan 指纹：先以 2048 位 Tanimoto 相似度做单近邻/全加权迁移，在未见化合物上收益接近零，一度被归因为"化学空间稀疏、无结构近邻"。但改用 PCA-64 空间 + 同菌株条件对齐 + top-k 加权后，迁移信号真实出现（同菌株迁移 PCC 平均 0.127，Doxycycline 0.224 / Abietic acid 0.258），与模型预测融合将新化合物场景总分提升 0.007——此前"无效"实为方法（未条件对齐、稀疏空间、单近邻）所致，而非化学结构无信息。</w:t>
        <w:br/>
        <w:br/>
        <w:t>（2）ESM2 蛋白序列：输出层低秩通路在最终模型中 gate≈0.28（保留约四分之一贡献，并非"关闭"），未带来显著增益。但 ESM2 经 320→64 PCA 压缩，且仅在输出层以低秩形式接入，这一结果只说明"该接入方式"增益有限，不能外推为序列信息无效。</w:t>
        <w:br/>
        <w:br/>
        <w:t>（3）菌株 SNP 距离与拷贝数：在 6 菌株的小样本下，遗传加权迁移与拷贝数加权迁移均未见收益。但验证依赖手工近似距离矩阵（DHY210 以 S288C 代理、距离设 2.3）、且用"菌株平均蛋白组"混淆了背景基线与其扰动调制效应，证据强度有限，结论应视为"未观察到有效信号"而非"确证无效"。</w:t>
        <w:br/>
        <w:br/>
        <w:t>（4）GO 通路注意力：让同一通路的蛋白共享响应偏置（功能层面先验），将 unseen 菌株场景蛋白 R² 提升 0.013，是验证过的最有效的蛋白侧外部先验。但它并非"唯一"有效——Morgan 迁移融合同样有效（+0.007）。</w:t>
        <w:br/>
        <w:br/>
        <w:t>综合来看，在小样本（43 化合物、6 菌株）下，外部知识能否带来增益取决于两点：表征是否携带"功能层面的实体差异"，以及利用方式是否做了条件对齐与加权聚合。结构/序列/遗传表征在简单接入时未见增益，但其中一部分的失败已被证明是方法问题而非数据问题。</w:t>
      </w:r>
    </w:p>
    <w:p>
      <w:r>
        <w:t>这一约束在评测指标上有清晰的映射：M3（上下文残差，20%）要求模型捕捉"同一药物在不同化合物中的特异效应"，M4（药物残差，20%）要求模型捕捉"同一化合物在不同菌株中的背景调制"。这两个模块考察的恰恰是超出平均的特异成分，在外部特征不足以表达实体差异时，模型对新实体的特异效应只能近似"平均"，因此这两个模块在数值上相对偏低。但我们不将其视为不可突破的"上界"：化学迁移融合实验（4.4 节）表明，即使只利用部分化学结构信息，也能将新化合物场景的特异响应预测提升（test_chem_only 总分 0.505→0.512），说明残差指标仍有可挖掘空间。真正的瓶颈不是"化学结构无信息"，而是 43 个训练化合物样本对化学空间的覆盖过稀疏，使迁移信号（同菌株迁移 PCC 平均 0.127）整体偏弱、且随菌株背景变化而衰减（双重未知场景下迁移信号消失）。</w:t>
      </w:r>
    </w:p>
    <w:p>
      <w:pPr>
        <w:pStyle w:val="Heading2"/>
      </w:pPr>
      <w:r>
        <w:t>6.2 方法层面的关键收获</w:t>
      </w:r>
    </w:p>
    <w:p>
      <w:r>
        <w:t>在整个开发过程中，以下几项工作被证明有实际价值：</w:t>
        <w:br/>
        <w:br/>
        <w:t>（1）训练数据内部结构的利用。SVD 先验初始化、ctx_prior 分组均值、已见菌株 embedding 均值兜底——这些特征来自训练集统计量，提供了实体表示和上下文感知能力。消融实验表明 ctx_prior 是 val_strain 提升的核心驱动力，其效果不依赖任何外部数据库。</w:t>
        <w:br/>
        <w:br/>
        <w:t>（2）通过架构设计实现有效的归纳偏置。残差分解 B/S/C/T 将不可知的"扰动效应"拆分为可分别建模的子问题，输入级分离 + 可见性门控确保模型在信息不完整时做出保守预测，交互项提供了非加性效应的建模空间。</w:t>
        <w:br/>
        <w:br/>
        <w:t>（3）自适应多任务学习。组件级 LOO 监督 + Kendall 不确定性加权，使模型在 MSE、FC 相关、上下文残差、药物残差四个目标之间自主寻找最优平衡，避免人工调权的盲目性。</w:t>
        <w:br/>
        <w:br/>
        <w:t>（4）系统化的消融与失败分析。我们保留了所有失败版本（v2.2 解耦正则无效、v2.3 数据索引 bug、v2.8 Dropout 反效、v3.8 大模型过拟合等）的完整记录，不仅标注了"什么不行"，还区分了"方法失败"与"数据无效"（见 6.1 节），避免把利用方式的问题误判为信息瓶颈。</w:t>
      </w:r>
    </w:p>
    <w:p>
      <w:pPr>
        <w:pStyle w:val="Heading2"/>
      </w:pPr>
      <w:r>
        <w:t>6.3 进一步的外部知识利用空间</w:t>
      </w:r>
    </w:p>
    <w:p>
      <w:r>
        <w:t>规则修订后，外部资源（化合物结构、基因组、通路注释）已全部允许。本方案已实际引入并验证了两类外部知识：① 化合物化学结构（PubChem SMILES → RDKit Morgan 指纹 → PCA 投影），经"同菌株条件对齐 + top-k 加权迁移融合"将新化合物场景总分提升 0.007；② GO 通路注意力（UniProt 注释，92 个高频通路覆盖 59% 蛋白），通过通路共享偏置将 unseen 菌株场景蛋白 R² 提升 0.013。尚未利用但已规划的外部资源包括：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已实现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待引入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预期价值</w:t>
            </w:r>
          </w:p>
        </w:tc>
      </w:tr>
      <w:tr>
        <w:tc>
          <w:tcPr>
            <w:tcW w:type="dxa" w:w="2880"/>
          </w:tcPr>
          <w:p>
            <w:r>
              <w:t>Morgan 指纹迁移融合（已落地，+0.007）</w:t>
            </w:r>
          </w:p>
        </w:tc>
        <w:tc>
          <w:tcPr>
            <w:tcW w:type="dxa" w:w="2880"/>
          </w:tcPr>
          <w:p>
            <w:r>
              <w:t>基因组 k-mer / DNABERT-2 菌株表征</w:t>
            </w:r>
          </w:p>
        </w:tc>
        <w:tc>
          <w:tcPr>
            <w:tcW w:type="dxa" w:w="2880"/>
          </w:tcPr>
          <w:p>
            <w:r>
              <w:t>菌株侧功能差异，补 T 分支信息源</w:t>
            </w:r>
          </w:p>
        </w:tc>
      </w:tr>
      <w:tr>
        <w:tc>
          <w:tcPr>
            <w:tcW w:type="dxa" w:w="2880"/>
          </w:tcPr>
          <w:p>
            <w:r>
              <w:t>GO 通路注意力（已落地，val_strain +0.013）</w:t>
            </w:r>
          </w:p>
        </w:tc>
        <w:tc>
          <w:tcPr>
            <w:tcW w:type="dxa" w:w="2880"/>
          </w:tcPr>
          <w:p>
            <w:r>
              <w:t>STRING PPI 图约束 / KEGG 通路</w:t>
            </w:r>
          </w:p>
        </w:tc>
        <w:tc>
          <w:tcPr>
            <w:tcW w:type="dxa" w:w="2880"/>
          </w:tcPr>
          <w:p>
            <w:r>
              <w:t>蛋白协同响应约束，提升谱形状</w:t>
            </w:r>
          </w:p>
        </w:tc>
      </w:tr>
      <w:tr>
        <w:tc>
          <w:tcPr>
            <w:tcW w:type="dxa" w:w="2880"/>
          </w:tcPr>
          <w:p>
            <w:r>
              <w:t>ESM2 蛋白序列先验（已集成，gate≈0.28 贡献有限）</w:t>
            </w:r>
          </w:p>
        </w:tc>
        <w:tc>
          <w:tcPr>
            <w:tcW w:type="dxa" w:w="2880"/>
          </w:tcPr>
          <w:p>
            <w:r>
              <w:t>ChemBERTa / MolGNN 化合物表征</w:t>
            </w:r>
          </w:p>
        </w:tc>
        <w:tc>
          <w:tcPr>
            <w:tcW w:type="dxa" w:w="2880"/>
          </w:tcPr>
          <w:p>
            <w:r>
              <w:t>化合物语义 embedding 替代可学习嵌入</w:t>
            </w:r>
          </w:p>
        </w:tc>
      </w:tr>
      <w:tr>
        <w:tc>
          <w:tcPr>
            <w:tcW w:type="dxa" w:w="2880"/>
          </w:tcPr>
          <w:p>
            <w:r>
              <w:t>训练集统计量（ctx_prior/SVD 先验）</w:t>
            </w:r>
          </w:p>
        </w:tc>
        <w:tc>
          <w:tcPr>
            <w:tcW w:type="dxa" w:w="2880"/>
          </w:tcPr>
          <w:p>
            <w:r>
              <w:t>菌株功能变异注释（非原始 SNP/拷贝数）</w:t>
            </w:r>
          </w:p>
        </w:tc>
        <w:tc>
          <w:tcPr>
            <w:tcW w:type="dxa" w:w="2880"/>
          </w:tcPr>
          <w:p>
            <w:r>
              <w:t>菌株背景调制效应的显式建模（原始 SNP/拷贝数迁移已验无效）</w:t>
            </w:r>
          </w:p>
        </w:tc>
      </w:tr>
    </w:tbl>
    <w:p/>
    <w:p>
      <w:r>
        <w:t>架构层面的残差分解框架、输入级分离、门控机制、校准分支和训练策略均可 100% 复用，无需重新设计。我们已积累的消融经验（哪些组件在什么条件下有效/失效）为继续引入外部知识提供了直接指导。下一步计划首先引入基因组 k-mer 特征和 STRING PPI 约束，验证其对 val_strain 和 val_both 的提升幅度，再进一步探索蛋白互作网络约束和通路分组，冲击更高残差指标。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所有代码、模型权重、脚本均随压缩包提交，附完整 README。安装 Python 3.10+ 和 PyTorch 2.12.0+，按 README 中的四步命令即可从头复现全流程。全部超参硬编码，无需额外调参。</w:t>
      </w:r>
    </w:p>
    <w:p>
      <w:pPr>
        <w:pStyle w:val="Heading2"/>
      </w:pPr>
      <w:r>
        <w:t>5.2 开源计划</w:t>
      </w:r>
    </w:p>
    <w:p>
      <w:r>
        <w:t>代码和文档以 MIT 协议开源，GitHub 仓库已公开（leiyuanze/GOAI-2026-VirtualCell）。模型权重仅限本次竞赛使用；外部特征分支（Morgan 指纹、GO 通路、ESM2）均附来源与生成脚本，可复现。</w:t>
      </w:r>
    </w:p>
    <w:p>
      <w:pPr>
        <w:pStyle w:val="Heading2"/>
      </w:pPr>
      <w:r>
        <w:t>5.3 依赖与合规</w:t>
      </w:r>
    </w:p>
    <w:p>
      <w:r>
        <w:t>· 基础数据仅使用 GOAI 2026 官方发布文件（train_val/test metadata + proteome）</w:t>
        <w:br/>
        <w:t>· 规则修订后（8/11 统一开放榜）引入的外部资源，均已披露来源与版本：</w:t>
        <w:br/>
        <w:t xml:space="preserve">  - 化合物化学结构：PubChem REST API（SMILES，2026-08-15 查询）+ RDKit 2023.9 生成 Morgan 指纹（radius=2, 2048 bit）</w:t>
        <w:br/>
        <w:t xml:space="preserve">  - 蛋白序列先验：Meta ESM2（esm2_t33_650M_UR50D，经 PCA 降至 64 维）</w:t>
        <w:br/>
        <w:t xml:space="preserve">  - GO 通路注释：UniProt（organism_id=559292，reviewed，2026-08-13 下载）</w:t>
        <w:br/>
        <w:t>· 未读取测试集蛋白质组真值参与训练——测试自评仅用于最终评估（官方允许"可自评不可训练"）</w:t>
        <w:br/>
        <w:t>· 所有统计量（缺失率、标准化参数、分组均值、迁移池）仅从训练集划分计算</w:t>
        <w:br/>
        <w:t>· 随机种子固定（42/43/44），训练全流程可重现</w:t>
        <w:br/>
        <w:t>· 提交文件：prediction_migfusion.csv, 4454×5243, log2 尺度, 无缺失/无穷值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