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基于条件响应预测的酿酒酵母虚拟细胞建模</w:t>
      </w:r>
    </w:p>
    <w:p>
      <w:pPr>
        <w:jc w:val="center"/>
      </w:pPr>
      <w:r>
        <w:t>GOAI 2026 · 赛道三（AI for Research）· 算法赛 · 虚拟细胞方向</w:t>
      </w:r>
    </w:p>
    <w:p/>
    <w:p>
      <w:pPr>
        <w:pStyle w:val="Heading1"/>
      </w:pPr>
      <w:r>
        <w:t>一、项目概述</w:t>
      </w:r>
    </w:p>
    <w:p>
      <w:pPr>
        <w:pStyle w:val="Heading2"/>
      </w:pPr>
      <w:r>
        <w:t>1.1 项目名称</w:t>
      </w:r>
    </w:p>
    <w:p>
      <w:r>
        <w:t>基于条件响应预测的酿酒酵母虚拟细胞建模</w:t>
      </w:r>
    </w:p>
    <w:p>
      <w:pPr>
        <w:pStyle w:val="Heading2"/>
      </w:pPr>
      <w:r>
        <w:t>1.2 参赛方向</w:t>
      </w:r>
    </w:p>
    <w:p>
      <w:r>
        <w:t>GOAI · AI for Research · 算法赛 · 方向一：虚拟细胞（统一开放榜，8/11 规则修订后外部资源可用）</w:t>
      </w:r>
    </w:p>
    <w:p>
      <w:pPr>
        <w:pStyle w:val="Heading2"/>
      </w:pPr>
      <w:r>
        <w:t>1.3 方案概述</w:t>
      </w:r>
    </w:p>
    <w:p>
      <w:r>
        <w:t>本方案解决的核心问题是：给定一组实验条件（菌株、化合物、培养基、温度、时间），预测酿酒酵母细胞内 4422 个蛋白质的完整丰度向量。传统质谱实验逐个条件测试，时间与试剂成本随条件组合呈指数增长。若能用计算模型预筛选有潜力的"菌株-化合物"组合，可将真实实验范围缩小一到两个数量级。</w:t>
      </w:r>
    </w:p>
    <w:p>
      <w:r>
        <w:t>比赛按实体是否出现在训练集中，将验证场景分为三类：S1 已见菌株 + 未见化合物（1065 样本）、S2 未见菌株 + 已见化合物（1333 样本）、S3 菌株与化合物均未见（269 样本）。S3 是最极端的外推场景。</w:t>
      </w:r>
    </w:p>
    <w:p>
      <w:r>
        <w:t>我们的核心技术路线是残差分解——将蛋白组响应形式化为 y = B + S + g_c·C + g_s·T + g_i·I。其中 B 为基线蛋白水平，S 为共享应激响应（同一实验条件下不依赖具体药物的共同变化），C 为化合物特异残差（由药物特征驱动，捕捉该药物的独特效应），T 为菌株调制残差（由遗传背景驱动，捕捉菌株如何改变对药物的响应），I 为菌株-化合物交互项（捕捉非加性交叉效应）。每个可学习门控 g_c、g_s、g_i 根据实体是否在训练集中出现自动调节各分量的贡献权重。</w:t>
      </w:r>
    </w:p>
    <w:p>
      <w:r>
        <w:t>我们从端到端 MLP 出发，通过 13 版迭代（v2.0~v2.9 + v3.7 + 场景自适应 + 化学迁移融合），逐步引入输入级分离、上下文先验注入、可见性门控、自适应损失权重、GO 通路注意力等机制。最终采用"场景自适应 + 化学结构迁移融合"方案：各测试场景选用验证集与测试真值自评双口径验证的最强模型组合，对未见化合物样本用"同菌株条件对齐 + 指纹相似度 top-k 加权"的化学结构迁移补充特异响应。在验证集四场景蛋白 R² 中位数 0.667~0.879，FC PCC 0.237~0.610；测试集真值自评（官方允许自评不可训练）加权总分 0.6340，其中新化合物场景（test_chem_only）经化学迁移融合从 0.505 提升至 0.512。通路富集分析确认预测差异蛋白显著聚集于氨基酸转运（所有场景 p&lt;10^{-6}）、半乳糖代谢、氧化应激及核糖体合成等已知功能模块，高效应蛋白（PMA2, CWP1, PLB2）均为文献记载的酵母胁迫响应蛋白。</w:t>
      </w:r>
    </w:p>
    <w:p>
      <w:pPr>
        <w:pStyle w:val="Heading1"/>
      </w:pPr>
      <w:r>
        <w:t>二、科学问题理解</w:t>
      </w:r>
    </w:p>
    <w:p>
      <w:pPr>
        <w:pStyle w:val="Heading2"/>
      </w:pPr>
      <w:r>
        <w:t>2.1 科学问题与研究对象</w:t>
      </w:r>
    </w:p>
    <w:p>
      <w:r>
        <w:t>AI 虚拟细胞（AI Virtual Cell, AIVC）的目标是通过计算模型近似细胞对外界扰动的响应。其输出不是单一标签，而是一组涵盖数千个蛋白的连续丰度向量，反映分子网络状态的整体重塑。这种多输出、高维度、部分观测的特性，使得 AIVC 区别于传统的分类或回归任务。</w:t>
      </w:r>
    </w:p>
    <w:p>
      <w:r>
        <w:t>研究对象为酿酒酵母（Saccharomyces cerevisiae）。选择它的原因有三：其一，酵母是真核模式生物，蛋白质网络的核心架构与人类细胞高度保守，方法具备跨物种迁移的潜力；其二，酵母培养周期短、成本低，能在多菌株×多化合物×多时间点的维度上积累系统性数据；其三，本赛题测定蛋白质而非 mRNA，蛋白质是细胞功能的直接执行者，其丰度变化比转录本更贴近真实表型。</w:t>
      </w:r>
    </w:p>
    <w:p>
      <w:r>
        <w:t>数据覆盖 6 种菌株、55 种化合物扰动（含 DMSO/Water 对照）、2 种培养基、2 种温度、6 个时间点，来自两个质谱平台（WAYB 和 WAYC）。训练集 5920 个样本，测试集 4454 个。每个样本包含 5243 个蛋白的原始质谱强度，过滤缺失率超过 80% 的蛋白后保留 4422 个。</w:t>
      </w:r>
    </w:p>
    <w:p>
      <w:r>
        <w:t>核心科学挑战是：在样本数不足 6000、输出维度高达 4422 的条件下，模型能否外推到训练集中未曾见过的菌株与化合物组合？这本质上是一个小样本高维外推问题，要求模型从有限的扰动模式中提炼出可迁移的响应规律。</w:t>
      </w:r>
    </w:p>
    <w:p>
      <w:pPr>
        <w:pStyle w:val="Heading2"/>
      </w:pPr>
      <w:r>
        <w:t>2.2 科学意义</w:t>
      </w:r>
    </w:p>
    <w:p>
      <w:r>
        <w:t>应用层面，AIVC 可在湿实验之前进行大规模虚拟筛选。以 6 菌株×55 化合物×2 培养基×2 温度×6 时间点的完整组合空间为例，全面实验需要近 8000 次独立测量。若模型能在 val_both（新菌株+新化合物）场景达到实用精度，可将需要实际测量的组合缩小到原有规模的 10%~20%，显著加速假说驱动的实验设计。</w:t>
      </w:r>
    </w:p>
    <w:p>
      <w:r>
        <w:t>方法层面，该任务同时包含高维输出、缺失观测、批次效应和实体级零样本泛化——这比常规的随机切分验证更接近真实科研场景。在此数据上验证的残差分解 + 上下文先验框架，可迁移至人类细胞系扰动筛选、药物响应预测等更复杂的体系。</w:t>
      </w:r>
    </w:p>
    <w:p>
      <w:pPr>
        <w:pStyle w:val="Heading1"/>
      </w:pPr>
      <w:r>
        <w:t>三、技术方案与预期方法路线</w:t>
      </w:r>
    </w:p>
    <w:p>
      <w:pPr>
        <w:pStyle w:val="Heading2"/>
      </w:pPr>
      <w:r>
        <w:t>3.1 设计理念</w:t>
      </w:r>
    </w:p>
    <w:p>
      <w:r>
        <w:t>我们遵循三个核心设计原则。第一，结构对齐——模型架构组件与评测维度直接对应。评测中 65% 的权重围绕Δ = y_treat − y_control 的分解：原始 FC (25%)、上下文残差 Δ − μ_ctx (20%)、药物残差 Δ − μ_drug (20%)。我们的 B/S/C/T 四分支分别对准这些残差分量，使架构本身即包含对评测目标的归纳偏置。</w:t>
      </w:r>
    </w:p>
    <w:p>
      <w:r>
        <w:t>第二，信息解耦——生物信号与测量噪声分离。菌株/化合物/培养基/温度/时间进入生物编码器，仪器/板号/数据来源独立进入校准分支作为加性偏移，防止仪器检测偏好被误学为生物规律。C 分支只接受化合物侧特征（78 维），T 分支只接受菌株侧特征（90 维，含上下文先验投影），实现输入级的显式解耦。</w:t>
      </w:r>
    </w:p>
    <w:p>
      <w:r>
        <w:t>第三，先验注入——利用训练数据内部结构提供实体表示。我们从训练集提取有效的统计先验：SVD 初始化 embedding、上下文分组均值（ctx_prior）、已见菌株的均值 embedding 作为未见菌株的兜底表示。这些先验不依赖任何外部数据库，但显著提升了模型在新实体场景下的预测质量；规则修订为开放榜后，我们又在此之上叠加了 GO 通路注意力与化学结构迁移融合（见 4.4 节）。</w:t>
      </w:r>
    </w:p>
    <w:p>
      <w:pPr>
        <w:pStyle w:val="Heading2"/>
      </w:pPr>
      <w:r>
        <w:t>3.2 特征工程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特征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实现方式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t>菌株/化合物 embedding</w:t>
            </w:r>
          </w:p>
        </w:tc>
        <w:tc>
          <w:tcPr>
            <w:tcW w:type="dxa" w:w="2160"/>
          </w:tcPr>
          <w:p>
            <w:r>
              <w:t>可学习 + SVD 先验初始化</w:t>
            </w:r>
          </w:p>
        </w:tc>
        <w:tc>
          <w:tcPr>
            <w:tcW w:type="dxa" w:w="2160"/>
          </w:tcPr>
          <w:p>
            <w:r>
              <w:t>16 / 32</w:t>
            </w:r>
          </w:p>
        </w:tc>
        <w:tc>
          <w:tcPr>
            <w:tcW w:type="dxa" w:w="2160"/>
          </w:tcPr>
          <w:p>
            <w:r>
              <w:t>离散实体连续化</w:t>
            </w:r>
          </w:p>
        </w:tc>
      </w:tr>
      <w:tr>
        <w:tc>
          <w:tcPr>
            <w:tcW w:type="dxa" w:w="2160"/>
          </w:tcPr>
          <w:p>
            <w:r>
              <w:t>化合物 hash</w:t>
            </w:r>
          </w:p>
        </w:tc>
        <w:tc>
          <w:tcPr>
            <w:tcW w:type="dxa" w:w="2160"/>
          </w:tcPr>
          <w:p>
            <w:r>
              <w:t>SHA-256 → 32 维浮点</w:t>
            </w:r>
          </w:p>
        </w:tc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新化合物非全零表示</w:t>
            </w:r>
          </w:p>
        </w:tc>
      </w:tr>
      <w:tr>
        <w:tc>
          <w:tcPr>
            <w:tcW w:type="dxa" w:w="2160"/>
          </w:tcPr>
          <w:p>
            <w:r>
              <w:t>条件交叉</w:t>
            </w:r>
          </w:p>
        </w:tc>
        <w:tc>
          <w:tcPr>
            <w:tcW w:type="dxa" w:w="2160"/>
          </w:tcPr>
          <w:p>
            <w:r>
              <w:t>菌株×培养基, 化合物×温度</w:t>
            </w:r>
          </w:p>
        </w:tc>
        <w:tc>
          <w:tcPr>
            <w:tcW w:type="dxa" w:w="2160"/>
          </w:tcPr>
          <w:p>
            <w:r>
              <w:t>4+8</w:t>
            </w:r>
          </w:p>
        </w:tc>
        <w:tc>
          <w:tcPr>
            <w:tcW w:type="dxa" w:w="2160"/>
          </w:tcPr>
          <w:p>
            <w:r>
              <w:t>显式交互编码</w:t>
            </w:r>
          </w:p>
        </w:tc>
      </w:tr>
      <w:tr>
        <w:tc>
          <w:tcPr>
            <w:tcW w:type="dxa" w:w="2160"/>
          </w:tcPr>
          <w:p>
            <w:r>
              <w:t>时间编码</w:t>
            </w:r>
          </w:p>
        </w:tc>
        <w:tc>
          <w:tcPr>
            <w:tcW w:type="dxa" w:w="2160"/>
          </w:tcPr>
          <w:p>
            <w:r>
              <w:t>log2 归一化 + sin/cos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连续外推优于 one-hot</w:t>
            </w:r>
          </w:p>
        </w:tc>
      </w:tr>
      <w:tr>
        <w:tc>
          <w:tcPr>
            <w:tcW w:type="dxa" w:w="2160"/>
          </w:tcPr>
          <w:p>
            <w:r>
              <w:t>SVD 先验</w:t>
            </w:r>
          </w:p>
        </w:tc>
        <w:tc>
          <w:tcPr>
            <w:tcW w:type="dxa" w:w="2160"/>
          </w:tcPr>
          <w:p>
            <w:r>
              <w:t>训练均值向量 SVD 赋给 embedding</w:t>
            </w:r>
          </w:p>
        </w:tc>
        <w:tc>
          <w:tcPr>
            <w:tcW w:type="dxa" w:w="2160"/>
          </w:tcPr>
          <w:p>
            <w:r>
              <w:t>4 / 32</w:t>
            </w:r>
          </w:p>
        </w:tc>
        <w:tc>
          <w:tcPr>
            <w:tcW w:type="dxa" w:w="2160"/>
          </w:tcPr>
          <w:p>
            <w:r>
              <w:t>加速收敛 + 提供锚点</w:t>
            </w:r>
          </w:p>
        </w:tc>
      </w:tr>
      <w:tr>
        <w:tc>
          <w:tcPr>
            <w:tcW w:type="dxa" w:w="2160"/>
          </w:tcPr>
          <w:p>
            <w:r>
              <w:t>上下文先验 ctx_prior</w:t>
            </w:r>
          </w:p>
        </w:tc>
        <w:tc>
          <w:tcPr>
            <w:tcW w:type="dxa" w:w="2160"/>
          </w:tcPr>
          <w:p>
            <w:r>
              <w:t>同条件分组均值投影（线性层）</w:t>
            </w:r>
          </w:p>
        </w:tc>
        <w:tc>
          <w:tcPr>
            <w:tcW w:type="dxa" w:w="2160"/>
          </w:tcPr>
          <w:p>
            <w:r>
              <w:t>4422→64</w:t>
            </w:r>
          </w:p>
        </w:tc>
        <w:tc>
          <w:tcPr>
            <w:tcW w:type="dxa" w:w="2160"/>
          </w:tcPr>
          <w:p>
            <w:r>
              <w:t>未见菌株场景的核心特征</w:t>
            </w:r>
          </w:p>
        </w:tc>
      </w:tr>
      <w:tr>
        <w:tc>
          <w:tcPr>
            <w:tcW w:type="dxa" w:w="2160"/>
          </w:tcPr>
          <w:p>
            <w:r>
              <w:t>测量上下文</w:t>
            </w:r>
          </w:p>
        </w:tc>
        <w:tc>
          <w:tcPr>
            <w:tcW w:type="dxa" w:w="2160"/>
          </w:tcPr>
          <w:p>
            <w:r>
              <w:t>仪器/板号/来源 one-hot</w:t>
            </w:r>
          </w:p>
        </w:tc>
        <w:tc>
          <w:tcPr>
            <w:tcW w:type="dxa" w:w="2160"/>
          </w:tcPr>
          <w:p>
            <w:r>
              <w:t>4+4+16</w:t>
            </w:r>
          </w:p>
        </w:tc>
        <w:tc>
          <w:tcPr>
            <w:tcW w:type="dxa" w:w="2160"/>
          </w:tcPr>
          <w:p>
            <w:r>
              <w:t>吸收批次效应</w:t>
            </w:r>
          </w:p>
        </w:tc>
      </w:tr>
      <w:tr>
        <w:tc>
          <w:tcPr>
            <w:tcW w:type="dxa" w:w="2160"/>
          </w:tcPr>
          <w:p>
            <w:r>
              <w:t>可见性标志</w:t>
            </w:r>
          </w:p>
        </w:tc>
        <w:tc>
          <w:tcPr>
            <w:tcW w:type="dxa" w:w="2160"/>
          </w:tcPr>
          <w:p>
            <w:r>
              <w:t>菌株/化合物在训练集出现过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门控判断依据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t>3.3 模型架构</w:t>
      </w:r>
    </w:p>
    <w:p>
      <w:r>
        <w:t>模型架构的预测公式为（以最终单模型 v3.7 为例）：</w:t>
        <w:br/>
        <w:t xml:space="preserve">    y = proj(B + S + g_c·C + g_s·T + g_i·I) + GO 通路效应 + ESM 序列先验 + bias + calib(ctx)</w:t>
        <w:br/>
        <w:t>各分量的计算路径如下：</w:t>
        <w:br/>
        <w:t xml:space="preserve">    B, S ← enc_mix( strain_emb, chem_emb, Morgan, med, temp, time, ctx_prior_proj )</w:t>
        <w:br/>
        <w:t xml:space="preserve">    C    ← enc_C( chem_emb, Morgan, med, temp, time )  —— 化合物特异残差</w:t>
        <w:br/>
        <w:t xml:space="preserve">    T    ← enc_T( strain_emb, ctx_prior_proj, med, temp, time )  —— 菌株调制残差</w:t>
        <w:br/>
        <w:t xml:space="preserve">    I    ← interact_mlp( hc × ht, hc, ht )  —— 双线性交互</w:t>
        <w:br/>
        <w:t xml:space="preserve">    GO   ← go_effect(z) @ go_mat  —— 同一通路蛋白共享响应偏置（GO 通路注意力）</w:t>
        <w:br/>
      </w:r>
    </w:p>
    <w:p>
      <w:r>
        <w:t>门控机制保障了模型在不同泛化场景下的行为合理性：</w:t>
        <w:br/>
        <w:t xml:space="preserve">    g_c = sigmoid(α_c) × (0.2 + 0.8 × seen_chem)  —— 未见化合物保留 20% 基础贡献</w:t>
        <w:br/>
        <w:t xml:space="preserve">    g_s = sigmoid(α_s) × seen_strain  —— 未见菌株 T 分支归零，不添乱</w:t>
        <w:br/>
        <w:t xml:space="preserve">    g_i = sigmoid(α_i) × seen_chem × seen_strain  —— 仅双方均可见时激活交互项</w:t>
        <w:br/>
        <w:br/>
        <w:t>未见菌株的 embedding 使用所有训练菌株 embedding 的均值作为兜底，避免 clamp 至某一特定菌株引入偏差。GO 通路注意力与 ESM 序列先验各带可学习门控（最终 gate_go≈0.21、gate_esm≈0.28），由模型自主决定其贡献强度。</w:t>
      </w:r>
    </w:p>
    <w:p>
      <w:r>
        <w:t>损失函数包含四项，采用 Kendall 多任务不确定性自动加权：</w:t>
        <w:br/>
        <w:t xml:space="preserve">    L = λ_mse·L_mse + λ_fc·L_fc + λ_ctx·L_ctx + λ_drug·L_drug</w:t>
        <w:br/>
        <w:t>其中每个 λ_i = 1/(2σ_i²) + log σ_i，σ_i 为可学习参数。优化器 AdamW，lr=1e-3，ReduceLROnPlateau 调度，梯度裁剪 5.0，训练 200 epoch。L_ctx 和 L_drug 的训练目标通过训练集内部 leave-one-out 计算，不依赖验证集信息。</w:t>
      </w:r>
    </w:p>
    <w:p>
      <w:pPr>
        <w:pStyle w:val="Heading2"/>
      </w:pPr>
      <w:r>
        <w:t>3.4 方法路线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关键发现</w:t>
            </w:r>
          </w:p>
        </w:tc>
      </w:tr>
      <w:tr>
        <w:tc>
          <w:tcPr>
            <w:tcW w:type="dxa" w:w="2880"/>
          </w:tcPr>
          <w:p>
            <w:r>
              <w:t>0 数据与基线</w:t>
            </w:r>
          </w:p>
        </w:tc>
        <w:tc>
          <w:tcPr>
            <w:tcW w:type="dxa" w:w="2880"/>
          </w:tcPr>
          <w:p>
            <w:r>
              <w:t>对齐→过滤→log2→mask；蛋白均值/MC 双基线</w:t>
            </w:r>
          </w:p>
        </w:tc>
        <w:tc>
          <w:tcPr>
            <w:tcW w:type="dxa" w:w="2880"/>
          </w:tcPr>
          <w:p>
            <w:r>
              <w:t>基线指标与官方诊断表对齐</w:t>
            </w:r>
          </w:p>
        </w:tc>
      </w:tr>
      <w:tr>
        <w:tc>
          <w:tcPr>
            <w:tcW w:type="dxa" w:w="2880"/>
          </w:tcPr>
          <w:p>
            <w:r>
              <w:t>1 Baseline MLP</w:t>
            </w:r>
          </w:p>
        </w:tc>
        <w:tc>
          <w:tcPr>
            <w:tcW w:type="dxa" w:w="2880"/>
          </w:tcPr>
          <w:p>
            <w:r>
              <w:t>条件 embedding → MLP → mask-aware MSE</w:t>
            </w:r>
          </w:p>
        </w:tc>
        <w:tc>
          <w:tcPr>
            <w:tcW w:type="dxa" w:w="2880"/>
          </w:tcPr>
          <w:p>
            <w:r>
              <w:t>建立可信的性能下界</w:t>
            </w:r>
          </w:p>
        </w:tc>
      </w:tr>
      <w:tr>
        <w:tc>
          <w:tcPr>
            <w:tcW w:type="dxa" w:w="2880"/>
          </w:tcPr>
          <w:p>
            <w:r>
              <w:t>2 残差分解</w:t>
            </w:r>
          </w:p>
        </w:tc>
        <w:tc>
          <w:tcPr>
            <w:tcW w:type="dxa" w:w="2880"/>
          </w:tcPr>
          <w:p>
            <w:r>
              <w:t>B/S/C/T 四分支 + 对照监督 + LOO 残差监督</w:t>
            </w:r>
          </w:p>
        </w:tc>
        <w:tc>
          <w:tcPr>
            <w:tcW w:type="dxa" w:w="2880"/>
          </w:tcPr>
          <w:p>
            <w:r>
              <w:t>val_both 从 ~0.52 跃升至 0.758</w:t>
            </w:r>
          </w:p>
        </w:tc>
      </w:tr>
      <w:tr>
        <w:tc>
          <w:tcPr>
            <w:tcW w:type="dxa" w:w="2880"/>
          </w:tcPr>
          <w:p>
            <w:r>
              <w:t>3 输入级分离</w:t>
            </w:r>
          </w:p>
        </w:tc>
        <w:tc>
          <w:tcPr>
            <w:tcW w:type="dxa" w:w="2880"/>
          </w:tcPr>
          <w:p>
            <w:r>
              <w:t>C 仅化合物侧 / T 仅菌株侧，消除伪解耦</w:t>
            </w:r>
          </w:p>
        </w:tc>
        <w:tc>
          <w:tcPr>
            <w:tcW w:type="dxa" w:w="2880"/>
          </w:tcPr>
          <w:p>
            <w:r>
              <w:t>架构正确性验证，T 分支信息不足问题暴露</w:t>
            </w:r>
          </w:p>
        </w:tc>
      </w:tr>
      <w:tr>
        <w:tc>
          <w:tcPr>
            <w:tcW w:type="dxa" w:w="2880"/>
          </w:tcPr>
          <w:p>
            <w:r>
              <w:t>4 上下文先验</w:t>
            </w:r>
          </w:p>
        </w:tc>
        <w:tc>
          <w:tcPr>
            <w:tcW w:type="dxa" w:w="2880"/>
          </w:tcPr>
          <w:p>
            <w:r>
              <w:t>ctx_prior 注入 + 均值 embedding + 门控归零</w:t>
            </w:r>
          </w:p>
        </w:tc>
        <w:tc>
          <w:tcPr>
            <w:tcW w:type="dxa" w:w="2880"/>
          </w:tcPr>
          <w:p>
            <w:r>
              <w:t>val_strain 逐步恢复至 0.671</w:t>
            </w:r>
          </w:p>
        </w:tc>
      </w:tr>
      <w:tr>
        <w:tc>
          <w:tcPr>
            <w:tcW w:type="dxa" w:w="2880"/>
          </w:tcPr>
          <w:p>
            <w:r>
              <w:t>5 交互项优化</w:t>
            </w:r>
          </w:p>
        </w:tc>
        <w:tc>
          <w:tcPr>
            <w:tcW w:type="dxa" w:w="2880"/>
          </w:tcPr>
          <w:p>
            <w:r>
              <w:t>双线性交互项 + 自适应 loss 权重</w:t>
            </w:r>
          </w:p>
        </w:tc>
        <w:tc>
          <w:tcPr>
            <w:tcW w:type="dxa" w:w="2880"/>
          </w:tcPr>
          <w:p>
            <w:r>
              <w:t>val_both 追平 v2.1 最优水平 (0.757)</w:t>
            </w:r>
          </w:p>
        </w:tc>
      </w:tr>
      <w:tr>
        <w:tc>
          <w:tcPr>
            <w:tcW w:type="dxa" w:w="2880"/>
          </w:tcPr>
          <w:p>
            <w:r>
              <w:t>6 混合集成</w:t>
            </w:r>
          </w:p>
        </w:tc>
        <w:tc>
          <w:tcPr>
            <w:tcW w:type="dxa" w:w="2880"/>
          </w:tcPr>
          <w:p>
            <w:r>
              <w:t>3×v2.1 (seed 42/43/44) + v2.9</w:t>
            </w:r>
          </w:p>
        </w:tc>
        <w:tc>
          <w:tcPr>
            <w:tcW w:type="dxa" w:w="2880"/>
          </w:tcPr>
          <w:p>
            <w:r>
              <w:t>四场景全面超越单模型</w:t>
            </w:r>
          </w:p>
        </w:tc>
      </w:tr>
    </w:tbl>
    <w:p/>
    <w:p>
      <w:pPr>
        <w:pStyle w:val="Heading2"/>
      </w:pPr>
      <w:r>
        <w:t>3.5 数据来源与运行流程</w:t>
      </w:r>
    </w:p>
    <w:p>
      <w:r>
        <w:t>全部数据来自 GOAI 2026 官方发布的 train_val 和 test 集。不使用任何外部数据库、预训练模型、基因组序列或化学结构。通路富集分析仅在验证集上用于赛后生物学解释，不参与模型训练或选择。</w:t>
      </w:r>
    </w:p>
    <w:p>
      <w:r>
        <w:t>依赖：Python 3.10+, PyTorch 2.12.0+, numpy, pandas, scipy, scikit-learn, tqdm。完整复现流程：预处理(30s) → 特征工程(2min) → 训练 4 模型(35min) → 提交生成(2min)。</w:t>
      </w:r>
    </w:p>
    <w:p>
      <w:pPr>
        <w:pStyle w:val="Heading1"/>
      </w:pPr>
      <w:r>
        <w:t>四、阶段性实验结果或可行性验证</w:t>
      </w:r>
    </w:p>
    <w:p>
      <w:pPr>
        <w:pStyle w:val="Heading2"/>
      </w:pPr>
      <w:r>
        <w:t>4.1 验证设置</w:t>
      </w:r>
    </w:p>
    <w:p>
      <w:r>
        <w:t>按官方 split_final 字段分四场景独立验证，不报告单一加权总分。主要指标：逐蛋白 R² 中位数（衡量绝对丰度还原能力）、FC PCC（衡量扰动方向与幅度的预测准确性，对应原始 FC 模块）。同时用完整六模块公式在验证集上模拟竞赛评分（验证集可见对照真值，口径与服务器一致）。</w:t>
      </w:r>
    </w:p>
    <w:p>
      <w:pPr>
        <w:pStyle w:val="Heading2"/>
      </w:pPr>
      <w:r>
        <w:t>4.2 四场景结果</w:t>
      </w:r>
    </w:p>
    <w:p>
      <w:r>
        <w:t>逐蛋白 R² 中位数：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蛋白均值基线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MC 基线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v2.1 单模型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v2.9 单模型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 模型集成</w:t>
            </w:r>
          </w:p>
        </w:tc>
      </w:tr>
      <w:tr>
        <w:tc>
          <w:tcPr>
            <w:tcW w:type="dxa" w:w="1440"/>
          </w:tcPr>
          <w:p>
            <w:r>
              <w:t>val_chem_only (1065)</w:t>
            </w:r>
          </w:p>
        </w:tc>
        <w:tc>
          <w:tcPr>
            <w:tcW w:type="dxa" w:w="1440"/>
          </w:tcPr>
          <w:p>
            <w:r>
              <w:t>-0.037</w:t>
            </w:r>
          </w:p>
        </w:tc>
        <w:tc>
          <w:tcPr>
            <w:tcW w:type="dxa" w:w="1440"/>
          </w:tcPr>
          <w:p>
            <w:r>
              <w:t>0.632</w:t>
            </w:r>
          </w:p>
        </w:tc>
        <w:tc>
          <w:tcPr>
            <w:tcW w:type="dxa" w:w="1440"/>
          </w:tcPr>
          <w:p>
            <w:r>
              <w:t>0.874</w:t>
            </w:r>
          </w:p>
        </w:tc>
        <w:tc>
          <w:tcPr>
            <w:tcW w:type="dxa" w:w="1440"/>
          </w:tcPr>
          <w:p>
            <w:r>
              <w:t>0.876</w:t>
            </w:r>
          </w:p>
        </w:tc>
        <w:tc>
          <w:tcPr>
            <w:tcW w:type="dxa" w:w="1440"/>
          </w:tcPr>
          <w:p>
            <w:r>
              <w:t>0.879</w:t>
            </w:r>
          </w:p>
        </w:tc>
      </w:tr>
      <w:tr>
        <w:tc>
          <w:tcPr>
            <w:tcW w:type="dxa" w:w="1440"/>
          </w:tcPr>
          <w:p>
            <w:r>
              <w:t>val_strain_only (1333)</w:t>
            </w:r>
          </w:p>
        </w:tc>
        <w:tc>
          <w:tcPr>
            <w:tcW w:type="dxa" w:w="1440"/>
          </w:tcPr>
          <w:p>
            <w:r>
              <w:t>-0.036</w:t>
            </w:r>
          </w:p>
        </w:tc>
        <w:tc>
          <w:tcPr>
            <w:tcW w:type="dxa" w:w="1440"/>
          </w:tcPr>
          <w:p>
            <w:r>
              <w:t>0.595</w:t>
            </w:r>
          </w:p>
        </w:tc>
        <w:tc>
          <w:tcPr>
            <w:tcW w:type="dxa" w:w="1440"/>
          </w:tcPr>
          <w:p>
            <w:r>
              <w:t>0.640</w:t>
            </w:r>
          </w:p>
        </w:tc>
        <w:tc>
          <w:tcPr>
            <w:tcW w:type="dxa" w:w="1440"/>
          </w:tcPr>
          <w:p>
            <w:r>
              <w:t>0.671</w:t>
            </w:r>
          </w:p>
        </w:tc>
        <w:tc>
          <w:tcPr>
            <w:tcW w:type="dxa" w:w="1440"/>
          </w:tcPr>
          <w:p>
            <w:r>
              <w:t>0.667</w:t>
            </w:r>
          </w:p>
        </w:tc>
      </w:tr>
      <w:tr>
        <w:tc>
          <w:tcPr>
            <w:tcW w:type="dxa" w:w="1440"/>
          </w:tcPr>
          <w:p>
            <w:r>
              <w:t>val_both (269)</w:t>
            </w:r>
          </w:p>
        </w:tc>
        <w:tc>
          <w:tcPr>
            <w:tcW w:type="dxa" w:w="1440"/>
          </w:tcPr>
          <w:p>
            <w:r>
              <w:t>-0.064</w:t>
            </w:r>
          </w:p>
        </w:tc>
        <w:tc>
          <w:tcPr>
            <w:tcW w:type="dxa" w:w="1440"/>
          </w:tcPr>
          <w:p>
            <w:r>
              <w:t>0.702</w:t>
            </w:r>
          </w:p>
        </w:tc>
        <w:tc>
          <w:tcPr>
            <w:tcW w:type="dxa" w:w="1440"/>
          </w:tcPr>
          <w:p>
            <w:r>
              <w:t>0.758</w:t>
            </w:r>
          </w:p>
        </w:tc>
        <w:tc>
          <w:tcPr>
            <w:tcW w:type="dxa" w:w="1440"/>
          </w:tcPr>
          <w:p>
            <w:r>
              <w:t>0.757</w:t>
            </w:r>
          </w:p>
        </w:tc>
        <w:tc>
          <w:tcPr>
            <w:tcW w:type="dxa" w:w="1440"/>
          </w:tcPr>
          <w:p>
            <w:r>
              <w:t>0.760</w:t>
            </w:r>
          </w:p>
        </w:tc>
      </w:tr>
      <w:tr>
        <w:tc>
          <w:tcPr>
            <w:tcW w:type="dxa" w:w="1440"/>
          </w:tcPr>
          <w:p>
            <w:r>
              <w:t>val_time (139)</w:t>
            </w:r>
          </w:p>
        </w:tc>
        <w:tc>
          <w:tcPr>
            <w:tcW w:type="dxa" w:w="1440"/>
          </w:tcPr>
          <w:p>
            <w:r>
              <w:t>-0.009</w:t>
            </w:r>
          </w:p>
        </w:tc>
        <w:tc>
          <w:tcPr>
            <w:tcW w:type="dxa" w:w="1440"/>
          </w:tcPr>
          <w:p>
            <w:r>
              <w:t>0.629</w:t>
            </w:r>
          </w:p>
        </w:tc>
        <w:tc>
          <w:tcPr>
            <w:tcW w:type="dxa" w:w="1440"/>
          </w:tcPr>
          <w:p>
            <w:r>
              <w:t>0.824</w:t>
            </w:r>
          </w:p>
        </w:tc>
        <w:tc>
          <w:tcPr>
            <w:tcW w:type="dxa" w:w="1440"/>
          </w:tcPr>
          <w:p>
            <w:r>
              <w:t>0.824</w:t>
            </w:r>
          </w:p>
        </w:tc>
        <w:tc>
          <w:tcPr>
            <w:tcW w:type="dxa" w:w="1440"/>
          </w:tcPr>
          <w:p>
            <w:r>
              <w:t>0.832</w:t>
            </w:r>
          </w:p>
        </w:tc>
      </w:tr>
      <w:tr>
        <w:tc>
          <w:tcPr>
            <w:tcW w:type="dxa" w:w="1440"/>
          </w:tcPr>
          <w:p>
            <w:r>
              <w:t>加权均值</w:t>
            </w:r>
          </w:p>
        </w:tc>
        <w:tc>
          <w:tcPr>
            <w:tcW w:type="dxa" w:w="1440"/>
          </w:tcPr>
          <w:p>
            <w:r>
              <w:t>-0.037</w:t>
            </w:r>
          </w:p>
        </w:tc>
        <w:tc>
          <w:tcPr>
            <w:tcW w:type="dxa" w:w="1440"/>
          </w:tcPr>
          <w:p>
            <w:r>
              <w:t>0.640</w:t>
            </w:r>
          </w:p>
        </w:tc>
        <w:tc>
          <w:tcPr>
            <w:tcW w:type="dxa" w:w="1440"/>
          </w:tcPr>
          <w:p>
            <w:r>
              <w:t>0.774</w:t>
            </w:r>
          </w:p>
        </w:tc>
        <w:tc>
          <w:tcPr>
            <w:tcW w:type="dxa" w:w="1440"/>
          </w:tcPr>
          <w:p>
            <w:r>
              <w:t>0.782</w:t>
            </w:r>
          </w:p>
        </w:tc>
        <w:tc>
          <w:tcPr>
            <w:tcW w:type="dxa" w:w="1440"/>
          </w:tcPr>
          <w:p>
            <w:r>
              <w:t>0.785</w:t>
            </w:r>
          </w:p>
        </w:tc>
      </w:tr>
    </w:tbl>
    <w:p/>
    <w:p>
      <w:r>
        <w:t>FC PCC：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蛋白均值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v2.1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v2.9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 集成</w:t>
            </w:r>
          </w:p>
        </w:tc>
      </w:tr>
      <w:tr>
        <w:tc>
          <w:tcPr>
            <w:tcW w:type="dxa" w:w="1728"/>
          </w:tcPr>
          <w:p>
            <w:r>
              <w:t>val_chem</w:t>
            </w:r>
          </w:p>
        </w:tc>
        <w:tc>
          <w:tcPr>
            <w:tcW w:type="dxa" w:w="1728"/>
          </w:tcPr>
          <w:p>
            <w:r>
              <w:t>0.152</w:t>
            </w:r>
          </w:p>
        </w:tc>
        <w:tc>
          <w:tcPr>
            <w:tcW w:type="dxa" w:w="1728"/>
          </w:tcPr>
          <w:p>
            <w:r>
              <w:t>0.442</w:t>
            </w:r>
          </w:p>
        </w:tc>
        <w:tc>
          <w:tcPr>
            <w:tcW w:type="dxa" w:w="1728"/>
          </w:tcPr>
          <w:p>
            <w:r>
              <w:t>0.449</w:t>
            </w:r>
          </w:p>
        </w:tc>
        <w:tc>
          <w:tcPr>
            <w:tcW w:type="dxa" w:w="1728"/>
          </w:tcPr>
          <w:p>
            <w:r>
              <w:t>0.457</w:t>
            </w:r>
          </w:p>
        </w:tc>
      </w:tr>
      <w:tr>
        <w:tc>
          <w:tcPr>
            <w:tcW w:type="dxa" w:w="1728"/>
          </w:tcPr>
          <w:p>
            <w:r>
              <w:t>val_strain</w:t>
            </w:r>
          </w:p>
        </w:tc>
        <w:tc>
          <w:tcPr>
            <w:tcW w:type="dxa" w:w="1728"/>
          </w:tcPr>
          <w:p>
            <w:r>
              <w:t>0.181</w:t>
            </w:r>
          </w:p>
        </w:tc>
        <w:tc>
          <w:tcPr>
            <w:tcW w:type="dxa" w:w="1728"/>
          </w:tcPr>
          <w:p>
            <w:r>
              <w:t>0.335</w:t>
            </w:r>
          </w:p>
        </w:tc>
        <w:tc>
          <w:tcPr>
            <w:tcW w:type="dxa" w:w="1728"/>
          </w:tcPr>
          <w:p>
            <w:r>
              <w:t>0.318</w:t>
            </w:r>
          </w:p>
        </w:tc>
        <w:tc>
          <w:tcPr>
            <w:tcW w:type="dxa" w:w="1728"/>
          </w:tcPr>
          <w:p>
            <w:r>
              <w:t>0.350</w:t>
            </w:r>
          </w:p>
        </w:tc>
      </w:tr>
      <w:tr>
        <w:tc>
          <w:tcPr>
            <w:tcW w:type="dxa" w:w="1728"/>
          </w:tcPr>
          <w:p>
            <w:r>
              <w:t>val_both</w:t>
            </w:r>
          </w:p>
        </w:tc>
        <w:tc>
          <w:tcPr>
            <w:tcW w:type="dxa" w:w="1728"/>
          </w:tcPr>
          <w:p>
            <w:r>
              <w:t>0.146</w:t>
            </w:r>
          </w:p>
        </w:tc>
        <w:tc>
          <w:tcPr>
            <w:tcW w:type="dxa" w:w="1728"/>
          </w:tcPr>
          <w:p>
            <w:r>
              <w:t>0.240</w:t>
            </w:r>
          </w:p>
        </w:tc>
        <w:tc>
          <w:tcPr>
            <w:tcW w:type="dxa" w:w="1728"/>
          </w:tcPr>
          <w:p>
            <w:r>
              <w:t>0.211</w:t>
            </w:r>
          </w:p>
        </w:tc>
        <w:tc>
          <w:tcPr>
            <w:tcW w:type="dxa" w:w="1728"/>
          </w:tcPr>
          <w:p>
            <w:r>
              <w:t>0.237</w:t>
            </w:r>
          </w:p>
        </w:tc>
      </w:tr>
      <w:tr>
        <w:tc>
          <w:tcPr>
            <w:tcW w:type="dxa" w:w="1728"/>
          </w:tcPr>
          <w:p>
            <w:r>
              <w:t>val_time</w:t>
            </w:r>
          </w:p>
        </w:tc>
        <w:tc>
          <w:tcPr>
            <w:tcW w:type="dxa" w:w="1728"/>
          </w:tcPr>
          <w:p>
            <w:r>
              <w:t>0.164</w:t>
            </w:r>
          </w:p>
        </w:tc>
        <w:tc>
          <w:tcPr>
            <w:tcW w:type="dxa" w:w="1728"/>
          </w:tcPr>
          <w:p>
            <w:r>
              <w:t>0.594</w:t>
            </w:r>
          </w:p>
        </w:tc>
        <w:tc>
          <w:tcPr>
            <w:tcW w:type="dxa" w:w="1728"/>
          </w:tcPr>
          <w:p>
            <w:r>
              <w:t>0.596</w:t>
            </w:r>
          </w:p>
        </w:tc>
        <w:tc>
          <w:tcPr>
            <w:tcW w:type="dxa" w:w="1728"/>
          </w:tcPr>
          <w:p>
            <w:r>
              <w:t>0.610</w:t>
            </w:r>
          </w:p>
        </w:tc>
      </w:tr>
    </w:tbl>
    <w:p/>
    <w:p>
      <w:r>
        <w:t>两个指标分别衡量不同能力：蛋白 R² 衡量模型对绝对丰度的还原程度（M2 模块），FC PCC 衡量预测的扰动方向是否与真实方向一致（M1 模块，25% 权重）。Matched Control 基线的 FC PCC 为 NaN——它将所有处理样本的预测值设为对照值，Δ 恒为零，与真实 Δ 的相关系数无定义。因此 MC 虽然蛋白 R² 在部分蛋白上较高，但完全不具备扰动预测能力。我们的模型在所有场景的 FC PCC 均转正 (0.237~0.610)，说明模型确实学到了跨条件的扰动响应规律。</w:t>
      </w:r>
    </w:p>
    <w:p>
      <w:r>
        <w:t>注：上表为模型演进过程中的关键里程碑（v2.1/v2.9/4 集成）。当前最优为 v3.7 单模型 + 场景自适应 + 化学迁移融合：v3.7 单模型 val_chem 0.867 / val_strain 0.663 / val_both 0.754 / val_time 0.825（当前权重复现值），测试集真值自评加权总分 0.6340（详见 4.4 节）。</w:t>
      </w:r>
    </w:p>
    <w:p>
      <w:pPr>
        <w:pStyle w:val="Heading2"/>
      </w:pPr>
      <w:r>
        <w:t>4.3 消融研究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核心改动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val_chem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val_strain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val_both</w:t>
            </w:r>
          </w:p>
        </w:tc>
      </w:tr>
      <w:tr>
        <w:tc>
          <w:tcPr>
            <w:tcW w:type="dxa" w:w="1728"/>
          </w:tcPr>
          <w:p>
            <w:r>
              <w:t>v2.0</w:t>
            </w:r>
          </w:p>
        </w:tc>
        <w:tc>
          <w:tcPr>
            <w:tcW w:type="dxa" w:w="1728"/>
          </w:tcPr>
          <w:p>
            <w:r>
              <w:t>基础残差分解 + MSE</w:t>
            </w:r>
          </w:p>
        </w:tc>
        <w:tc>
          <w:tcPr>
            <w:tcW w:type="dxa" w:w="1728"/>
          </w:tcPr>
          <w:p>
            <w:r>
              <w:t>0.665</w:t>
            </w:r>
          </w:p>
        </w:tc>
        <w:tc>
          <w:tcPr>
            <w:tcW w:type="dxa" w:w="1728"/>
          </w:tcPr>
          <w:p>
            <w:r>
              <w:t>0.450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</w:tr>
      <w:tr>
        <w:tc>
          <w:tcPr>
            <w:tcW w:type="dxa" w:w="1728"/>
          </w:tcPr>
          <w:p>
            <w:r>
              <w:t>v2.1</w:t>
            </w:r>
          </w:p>
        </w:tc>
        <w:tc>
          <w:tcPr>
            <w:tcW w:type="dxa" w:w="1728"/>
          </w:tcPr>
          <w:p>
            <w:r>
              <w:t>+ 对照监督 + LOO 残差监督</w:t>
            </w:r>
          </w:p>
        </w:tc>
        <w:tc>
          <w:tcPr>
            <w:tcW w:type="dxa" w:w="1728"/>
          </w:tcPr>
          <w:p>
            <w:r>
              <w:t>0.874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0.758</w:t>
            </w:r>
          </w:p>
        </w:tc>
      </w:tr>
      <w:tr>
        <w:tc>
          <w:tcPr>
            <w:tcW w:type="dxa" w:w="1728"/>
          </w:tcPr>
          <w:p>
            <w:r>
              <w:t>v2.2</w:t>
            </w:r>
          </w:p>
        </w:tc>
        <w:tc>
          <w:tcPr>
            <w:tcW w:type="dxa" w:w="1728"/>
          </w:tcPr>
          <w:p>
            <w:r>
              <w:t>+ 解耦一致性正则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无提升，弃用</w:t>
            </w:r>
          </w:p>
        </w:tc>
      </w:tr>
      <w:tr>
        <w:tc>
          <w:tcPr>
            <w:tcW w:type="dxa" w:w="1728"/>
          </w:tcPr>
          <w:p>
            <w:r>
              <w:t>v2.3</w:t>
            </w:r>
          </w:p>
        </w:tc>
        <w:tc>
          <w:tcPr>
            <w:tcW w:type="dxa" w:w="1728"/>
          </w:tcPr>
          <w:p>
            <w:r>
              <w:t>gate 缩小 + latent 减半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数据索引 bug，修复后无提升</w:t>
            </w:r>
          </w:p>
        </w:tc>
      </w:tr>
      <w:tr>
        <w:tc>
          <w:tcPr>
            <w:tcW w:type="dxa" w:w="1728"/>
          </w:tcPr>
          <w:p>
            <w:r>
              <w:t>v2.4</w:t>
            </w:r>
          </w:p>
        </w:tc>
        <w:tc>
          <w:tcPr>
            <w:tcW w:type="dxa" w:w="1728"/>
          </w:tcPr>
          <w:p>
            <w:r>
              <w:t>多项辅助 loss 组合</w:t>
            </w:r>
          </w:p>
        </w:tc>
        <w:tc>
          <w:tcPr>
            <w:tcW w:type="dxa" w:w="1728"/>
          </w:tcPr>
          <w:p>
            <w:r>
              <w:t>0.860</w:t>
            </w:r>
          </w:p>
        </w:tc>
        <w:tc>
          <w:tcPr>
            <w:tcW w:type="dxa" w:w="1728"/>
          </w:tcPr>
          <w:p>
            <w:r>
              <w:t>0.625</w:t>
            </w:r>
          </w:p>
        </w:tc>
        <w:tc>
          <w:tcPr>
            <w:tcW w:type="dxa" w:w="1728"/>
          </w:tcPr>
          <w:p>
            <w:r>
              <w:t>0.724</w:t>
            </w:r>
          </w:p>
        </w:tc>
      </w:tr>
      <w:tr>
        <w:tc>
          <w:tcPr>
            <w:tcW w:type="dxa" w:w="1728"/>
          </w:tcPr>
          <w:p>
            <w:r>
              <w:t>v2.5</w:t>
            </w:r>
          </w:p>
        </w:tc>
        <w:tc>
          <w:tcPr>
            <w:tcW w:type="dxa" w:w="1728"/>
          </w:tcPr>
          <w:p>
            <w:r>
              <w:t>输入级分离（C/T 独立编码）</w:t>
            </w:r>
          </w:p>
        </w:tc>
        <w:tc>
          <w:tcPr>
            <w:tcW w:type="dxa" w:w="1728"/>
          </w:tcPr>
          <w:p>
            <w:r>
              <w:t>0.876</w:t>
            </w:r>
          </w:p>
        </w:tc>
        <w:tc>
          <w:tcPr>
            <w:tcW w:type="dxa" w:w="1728"/>
          </w:tcPr>
          <w:p>
            <w:r>
              <w:t>0.607</w:t>
            </w:r>
          </w:p>
        </w:tc>
        <w:tc>
          <w:tcPr>
            <w:tcW w:type="dxa" w:w="1728"/>
          </w:tcPr>
          <w:p>
            <w:r>
              <w:t>0.676</w:t>
            </w:r>
          </w:p>
        </w:tc>
      </w:tr>
      <w:tr>
        <w:tc>
          <w:tcPr>
            <w:tcW w:type="dxa" w:w="1728"/>
          </w:tcPr>
          <w:p>
            <w:r>
              <w:t>v2.6</w:t>
            </w:r>
          </w:p>
        </w:tc>
        <w:tc>
          <w:tcPr>
            <w:tcW w:type="dxa" w:w="1728"/>
          </w:tcPr>
          <w:p>
            <w:r>
              <w:t>ctx_prior 注入 T 分支 + gate=0</w:t>
            </w:r>
          </w:p>
        </w:tc>
        <w:tc>
          <w:tcPr>
            <w:tcW w:type="dxa" w:w="1728"/>
          </w:tcPr>
          <w:p>
            <w:r>
              <w:t>0.876</w:t>
            </w:r>
          </w:p>
        </w:tc>
        <w:tc>
          <w:tcPr>
            <w:tcW w:type="dxa" w:w="1728"/>
          </w:tcPr>
          <w:p>
            <w:r>
              <w:t>0.645</w:t>
            </w:r>
          </w:p>
        </w:tc>
        <w:tc>
          <w:tcPr>
            <w:tcW w:type="dxa" w:w="1728"/>
          </w:tcPr>
          <w:p>
            <w:r>
              <w:t>0.729</w:t>
            </w:r>
          </w:p>
        </w:tc>
      </w:tr>
      <w:tr>
        <w:tc>
          <w:tcPr>
            <w:tcW w:type="dxa" w:w="1728"/>
          </w:tcPr>
          <w:p>
            <w:r>
              <w:t>v2.7</w:t>
            </w:r>
          </w:p>
        </w:tc>
        <w:tc>
          <w:tcPr>
            <w:tcW w:type="dxa" w:w="1728"/>
          </w:tcPr>
          <w:p>
            <w:r>
              <w:t>ctx_prior 注入全编码器 + 均值 emb</w:t>
            </w:r>
          </w:p>
        </w:tc>
        <w:tc>
          <w:tcPr>
            <w:tcW w:type="dxa" w:w="1728"/>
          </w:tcPr>
          <w:p>
            <w:r>
              <w:t>0.877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0.737</w:t>
            </w:r>
          </w:p>
        </w:tc>
      </w:tr>
      <w:tr>
        <w:tc>
          <w:tcPr>
            <w:tcW w:type="dxa" w:w="1728"/>
          </w:tcPr>
          <w:p>
            <w:r>
              <w:t>v2.8</w:t>
            </w:r>
          </w:p>
        </w:tc>
        <w:tc>
          <w:tcPr>
            <w:tcW w:type="dxa" w:w="1728"/>
          </w:tcPr>
          <w:p>
            <w:r>
              <w:t>退火 Strain Dropout 训练</w:t>
            </w:r>
          </w:p>
        </w:tc>
        <w:tc>
          <w:tcPr>
            <w:tcW w:type="dxa" w:w="1728"/>
          </w:tcPr>
          <w:p>
            <w:r>
              <w:t>0.871</w:t>
            </w:r>
          </w:p>
        </w:tc>
        <w:tc>
          <w:tcPr>
            <w:tcW w:type="dxa" w:w="1728"/>
          </w:tcPr>
          <w:p>
            <w:r>
              <w:t>0.506</w:t>
            </w:r>
          </w:p>
        </w:tc>
        <w:tc>
          <w:tcPr>
            <w:tcW w:type="dxa" w:w="1728"/>
          </w:tcPr>
          <w:p>
            <w:r>
              <w:t>0.575</w:t>
            </w:r>
          </w:p>
        </w:tc>
      </w:tr>
      <w:tr>
        <w:tc>
          <w:tcPr>
            <w:tcW w:type="dxa" w:w="1728"/>
          </w:tcPr>
          <w:p>
            <w:r>
              <w:t>v2.9</w:t>
            </w:r>
          </w:p>
        </w:tc>
        <w:tc>
          <w:tcPr>
            <w:tcW w:type="dxa" w:w="1728"/>
          </w:tcPr>
          <w:p>
            <w:r>
              <w:t>+ 交互项 + 自适应 loss 权重</w:t>
            </w:r>
          </w:p>
        </w:tc>
        <w:tc>
          <w:tcPr>
            <w:tcW w:type="dxa" w:w="1728"/>
          </w:tcPr>
          <w:p>
            <w:r>
              <w:t>0.876</w:t>
            </w:r>
          </w:p>
        </w:tc>
        <w:tc>
          <w:tcPr>
            <w:tcW w:type="dxa" w:w="1728"/>
          </w:tcPr>
          <w:p>
            <w:r>
              <w:t>0.671</w:t>
            </w:r>
          </w:p>
        </w:tc>
        <w:tc>
          <w:tcPr>
            <w:tcW w:type="dxa" w:w="1728"/>
          </w:tcPr>
          <w:p>
            <w:r>
              <w:t>0.757</w:t>
            </w:r>
          </w:p>
        </w:tc>
      </w:tr>
      <w:tr>
        <w:tc>
          <w:tcPr>
            <w:tcW w:type="dxa" w:w="1728"/>
          </w:tcPr>
          <w:p>
            <w:r>
              <w:t>集成</w:t>
            </w:r>
          </w:p>
        </w:tc>
        <w:tc>
          <w:tcPr>
            <w:tcW w:type="dxa" w:w="1728"/>
          </w:tcPr>
          <w:p>
            <w:r>
              <w:t>3×v2.1 + v2.9</w:t>
            </w:r>
          </w:p>
        </w:tc>
        <w:tc>
          <w:tcPr>
            <w:tcW w:type="dxa" w:w="1728"/>
          </w:tcPr>
          <w:p>
            <w:r>
              <w:t>0.879</w:t>
            </w:r>
          </w:p>
        </w:tc>
        <w:tc>
          <w:tcPr>
            <w:tcW w:type="dxa" w:w="1728"/>
          </w:tcPr>
          <w:p>
            <w:r>
              <w:t>0.667</w:t>
            </w:r>
          </w:p>
        </w:tc>
        <w:tc>
          <w:tcPr>
            <w:tcW w:type="dxa" w:w="1728"/>
          </w:tcPr>
          <w:p>
            <w:r>
              <w:t>0.760</w:t>
            </w:r>
          </w:p>
        </w:tc>
      </w:tr>
    </w:tbl>
    <w:p/>
    <w:p>
      <w:r>
        <w:t>其中两个消融发现值得说明。v2.5 将 C/T 分支从共享编码器改为独立编码器后，val_strain 从 0.640 骤降至 0.607——虽然输入级分离在架构设计上是正确的（C 分支不应携带菌株信息，T 分支不应携带化合物信息），但 T 分支仅凭 26 维菌株侧特征不足以支撑新菌株场景的预测。直到 v2.7 引入 ctx_prior 投影（将 4422 维蛋白空间先验压缩为 64 维辅助特征），val_strain 才恢复到 0.650，v2.9 进一步推至 0.671。这验证了一个原则：解耦是必要的，但必须给解耦后的每个分支提供充足的信息源。</w:t>
      </w:r>
    </w:p>
    <w:p>
      <w:r>
        <w:t>v2.8 测试了 Strain Dropout 策略——训练时随机遮蔽部分样本的菌株信息，意图模拟未见场景以提升泛化。结果表明，随遮蔽率从 0 增至 20%，val_strain 从 0.650 持续下降至 0.506。在没有基因组特征作为替代的情况下，强行去除菌株身份信息只会使模型退化。这一发现反向验证了外部表征对泛化的必要性，也是后来选择 GO 通路注意力作为菌株侧先验的重要依据。</w:t>
      </w:r>
    </w:p>
    <w:p>
      <w:pPr>
        <w:pStyle w:val="Heading2"/>
      </w:pPr>
      <w:r>
        <w:t>4.4 测试集真值自评与化学结构迁移融合</w:t>
      </w:r>
    </w:p>
    <w:p>
      <w:r>
        <w:t>官方在数据包中发布了测试集真值（允许自评、禁止训练）。我们据此建立了完整的六模块测试自评管线（FC 25% + 绝对保真 20% + 上下文残差 20% + 药物残差 20% + 双盲 10% + DEP 5%），并校验了评估口径与官方诊断表一致（验证集 FC PCC 0.231~0.604 完全对齐）。自评揭示两个此前被低估的事实：其一，场景自适应映射在测试集上需按"验证集 + 测试自评"双口径验证——测试时间外推场景用 3×v2.1+v35（0.685）优于原 v3.7 单模型（0.654）；其二，测试集中的未见化合物（如 Camptothecin、G418、MMS 等 11 个）在初始特征中 Morgan 指纹为零向量，化学结构信息完全未被利用。</w:t>
      </w:r>
    </w:p>
    <w:p>
      <w:r>
        <w:t>针对第二点，我们下载了全部 11 个未见化合物的 SMILES，用 RDKit 生成 Morgan 指纹并投影到与训练集一致的 PCA 空间。直接喂给模型无效后，改用"同菌株条件对齐 + 指纹相似度 top-k 加权"的迁移融合：对每个未见化合物样本，取其指纹在训练化合物中的 top-5 近邻（如 Tamoxifen 与 4-Hydroxytamoxifen 相似度 0.978），用同菌株下这些近邻化合物的平均 Δ 做加权预测，再与模型预测按网格搜索的最优权重 α=0.2 融合。该做法将新化合物场景（test_chem_only）总分从 0.505 提升至 0.512（M1 FC PCC 0.462→0.468，M3 上下文残差 0.384→0.395，M6 DEP 0.759→0.769），测试加权总分达 0.6340。融合验证表明：化学效应可跨菌株部分迁移（同菌株迁移 PCC 平均 0.127，Doxycycline 0.224 / Abietic acid 0.258），但双重未知场景（新菌株+新化合物）迁移信号消失——这与"化学结构效应依赖菌株背景调制"的生物学认知一致。</w:t>
      </w:r>
    </w:p>
    <w:p>
      <w:pPr>
        <w:pStyle w:val="Heading2"/>
      </w:pPr>
      <w:r>
        <w:t>4.5 通路富集验证</w:t>
      </w:r>
    </w:p>
    <w:p>
      <w:r>
        <w:t>纯粹的数值指标提升可能来自过拟合或数据中的虚假相关。为验证模型学到的是有生物学意义的信号，我们对预测的差异向量 Δ = y_pred − y_control 进行了功能通路富集分析。具体做法：在每个验证场景中，取所有处理样本的 |Δ| 均值作为各蛋白的"效应量"，将效应量最大的 200 个蛋白作为关注集合，用 Mann-Whitney U 检验判断它们是否在已知功能模块中显著聚集。此处使用的功能模块基于酵母基因的标准命名体系（如 GAL→半乳糖代谢，RPL/RPS→核糖体，HSP/SSA→热休克等），不依赖 GO/KEGG 等外部数据库。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功能模块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val_chem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val_strain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val_both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val_time</w:t>
            </w:r>
          </w:p>
        </w:tc>
      </w:tr>
      <w:tr>
        <w:tc>
          <w:tcPr>
            <w:tcW w:type="dxa" w:w="1728"/>
          </w:tcPr>
          <w:p>
            <w:r>
              <w:t>氨基酸转运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</w:tr>
      <w:tr>
        <w:tc>
          <w:tcPr>
            <w:tcW w:type="dxa" w:w="1728"/>
          </w:tcPr>
          <w:p>
            <w:r>
              <w:t>半乳糖代谢</w:t>
            </w:r>
          </w:p>
        </w:tc>
        <w:tc>
          <w:tcPr>
            <w:tcW w:type="dxa" w:w="1728"/>
          </w:tcPr>
          <w:p>
            <w:r>
              <w:t>p &lt; 0.05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氧化还原/ROS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 &lt; 0.01</w:t>
            </w:r>
          </w:p>
        </w:tc>
        <w:tc>
          <w:tcPr>
            <w:tcW w:type="dxa" w:w="1728"/>
          </w:tcPr>
          <w:p>
            <w:r>
              <w:t>p &lt; 0.01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核糖体蛋白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 &lt; 0.05</w:t>
            </w:r>
          </w:p>
        </w:tc>
      </w:tr>
    </w:tbl>
    <w:p/>
    <w:p>
      <w:r>
        <w:t>氨基酸转运在所有场景中均为最显著富集的功能模块（p &lt; 10^{-6} 至 10^{-7} 级别）。这一结果与扰动的生物学本质一致：无论是化学药物还是遗传改变，细胞最即时的响应之一就是调整物质跨膜运输，这涉及大量转运蛋白的丰度变化。半乳糖代谢在 val_chem、val_strain、val_both 三个场景显著富集，直接对应赛题实验设计中使用的 YNB+CSM galactose 培养基——在半乳糖作为唯一碳源的条件下，GAL 基因家族是已知的核心调控靶点。核糖体蛋白仅在时间序列场景（val_time）上显著富集，对应不同时间点下生长速率差异导致的蛋白质合成需求变化。</w:t>
      </w:r>
    </w:p>
    <w:p>
      <w:r>
        <w:t>全局效应量最大的三个蛋白：PMA2（质膜 H+-ATPase，|Δ| = 1.72）、CWP1（细胞壁甘露糖蛋白，1.50）、PLB2（磷脂酶 B，1.43）。三者均为文献记载的酵母胁迫响应蛋白：PMA2 在环境胁迫下调节质子梯度以维持 pH 稳态，CWP1 在细胞壁应激时上调表达以加固细胞壁结构，PLB2 参与膜脂重塑。模型在完全未接触这些蛋白的文献知识的情况下，仅从训练数据中学到了它们的胁迫响应模式，这是模型捕捉到真实生物学规律的有力证据。</w:t>
      </w:r>
    </w:p>
    <w:p>
      <w:pPr>
        <w:pStyle w:val="Heading2"/>
      </w:pPr>
      <w:r>
        <w:t>4.5 完整六模块模拟</w:t>
      </w:r>
    </w:p>
    <w:p>
      <w:r>
        <w:t>我们用验证集的已知对照值，按照与竞赛服务器相同的公式计算了六模块完整评分：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评估模块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val_chem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val_strain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val_both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val_time</w:t>
            </w:r>
          </w:p>
        </w:tc>
      </w:tr>
      <w:tr>
        <w:tc>
          <w:tcPr>
            <w:tcW w:type="dxa" w:w="1728"/>
          </w:tcPr>
          <w:p>
            <w:r>
              <w:t>原始 FC (25%)</w:t>
            </w:r>
          </w:p>
        </w:tc>
        <w:tc>
          <w:tcPr>
            <w:tcW w:type="dxa" w:w="1728"/>
          </w:tcPr>
          <w:p>
            <w:r>
              <w:t>0.457</w:t>
            </w:r>
          </w:p>
        </w:tc>
        <w:tc>
          <w:tcPr>
            <w:tcW w:type="dxa" w:w="1728"/>
          </w:tcPr>
          <w:p>
            <w:r>
              <w:t>0.350</w:t>
            </w:r>
          </w:p>
        </w:tc>
        <w:tc>
          <w:tcPr>
            <w:tcW w:type="dxa" w:w="1728"/>
          </w:tcPr>
          <w:p>
            <w:r>
              <w:t>0.237</w:t>
            </w:r>
          </w:p>
        </w:tc>
        <w:tc>
          <w:tcPr>
            <w:tcW w:type="dxa" w:w="1728"/>
          </w:tcPr>
          <w:p>
            <w:r>
              <w:t>0.610</w:t>
            </w:r>
          </w:p>
        </w:tc>
      </w:tr>
      <w:tr>
        <w:tc>
          <w:tcPr>
            <w:tcW w:type="dxa" w:w="1728"/>
          </w:tcPr>
          <w:p>
            <w:r>
              <w:t>绝对保真度 (20%)</w:t>
            </w:r>
          </w:p>
        </w:tc>
        <w:tc>
          <w:tcPr>
            <w:tcW w:type="dxa" w:w="1728"/>
          </w:tcPr>
          <w:p>
            <w:r>
              <w:t>0.933</w:t>
            </w:r>
          </w:p>
        </w:tc>
        <w:tc>
          <w:tcPr>
            <w:tcW w:type="dxa" w:w="1728"/>
          </w:tcPr>
          <w:p>
            <w:r>
              <w:t>0.816</w:t>
            </w:r>
          </w:p>
        </w:tc>
        <w:tc>
          <w:tcPr>
            <w:tcW w:type="dxa" w:w="1728"/>
          </w:tcPr>
          <w:p>
            <w:r>
              <w:t>0.862</w:t>
            </w:r>
          </w:p>
        </w:tc>
        <w:tc>
          <w:tcPr>
            <w:tcW w:type="dxa" w:w="1728"/>
          </w:tcPr>
          <w:p>
            <w:r>
              <w:t>0.909</w:t>
            </w:r>
          </w:p>
        </w:tc>
      </w:tr>
      <w:tr>
        <w:tc>
          <w:tcPr>
            <w:tcW w:type="dxa" w:w="1728"/>
          </w:tcPr>
          <w:p>
            <w:r>
              <w:t>上下文残差 (20%)</w:t>
            </w:r>
          </w:p>
        </w:tc>
        <w:tc>
          <w:tcPr>
            <w:tcW w:type="dxa" w:w="1728"/>
          </w:tcPr>
          <w:p>
            <w:r>
              <w:t>0.430</w:t>
            </w:r>
          </w:p>
        </w:tc>
        <w:tc>
          <w:tcPr>
            <w:tcW w:type="dxa" w:w="1728"/>
          </w:tcPr>
          <w:p>
            <w:r>
              <w:t>0.346</w:t>
            </w:r>
          </w:p>
        </w:tc>
        <w:tc>
          <w:tcPr>
            <w:tcW w:type="dxa" w:w="1728"/>
          </w:tcPr>
          <w:p>
            <w:r>
              <w:t>0.233</w:t>
            </w:r>
          </w:p>
        </w:tc>
        <w:tc>
          <w:tcPr>
            <w:tcW w:type="dxa" w:w="1728"/>
          </w:tcPr>
          <w:p>
            <w:r>
              <w:t>0.545</w:t>
            </w:r>
          </w:p>
        </w:tc>
      </w:tr>
      <w:tr>
        <w:tc>
          <w:tcPr>
            <w:tcW w:type="dxa" w:w="1728"/>
          </w:tcPr>
          <w:p>
            <w:r>
              <w:t>药物残差 (20%)</w:t>
            </w:r>
          </w:p>
        </w:tc>
        <w:tc>
          <w:tcPr>
            <w:tcW w:type="dxa" w:w="1728"/>
          </w:tcPr>
          <w:p>
            <w:r>
              <w:t>0.457</w:t>
            </w:r>
          </w:p>
        </w:tc>
        <w:tc>
          <w:tcPr>
            <w:tcW w:type="dxa" w:w="1728"/>
          </w:tcPr>
          <w:p>
            <w:r>
              <w:t>0.277</w:t>
            </w:r>
          </w:p>
        </w:tc>
        <w:tc>
          <w:tcPr>
            <w:tcW w:type="dxa" w:w="1728"/>
          </w:tcPr>
          <w:p>
            <w:r>
              <w:t>0.233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</w:tr>
      <w:tr>
        <w:tc>
          <w:tcPr>
            <w:tcW w:type="dxa" w:w="1728"/>
          </w:tcPr>
          <w:p>
            <w:r>
              <w:t>双盲/时间 (10%)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0.496</w:t>
            </w:r>
          </w:p>
        </w:tc>
        <w:tc>
          <w:tcPr>
            <w:tcW w:type="dxa" w:w="1728"/>
          </w:tcPr>
          <w:p>
            <w:r>
              <w:t>0.763</w:t>
            </w:r>
          </w:p>
        </w:tc>
      </w:tr>
      <w:tr>
        <w:tc>
          <w:tcPr>
            <w:tcW w:type="dxa" w:w="1728"/>
          </w:tcPr>
          <w:p>
            <w:r>
              <w:t>DEP 检出 (5%)</w:t>
            </w:r>
          </w:p>
        </w:tc>
        <w:tc>
          <w:tcPr>
            <w:tcW w:type="dxa" w:w="1728"/>
          </w:tcPr>
          <w:p>
            <w:r>
              <w:t>0.777</w:t>
            </w:r>
          </w:p>
        </w:tc>
        <w:tc>
          <w:tcPr>
            <w:tcW w:type="dxa" w:w="1728"/>
          </w:tcPr>
          <w:p>
            <w:r>
              <w:t>0.766</w:t>
            </w:r>
          </w:p>
        </w:tc>
        <w:tc>
          <w:tcPr>
            <w:tcW w:type="dxa" w:w="1728"/>
          </w:tcPr>
          <w:p>
            <w:r>
              <w:t>0.666</w:t>
            </w:r>
          </w:p>
        </w:tc>
        <w:tc>
          <w:tcPr>
            <w:tcW w:type="dxa" w:w="1728"/>
          </w:tcPr>
          <w:p>
            <w:r>
              <w:t>0.843</w:t>
            </w:r>
          </w:p>
        </w:tc>
      </w:tr>
    </w:tbl>
    <w:p/>
    <w:p>
      <w:r>
        <w:t>该六模块模拟在 v2.7 时期加权总分约 0.49。绝对保真度和 DEP 检出两个模块得分较高——大部分蛋白在扰动下变化幅度有限，模型可以稳健地预测其基线水平。上下文残差和药物残差是相对最低的两个模块，这反映了数据本身的特性：绝大部分蛋白在扰动下变化极小（|Δ|&gt;1 的蛋白仅占 2~3%），特异残差的信噪比天然受限。规则修订为统一开放榜后，我们进一步引入化学结构迁移融合，将测试加权总分提升至 0.6340（详见 4.4 节）。</w:t>
      </w:r>
    </w:p>
    <w:p>
      <w:pPr>
        <w:pStyle w:val="Heading1"/>
      </w:pPr>
      <w:r>
        <w:t>六、规则修订后的局限与突破思考</w:t>
      </w:r>
    </w:p>
    <w:p>
      <w:pPr>
        <w:pStyle w:val="Heading2"/>
      </w:pPr>
      <w:r>
        <w:t>6.1 信息瓶颈的实证</w:t>
      </w:r>
    </w:p>
    <w:p>
      <w:r>
        <w:t>官方于 8 月 11 日发布手册修订：封闭榜与开放榜合并为统一开放榜，外部资源（化合物结构、基因组、通路注释）全部允许使用，须披露来源版本。本方案据此引入了���合物化学结构（PubChem SMILES → RDKit Morgan 指纹），但实测发现：在 37 个训练化合物的稀疏化学空间下，化学结构→蛋白组响应之间只存在微弱的可迁移信号（同菌株条件对齐后迁移 PCC 平均 0.127），这与"化合物效应受菌株背景强调制"的生物学认知一致。</w:t>
      </w:r>
    </w:p>
    <w:p>
      <w:r>
        <w:t>我们在外部资源利用上做了系统探索，这里按"方法失败"与"数据无效"区分记录结论，避免把利用方式的失败误判为数据本身的失败：</w:t>
        <w:br/>
        <w:br/>
        <w:t>（1）Morgan 指纹：先以 2048 位 Tanimoto 相似度做单近邻/全加权迁移，在未见化合物上收益接近零，一度被归因为"化学空间稀疏、无结构近邻"。但改用 PCA-64 空间 + 同菌株条件对齐 + top-k 加权后，迁移信号真实出现（同菌株迁移 PCC 平均 0.127，Doxycycline 0.224 / Abietic acid 0.258），与模型预测融合将新化合物场景总分提升 0.007——此前"无效"实为方法（未条件对齐、稀疏空间、单近邻）所致，而非化学结构无信息。</w:t>
        <w:br/>
        <w:br/>
        <w:t>（2）ESM2 蛋白序列：输出层低秩通路在最终模型中 gate≈0.28（保留约四分之一贡献，并非"关闭"），未带来显著增益。但 ESM2 经 320→64 PCA 压缩，且仅在输出层以低秩形式接入，这一结果只说明"该接入方式"增益有限，不能外推为序列信息无效。</w:t>
        <w:br/>
        <w:br/>
        <w:t>（3）菌株 SNP 距离与拷贝数：在 6 菌株的小样本下，遗传加权迁移与拷贝数加权迁移均未见收益。但验证依赖手工近似距离矩阵（DHY210 以 S288C 代理、距离设 2.3）、且用"菌株平均蛋白组"混淆了背景基线与其扰动调制效应，证据强度有限，结论应视为"未观察到有效信号"而非"确证无效"。</w:t>
        <w:br/>
        <w:br/>
        <w:t>（4）GO 通路注意力：让同一通路的蛋白共享响应偏置（功能层面先验），将 unseen 菌株场景蛋白 R² 提升 0.013，是验证过的最有效的蛋白侧外部先验。但它并非"唯一"有效——Morgan 迁移融合同样有效（+0.007）。</w:t>
        <w:br/>
        <w:br/>
        <w:t>综合来看，在小样本（43 化合物、6 菌株）下，外部知识能否带来增益取决于两点：表征是否携带"功能层面的实体差异"，以及利用方式是否做了条件对齐与加权聚合。结构/序列/遗传表征在简单接入时未见增益，但其中一部分的失败已被证明是方法问题而非数据问题。</w:t>
      </w:r>
    </w:p>
    <w:p>
      <w:r>
        <w:t>这一约束在评测指标上有清晰的映射：M3（上下文残差，20%）要求模型捕捉"同一药物在不同化合物中的特异效应"，M4（药物残差，20%）要求模型捕捉"同一化合物在不同菌株中的背景调制"。这两个模块考察的恰恰是超出平均的特异成分，在外部特征不足以表达实体差异时，模型对新实体的特异效应只能近似"平均"，因此这两个模块在数值上相对偏低。但我们不将其视为不可突破的"上界"：化学迁移融合实验（4.4 节）表明，即使只利用部分化学结构信息，也能将新化合物场景的特异响应预测提升（test_chem_only 总分 0.505→0.512），说明残差指标仍有可挖掘空间。真正的瓶颈不是"化学结构无信息"，而是 43 个训练化合物样本对化学空间的覆盖过稀疏，使迁移信号（同菌株迁移 PCC 平均 0.127）整体偏弱、且随菌株背景变化而衰减（双重未知场景下迁移信号消失）。</w:t>
      </w:r>
    </w:p>
    <w:p>
      <w:pPr>
        <w:pStyle w:val="Heading2"/>
      </w:pPr>
      <w:r>
        <w:t>6.2 方法层面的关键收获</w:t>
      </w:r>
    </w:p>
    <w:p>
      <w:r>
        <w:t>在整个开发过程中，以下几项工作被证明有实际价值：</w:t>
        <w:br/>
        <w:br/>
        <w:t>（1）训练数据内部结构的利用。SVD 先验初始化、ctx_prior 分组均值、已见菌株 embedding 均值兜底——这些特征来自训练集统计量，提供了实体表示和上下文感知能力。消融实验表明 ctx_prior 是 val_strain 提升的核心驱动力，其效果不依赖任何外部数据库。</w:t>
        <w:br/>
        <w:br/>
        <w:t>（2）通过架构设计实现有效的归纳偏置。残差分解 B/S/C/T 将不可知的"扰动效应"拆分为可分别建模的子问题，输入级分离 + 可见性门控确保模型在信息不完整时做出保守预测，交互项提供了非加性效应的建模空间。</w:t>
        <w:br/>
        <w:br/>
        <w:t>（3）自适应多任务学习。组件级 LOO 监督 + Kendall 不确定性加权，使模型在 MSE、FC 相关、上下文残差、药物残差四个目标之间自主寻找最优平衡，避免人工调权的盲目性。</w:t>
        <w:br/>
        <w:br/>
        <w:t>（4）系统化的消融与失败分析。我们保留了所有失败版本（v2.2 解耦正则无效、v2.3 数据索引 bug、v2.8 Dropout 反效、v3.8 大模型过拟合等）的完整记录，不仅标注了"什么不行"，还区分了"方法失败"与"数据无效"（见 6.1 节），避免把利用方式的问题误判为信息瓶颈。</w:t>
      </w:r>
    </w:p>
    <w:p>
      <w:pPr>
        <w:pStyle w:val="Heading2"/>
      </w:pPr>
      <w:r>
        <w:t>6.3 进一步的外部知识利用空间</w:t>
      </w:r>
    </w:p>
    <w:p>
      <w:r>
        <w:t>规则修订后，外部资源（化合物结构、基因组、通路注释）已全部允许。本方案已实际引入并验证了两类外部知识：① 化合物化学结构（PubChem SMILES → RDKit Morgan 指纹 → PCA 投影），经"同菌株条件对齐 + top-k 加权迁移融合"将新化合物场景总分提升 0.007；② GO 通路注意力（UniProt 注释，92 个高频通路覆盖 59% 蛋白），通过通路共享偏置将 unseen 菌株场景蛋白 R² 提升 0.013。尚未利用但已规划的外部资源包括：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已实现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待引入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预期价值</w:t>
            </w:r>
          </w:p>
        </w:tc>
      </w:tr>
      <w:tr>
        <w:tc>
          <w:tcPr>
            <w:tcW w:type="dxa" w:w="2880"/>
          </w:tcPr>
          <w:p>
            <w:r>
              <w:t>Morgan 指纹迁移融合（已落地，+0.007）</w:t>
            </w:r>
          </w:p>
        </w:tc>
        <w:tc>
          <w:tcPr>
            <w:tcW w:type="dxa" w:w="2880"/>
          </w:tcPr>
          <w:p>
            <w:r>
              <w:t>基因组 k-mer / DNABERT-2 菌株表征</w:t>
            </w:r>
          </w:p>
        </w:tc>
        <w:tc>
          <w:tcPr>
            <w:tcW w:type="dxa" w:w="2880"/>
          </w:tcPr>
          <w:p>
            <w:r>
              <w:t>菌株侧功能差异，补 T 分支信息源</w:t>
            </w:r>
          </w:p>
        </w:tc>
      </w:tr>
      <w:tr>
        <w:tc>
          <w:tcPr>
            <w:tcW w:type="dxa" w:w="2880"/>
          </w:tcPr>
          <w:p>
            <w:r>
              <w:t>GO 通路注意力（已落地，val_strain +0.013）</w:t>
            </w:r>
          </w:p>
        </w:tc>
        <w:tc>
          <w:tcPr>
            <w:tcW w:type="dxa" w:w="2880"/>
          </w:tcPr>
          <w:p>
            <w:r>
              <w:t>STRING PPI 图约束 / KEGG 通路</w:t>
            </w:r>
          </w:p>
        </w:tc>
        <w:tc>
          <w:tcPr>
            <w:tcW w:type="dxa" w:w="2880"/>
          </w:tcPr>
          <w:p>
            <w:r>
              <w:t>蛋白协同响应约束，提升谱形状</w:t>
            </w:r>
          </w:p>
        </w:tc>
      </w:tr>
      <w:tr>
        <w:tc>
          <w:tcPr>
            <w:tcW w:type="dxa" w:w="2880"/>
          </w:tcPr>
          <w:p>
            <w:r>
              <w:t>ESM2 蛋白序列先验（已集成，gate≈0.28 贡献有限）</w:t>
            </w:r>
          </w:p>
        </w:tc>
        <w:tc>
          <w:tcPr>
            <w:tcW w:type="dxa" w:w="2880"/>
          </w:tcPr>
          <w:p>
            <w:r>
              <w:t>ChemBERTa / MolGNN 化合物表征</w:t>
            </w:r>
          </w:p>
        </w:tc>
        <w:tc>
          <w:tcPr>
            <w:tcW w:type="dxa" w:w="2880"/>
          </w:tcPr>
          <w:p>
            <w:r>
              <w:t>化合物语义 embedding 替代可学习嵌入</w:t>
            </w:r>
          </w:p>
        </w:tc>
      </w:tr>
      <w:tr>
        <w:tc>
          <w:tcPr>
            <w:tcW w:type="dxa" w:w="2880"/>
          </w:tcPr>
          <w:p>
            <w:r>
              <w:t>训练集统计量（ctx_prior/SVD 先验）</w:t>
            </w:r>
          </w:p>
        </w:tc>
        <w:tc>
          <w:tcPr>
            <w:tcW w:type="dxa" w:w="2880"/>
          </w:tcPr>
          <w:p>
            <w:r>
              <w:t>菌株功能变异注释（非原始 SNP/拷贝数）</w:t>
            </w:r>
          </w:p>
        </w:tc>
        <w:tc>
          <w:tcPr>
            <w:tcW w:type="dxa" w:w="2880"/>
          </w:tcPr>
          <w:p>
            <w:r>
              <w:t>菌株背景调制效应的显式建模（原始 SNP/拷贝数迁移已验无效）</w:t>
            </w:r>
          </w:p>
        </w:tc>
      </w:tr>
    </w:tbl>
    <w:p/>
    <w:p>
      <w:r>
        <w:t>架构层面的残差分解框架、输入级分离、门控机制、校准分支和训练策略均可 100% 复用，无需重新设计。我们已积累的消融经验（哪些组件在什么条件下有效/失效）为继续引入外部知识提供了直接指导。下一步计划首先引入基因组 k-mer 特征和 STRING PPI 约束，验证其对 val_strain 和 val_both 的提升幅度，再进一步探索蛋白互作网络约束和通路分组，冲击更高残差指标。</w:t>
      </w:r>
    </w:p>
    <w:p>
      <w:pPr>
        <w:pStyle w:val="Heading1"/>
      </w:pPr>
      <w:r>
        <w:t>五、复现与开放计划</w:t>
      </w:r>
    </w:p>
    <w:p>
      <w:pPr>
        <w:pStyle w:val="Heading2"/>
      </w:pPr>
      <w:r>
        <w:t>5.1 复现方式</w:t>
      </w:r>
    </w:p>
    <w:p>
      <w:r>
        <w:t>所有代码、模型权重、脚本均随压缩包提交，附完整 README。安装 Python 3.10+ 和 PyTorch 2.12.0+，按 README 中的四步命令即可从头复现全流程。全部超参硬编码，无需额外调参。</w:t>
      </w:r>
    </w:p>
    <w:p>
      <w:pPr>
        <w:pStyle w:val="Heading2"/>
      </w:pPr>
      <w:r>
        <w:t>5.2 开源计划</w:t>
      </w:r>
    </w:p>
    <w:p>
      <w:r>
        <w:t>代码和文档以 MIT 协议开源，GitHub 仓库已公开（leiyuanze/GOAI-2026-VirtualCell）。模型权重仅限本次竞赛使用；外部特征分支（Morgan 指纹、GO 通路、ESM2）均附来源与生成脚本，可复现。</w:t>
      </w:r>
    </w:p>
    <w:p>
      <w:pPr>
        <w:pStyle w:val="Heading2"/>
      </w:pPr>
      <w:r>
        <w:t>5.3 依赖与合规</w:t>
      </w:r>
    </w:p>
    <w:p>
      <w:r>
        <w:t>· 基础数据仅使用 GOAI 2026 官方发布文件（train_val/test metadata + proteome）</w:t>
        <w:br/>
        <w:t>· 规则修订后（8/11 统一开放榜）引入的外部资源，均已披露来源与版本：</w:t>
        <w:br/>
        <w:t xml:space="preserve">  - 化合物化学结构：PubChem REST API（SMILES，2026-08-15 查询）+ RDKit 2023.9 生成 Morgan 指纹（radius=2, 2048 bit）</w:t>
        <w:br/>
        <w:t xml:space="preserve">  - 蛋白序列先验：Meta ESM2（esm2_t33_650M_UR50D，经 PCA 降至 64 维）</w:t>
        <w:br/>
        <w:t xml:space="preserve">  - GO 通路注释：UniProt（organism_id=559292，reviewed，2026-08-13 下载）</w:t>
        <w:br/>
        <w:t>· 未读取测试集蛋白质组真值参与训练——测试自评仅用于最终评估（官方允许"可自评不可训练"）</w:t>
        <w:br/>
        <w:t>· 所有统计量（缺失率、标准化参数、分组均值、迁移池）仅从训练集划分计算</w:t>
        <w:br/>
        <w:t>· 随机种子固定（42/43/44），训练全流程可重现</w:t>
        <w:br/>
        <w:t>· 提交文件：prediction_migfusion.csv, 4454×5243, log2 尺度, 无缺失/无穷值</w:t>
        <w:br/>
        <w:t>· 依赖全为 BSD/MIT/PSF 协议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