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B90298" w:rsidP="009459F3">
      <w:pPr>
        <w:ind w:right="360"/>
        <w:jc w:val="center"/>
        <w:rPr>
          <w:rFonts w:ascii="Times New Roman" w:hAnsi="Times New Roman" w:cs="Times New Roman"/>
          <w:b/>
          <w:color w:val="000000" w:themeColor="text1"/>
          <w:sz w:val="36"/>
          <w:szCs w:val="36"/>
        </w:rPr>
      </w:pPr>
      <w:r>
        <w:rPr>
          <w:b/>
          <w:color w:val="000000" w:themeColor="text1"/>
          <w:sz w:val="36"/>
          <w:szCs w:val="36"/>
        </w:rPr>
        <w:t>LMbench-latency</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716780" w:rsidP="00294D52">
      <w:pPr>
        <w:pStyle w:val="Heading1"/>
      </w:pPr>
      <w:bookmarkStart w:id="0" w:name="_Toc536101728"/>
      <w:r w:rsidRPr="00CA6EF0">
        <w:lastRenderedPageBreak/>
        <w:t>Benchmark Data</w:t>
      </w:r>
      <w:bookmarkEnd w:id="0"/>
    </w:p>
    <w:p w:rsidR="00FD5609" w:rsidRDefault="00532688" w:rsidP="00532688">
      <w:pPr>
        <w:pStyle w:val="ListParagraph1-B-HXT"/>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739510"/>
            <wp:docPr id="30" name="Picture 30"/>
            <wp:cNvGraphicFramePr>
              <a:graphicFrameLocks noChangeAspect="1"/>
            </wp:cNvGraphicFramePr>
            <a:graphic>
              <a:graphicData uri="http://schemas.openxmlformats.org/drawingml/2006/picture">
                <pic:pic>
                  <pic:nvPicPr>
                    <pic:cNvPr id="0" name="summary.jpeg"/>
                    <pic:cNvPicPr/>
                  </pic:nvPicPr>
                  <pic:blipFill>
                    <a:blip r:embed="rId13"/>
                    <a:stretch>
                      <a:fillRect/>
                    </a:stretch>
                  </pic:blipFill>
                  <pic:spPr>
                    <a:xfrm>
                      <a:off x="0" y="0"/>
                      <a:ext cx="5731200" cy="739510"/>
                    </a:xfrm>
                    <a:prstGeom prst="rect"/>
                  </pic:spPr>
                </pic:pic>
              </a:graphicData>
            </a:graphic>
          </wp:inline>
        </w:drawing>
      </w:r>
      <w:r>
        <w:t xml:space="preserve"/>
      </w:r>
    </w:p>
    <w:p w:rsidR="00716780" w:rsidRPr="00CA6EF0" w:rsidRDefault="00716780" w:rsidP="00294D52">
      <w:pPr>
        <w:pStyle w:val="Heading1"/>
      </w:pPr>
      <w:bookmarkStart w:id="2" w:name="_Toc536101729"/>
      <w:r w:rsidRPr="00CA6EF0">
        <w:rPr>
          <w:rFonts w:hint="eastAsia"/>
        </w:rPr>
        <w:t>Benchmark Chart</w:t>
      </w:r>
      <w:bookmarkEnd w:id="2"/>
    </w:p>
    <w:p w:rsidR="00716780" w:rsidRDefault="00716780" w:rsidP="00716780">
      <w:pPr>
        <w:pStyle w:val="ListParagraph1-B-HXT"/>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1847284"/>
            <wp:docPr id="30" name="Picture 30"/>
            <wp:cNvGraphicFramePr>
              <a:graphicFrameLocks noChangeAspect="1"/>
            </wp:cNvGraphicFramePr>
            <a:graphic>
              <a:graphicData uri="http://schemas.openxmlformats.org/drawingml/2006/picture">
                <pic:pic>
                  <pic:nvPicPr>
                    <pic:cNvPr id="0" name="chart.jpeg"/>
                    <pic:cNvPicPr/>
                  </pic:nvPicPr>
                  <pic:blipFill>
                    <a:blip r:embed="rId14"/>
                    <a:stretch>
                      <a:fillRect/>
                    </a:stretch>
                  </pic:blipFill>
                  <pic:spPr>
                    <a:xfrm>
                      <a:off x="0" y="0"/>
                      <a:ext cx="5731200" cy="1847284"/>
                    </a:xfrm>
                    <a:prstGeom prst="rect"/>
                  </pic:spPr>
                </pic:pic>
              </a:graphicData>
            </a:graphic>
          </wp:inline>
        </w:drawing>
      </w:r>
      <w:r>
        <w:t xml:space="preserve"/>
      </w:r>
    </w:p>
    <w:p w:rsidR="00123D8A" w:rsidRPr="00CA6EF0" w:rsidRDefault="00123D8A" w:rsidP="00294D52">
      <w:pPr>
        <w:pStyle w:val="Heading1"/>
      </w:pPr>
      <w:bookmarkStart w:id="3" w:name="_Toc536101730"/>
      <w:r w:rsidRPr="00CA6EF0">
        <w:rPr>
          <w:rFonts w:hint="eastAsia"/>
        </w:rPr>
        <w:t>SOC</w:t>
      </w:r>
      <w:r w:rsidR="004D0F02" w:rsidRPr="00CA6EF0">
        <w:t xml:space="preserve"> </w:t>
      </w:r>
      <w:r w:rsidR="004D0F02" w:rsidRPr="00CA6EF0">
        <w:rPr>
          <w:rFonts w:hint="eastAsia"/>
        </w:rPr>
        <w:t>Configuration</w:t>
      </w:r>
      <w:bookmarkEnd w:id="3"/>
    </w:p>
    <w:p w:rsidR="003B5F3F" w:rsidRDefault="003B5F3F" w:rsidP="003B5F3F">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1677763"/>
            <wp:docPr id="30" name="Picture 30"/>
            <wp:cNvGraphicFramePr>
              <a:graphicFrameLocks noChangeAspect="1"/>
            </wp:cNvGraphicFramePr>
            <a:graphic>
              <a:graphicData uri="http://schemas.openxmlformats.org/drawingml/2006/picture">
                <pic:pic>
                  <pic:nvPicPr>
                    <pic:cNvPr id="0" name="soc.jpeg"/>
                    <pic:cNvPicPr/>
                  </pic:nvPicPr>
                  <pic:blipFill>
                    <a:blip r:embed="rId15"/>
                    <a:stretch>
                      <a:fillRect/>
                    </a:stretch>
                  </pic:blipFill>
                  <pic:spPr>
                    <a:xfrm>
                      <a:off x="0" y="0"/>
                      <a:ext cx="5731200" cy="1677763"/>
                    </a:xfrm>
                    <a:prstGeom prst="rect"/>
                  </pic:spPr>
                </pic:pic>
              </a:graphicData>
            </a:graphic>
          </wp:inline>
        </w:drawing>
      </w:r>
      <w:r>
        <w:t xml:space="preserve"/>
      </w:r>
    </w:p>
    <w:p w:rsidR="00860DE5" w:rsidRPr="00CA6EF0" w:rsidRDefault="00CE5330" w:rsidP="00294D52">
      <w:pPr>
        <w:pStyle w:val="Heading1"/>
      </w:pPr>
      <w:bookmarkStart w:id="4" w:name="_Toc536101731"/>
      <w:r w:rsidRPr="00CA6EF0">
        <w:t>Hardw</w:t>
      </w:r>
      <w:r w:rsidR="00123D8A" w:rsidRPr="00CA6EF0">
        <w:t>are</w:t>
      </w:r>
      <w:r w:rsidR="004D0F02" w:rsidRPr="00CA6EF0">
        <w:t xml:space="preserve"> </w:t>
      </w:r>
      <w:r w:rsidR="004D0F02" w:rsidRPr="00CA6EF0">
        <w:rPr>
          <w:rFonts w:hint="eastAsia"/>
        </w:rPr>
        <w:t>Configuration</w:t>
      </w:r>
      <w:bookmarkEnd w:id="4"/>
    </w:p>
    <w:p w:rsidR="003B5F3F" w:rsidRDefault="003B5F3F" w:rsidP="003B5F3F">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3272330"/>
            <wp:docPr id="30" name="Picture 30"/>
            <wp:cNvGraphicFramePr>
              <a:graphicFrameLocks noChangeAspect="1"/>
            </wp:cNvGraphicFramePr>
            <a:graphic>
              <a:graphicData uri="http://schemas.openxmlformats.org/drawingml/2006/picture">
                <pic:pic>
                  <pic:nvPicPr>
                    <pic:cNvPr id="0" name="hardware.jpeg"/>
                    <pic:cNvPicPr/>
                  </pic:nvPicPr>
                  <pic:blipFill>
                    <a:blip r:embed="rId16"/>
                    <a:stretch>
                      <a:fillRect/>
                    </a:stretch>
                  </pic:blipFill>
                  <pic:spPr>
                    <a:xfrm>
                      <a:off x="0" y="0"/>
                      <a:ext cx="5731200" cy="3272330"/>
                    </a:xfrm>
                    <a:prstGeom prst="rect"/>
                  </pic:spPr>
                </pic:pic>
              </a:graphicData>
            </a:graphic>
          </wp:inline>
        </w:drawing>
      </w:r>
      <w:r>
        <w:t xml:space="preserve"/>
      </w:r>
    </w:p>
    <w:p w:rsidR="00123D8A" w:rsidRPr="00CA6EF0" w:rsidRDefault="00CE5330" w:rsidP="00294D52">
      <w:pPr>
        <w:pStyle w:val="Heading1"/>
      </w:pPr>
      <w:bookmarkStart w:id="5" w:name="_Toc536101732"/>
      <w:r w:rsidRPr="00CA6EF0">
        <w:rPr>
          <w:rFonts w:hint="eastAsia"/>
        </w:rPr>
        <w:t>Softw</w:t>
      </w:r>
      <w:r w:rsidR="00123D8A" w:rsidRPr="00CA6EF0">
        <w:rPr>
          <w:rFonts w:hint="eastAsia"/>
        </w:rPr>
        <w:t>are</w:t>
      </w:r>
      <w:r w:rsidR="004D0F02" w:rsidRPr="00CA6EF0">
        <w:t xml:space="preserve"> </w:t>
      </w:r>
      <w:r w:rsidR="004D0F02" w:rsidRPr="00CA6EF0">
        <w:rPr>
          <w:rFonts w:hint="eastAsia"/>
        </w:rPr>
        <w:t>Configuration</w:t>
      </w:r>
      <w:bookmarkEnd w:id="5"/>
    </w:p>
    <w:p w:rsidR="00D552D4" w:rsidRDefault="00D552D4" w:rsidP="00D552D4">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1677763"/>
            <wp:docPr id="30" name="Picture 30"/>
            <wp:cNvGraphicFramePr>
              <a:graphicFrameLocks noChangeAspect="1"/>
            </wp:cNvGraphicFramePr>
            <a:graphic>
              <a:graphicData uri="http://schemas.openxmlformats.org/drawingml/2006/picture">
                <pic:pic>
                  <pic:nvPicPr>
                    <pic:cNvPr id="0" name="software.jpeg"/>
                    <pic:cNvPicPr/>
                  </pic:nvPicPr>
                  <pic:blipFill>
                    <a:blip r:embed="rId17"/>
                    <a:stretch>
                      <a:fillRect/>
                    </a:stretch>
                  </pic:blipFill>
                  <pic:spPr>
                    <a:xfrm>
                      <a:off x="0" y="0"/>
                      <a:ext cx="5731200" cy="1677763"/>
                    </a:xfrm>
                    <a:prstGeom prst="rect"/>
                  </pic:spPr>
                </pic:pic>
              </a:graphicData>
            </a:graphic>
          </wp:inline>
        </w:drawing>
      </w:r>
      <w:r>
        <w:t xml:space="preserve"/>
      </w:r>
    </w:p>
    <w:p w:rsidR="00123D8A" w:rsidRPr="00CA6EF0" w:rsidRDefault="00123D8A" w:rsidP="00294D52">
      <w:pPr>
        <w:pStyle w:val="Heading1"/>
      </w:pPr>
      <w:bookmarkStart w:id="6" w:name="_Toc536101733"/>
      <w:r w:rsidRPr="00CA6EF0">
        <w:rPr>
          <w:rFonts w:hint="eastAsia"/>
        </w:rPr>
        <w:lastRenderedPageBreak/>
        <w:t>Tune</w:t>
      </w:r>
      <w:bookmarkEnd w:id="6"/>
    </w:p>
    <w:p w:rsidR="009B6352" w:rsidRPr="00CA6EF0" w:rsidRDefault="009B6352" w:rsidP="00294D52">
      <w:pPr>
        <w:pStyle w:val="Heading1"/>
      </w:pPr>
      <w:bookmarkStart w:id="7" w:name="_Toc536101734"/>
      <w:r w:rsidRPr="00CA6EF0">
        <w:rPr>
          <w:rFonts w:hint="eastAsia"/>
        </w:rPr>
        <w:t>Cus</w:t>
      </w:r>
      <w:r w:rsidRPr="00CA6EF0">
        <w:t>tomization</w:t>
      </w:r>
      <w:bookmarkEnd w:id="7"/>
    </w:p>
    <w:p w:rsidR="009B6352" w:rsidRPr="00D0666C" w:rsidRDefault="00D0666C" w:rsidP="009B02F6">
      <w:pPr>
        <w:pStyle w:val="BodyText"/>
        <w:ind w:left="360"/>
      </w:pPr>
      <w:r w:rsidRPr="00D0666C">
        <w:t>N</w:t>
      </w:r>
      <w:r w:rsidR="009B02F6">
        <w:t>/</w:t>
      </w:r>
      <w:r w:rsidRPr="00D0666C">
        <w:t>A</w:t>
      </w:r>
    </w:p>
    <w:sectPr w:rsidR="009B6352" w:rsidRPr="00D0666C"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1A" w:rsidRDefault="00E7431A" w:rsidP="009C5811">
      <w:r>
        <w:separator/>
      </w:r>
    </w:p>
  </w:endnote>
  <w:endnote w:type="continuationSeparator" w:id="0">
    <w:p w:rsidR="00E7431A" w:rsidRDefault="00E7431A"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E7431A">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D256B3">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1A" w:rsidRDefault="00E7431A" w:rsidP="009C5811">
      <w:r>
        <w:separator/>
      </w:r>
    </w:p>
  </w:footnote>
  <w:footnote w:type="continuationSeparator" w:id="0">
    <w:p w:rsidR="00E7431A" w:rsidRDefault="00E7431A"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932"/>
    <w:multiLevelType w:val="hybridMultilevel"/>
    <w:tmpl w:val="53EC0918"/>
    <w:lvl w:ilvl="0" w:tplc="1DE663FE">
      <w:start w:val="1"/>
      <w:numFmt w:val="decimal"/>
      <w:pStyle w:val="Heading1"/>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73041"/>
    <w:rsid w:val="00274C27"/>
    <w:rsid w:val="0027788E"/>
    <w:rsid w:val="0028097C"/>
    <w:rsid w:val="002824A0"/>
    <w:rsid w:val="0028343C"/>
    <w:rsid w:val="00286385"/>
    <w:rsid w:val="00292501"/>
    <w:rsid w:val="00294C76"/>
    <w:rsid w:val="00294D52"/>
    <w:rsid w:val="0029651F"/>
    <w:rsid w:val="0029768D"/>
    <w:rsid w:val="00297ECD"/>
    <w:rsid w:val="002A2277"/>
    <w:rsid w:val="002A7106"/>
    <w:rsid w:val="002B1FF0"/>
    <w:rsid w:val="002B4645"/>
    <w:rsid w:val="002B5FB2"/>
    <w:rsid w:val="002B6C92"/>
    <w:rsid w:val="002C04A7"/>
    <w:rsid w:val="002C12A2"/>
    <w:rsid w:val="002C3686"/>
    <w:rsid w:val="002D006E"/>
    <w:rsid w:val="002D02CB"/>
    <w:rsid w:val="002D3836"/>
    <w:rsid w:val="002D3851"/>
    <w:rsid w:val="002E2B28"/>
    <w:rsid w:val="002E4C60"/>
    <w:rsid w:val="00303AE6"/>
    <w:rsid w:val="0031228D"/>
    <w:rsid w:val="003164F9"/>
    <w:rsid w:val="0032038A"/>
    <w:rsid w:val="00322DD0"/>
    <w:rsid w:val="003268F2"/>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B43"/>
    <w:rsid w:val="00484FA7"/>
    <w:rsid w:val="00493921"/>
    <w:rsid w:val="00494A58"/>
    <w:rsid w:val="00497511"/>
    <w:rsid w:val="004A0279"/>
    <w:rsid w:val="004A4264"/>
    <w:rsid w:val="004A4ECB"/>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BDD"/>
    <w:rsid w:val="00532688"/>
    <w:rsid w:val="005372E0"/>
    <w:rsid w:val="0053790E"/>
    <w:rsid w:val="00541E2A"/>
    <w:rsid w:val="00542827"/>
    <w:rsid w:val="00547055"/>
    <w:rsid w:val="00547D17"/>
    <w:rsid w:val="00551877"/>
    <w:rsid w:val="0056003C"/>
    <w:rsid w:val="005747FA"/>
    <w:rsid w:val="00576302"/>
    <w:rsid w:val="00580D20"/>
    <w:rsid w:val="00583A98"/>
    <w:rsid w:val="00587ED5"/>
    <w:rsid w:val="00592D70"/>
    <w:rsid w:val="005935D2"/>
    <w:rsid w:val="00594575"/>
    <w:rsid w:val="005B01B8"/>
    <w:rsid w:val="005B43B5"/>
    <w:rsid w:val="005B735D"/>
    <w:rsid w:val="005B7B04"/>
    <w:rsid w:val="005C6F04"/>
    <w:rsid w:val="005D4EAA"/>
    <w:rsid w:val="005E50E4"/>
    <w:rsid w:val="005E7C3B"/>
    <w:rsid w:val="00603EF3"/>
    <w:rsid w:val="006060B8"/>
    <w:rsid w:val="00612857"/>
    <w:rsid w:val="006147BA"/>
    <w:rsid w:val="00622989"/>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6232"/>
    <w:rsid w:val="006D3A02"/>
    <w:rsid w:val="006F658E"/>
    <w:rsid w:val="00701637"/>
    <w:rsid w:val="00701AC3"/>
    <w:rsid w:val="00703056"/>
    <w:rsid w:val="0070690B"/>
    <w:rsid w:val="0071422F"/>
    <w:rsid w:val="00716780"/>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3189"/>
    <w:rsid w:val="007A3EF0"/>
    <w:rsid w:val="007B2215"/>
    <w:rsid w:val="007C313D"/>
    <w:rsid w:val="007C4BC9"/>
    <w:rsid w:val="007D1FE3"/>
    <w:rsid w:val="007D46CF"/>
    <w:rsid w:val="007E4988"/>
    <w:rsid w:val="007F42B9"/>
    <w:rsid w:val="00800AA3"/>
    <w:rsid w:val="0080171F"/>
    <w:rsid w:val="0080674B"/>
    <w:rsid w:val="00816AF9"/>
    <w:rsid w:val="00826B3B"/>
    <w:rsid w:val="00827EFA"/>
    <w:rsid w:val="0083098B"/>
    <w:rsid w:val="00830F9C"/>
    <w:rsid w:val="00832E7C"/>
    <w:rsid w:val="008339FF"/>
    <w:rsid w:val="00860AF7"/>
    <w:rsid w:val="00860DE5"/>
    <w:rsid w:val="00861AA5"/>
    <w:rsid w:val="00891D7C"/>
    <w:rsid w:val="00896B94"/>
    <w:rsid w:val="00897213"/>
    <w:rsid w:val="0089796B"/>
    <w:rsid w:val="008A0AFF"/>
    <w:rsid w:val="008A2AD3"/>
    <w:rsid w:val="008A3DF2"/>
    <w:rsid w:val="008B718C"/>
    <w:rsid w:val="008C18EB"/>
    <w:rsid w:val="008C67CB"/>
    <w:rsid w:val="008D484C"/>
    <w:rsid w:val="008D6D0F"/>
    <w:rsid w:val="008D77C1"/>
    <w:rsid w:val="008E0439"/>
    <w:rsid w:val="008F3C18"/>
    <w:rsid w:val="008F42DD"/>
    <w:rsid w:val="008F72FD"/>
    <w:rsid w:val="008F79F5"/>
    <w:rsid w:val="0091110C"/>
    <w:rsid w:val="00911AEE"/>
    <w:rsid w:val="00911B0D"/>
    <w:rsid w:val="009139AB"/>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6352"/>
    <w:rsid w:val="009B7843"/>
    <w:rsid w:val="009C08DC"/>
    <w:rsid w:val="009C2588"/>
    <w:rsid w:val="009C5811"/>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F4F97"/>
    <w:rsid w:val="00AF6C91"/>
    <w:rsid w:val="00B003E1"/>
    <w:rsid w:val="00B13A5C"/>
    <w:rsid w:val="00B13CF6"/>
    <w:rsid w:val="00B143F4"/>
    <w:rsid w:val="00B1528F"/>
    <w:rsid w:val="00B1782A"/>
    <w:rsid w:val="00B2404C"/>
    <w:rsid w:val="00B26AD1"/>
    <w:rsid w:val="00B3769F"/>
    <w:rsid w:val="00B408A5"/>
    <w:rsid w:val="00B424C1"/>
    <w:rsid w:val="00B455BA"/>
    <w:rsid w:val="00B50042"/>
    <w:rsid w:val="00B5311B"/>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F5C0C"/>
    <w:rsid w:val="00C0606A"/>
    <w:rsid w:val="00C07B4F"/>
    <w:rsid w:val="00C125E9"/>
    <w:rsid w:val="00C16C03"/>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256B3"/>
    <w:rsid w:val="00D339F6"/>
    <w:rsid w:val="00D341B4"/>
    <w:rsid w:val="00D35438"/>
    <w:rsid w:val="00D415BE"/>
    <w:rsid w:val="00D43680"/>
    <w:rsid w:val="00D52C04"/>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7431A"/>
    <w:rsid w:val="00E81B9E"/>
    <w:rsid w:val="00E839D5"/>
    <w:rsid w:val="00E868C0"/>
    <w:rsid w:val="00E919B2"/>
    <w:rsid w:val="00E961EE"/>
    <w:rsid w:val="00EA0717"/>
    <w:rsid w:val="00EA121C"/>
    <w:rsid w:val="00EA5059"/>
    <w:rsid w:val="00EB2749"/>
    <w:rsid w:val="00EB4442"/>
    <w:rsid w:val="00EB4517"/>
    <w:rsid w:val="00EB6812"/>
    <w:rsid w:val="00EC29DE"/>
    <w:rsid w:val="00ED1308"/>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519D3"/>
    <w:rsid w:val="00F51D2F"/>
    <w:rsid w:val="00F52E17"/>
    <w:rsid w:val="00F54AAC"/>
    <w:rsid w:val="00F555C9"/>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CB84"/>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527BDD"/>
    <w:pPr>
      <w:widowControl/>
      <w:numPr>
        <w:numId w:val="3"/>
      </w:numPr>
      <w:spacing w:beforeLines="200" w:before="624" w:afterLines="100" w:after="312" w:line="360" w:lineRule="auto"/>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DD"/>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image" Target="media/image6.jpeg"/><Relationship Id="rId10" Type="http://schemas.openxmlformats.org/officeDocument/2006/relationships/footer" Target="footer1.xml"/><Relationship Id="rId12" Type="http://schemas.openxmlformats.org/officeDocument/2006/relationships/theme" Target="theme/theme1.xml"/><Relationship Id="rId14" Type="http://schemas.openxmlformats.org/officeDocument/2006/relationships/image" Target="media/image4.jpeg"/><Relationship Id="rId5" Type="http://schemas.openxmlformats.org/officeDocument/2006/relationships/webSettings" Target="webSettings.xml"/><Relationship Id="rId11" Type="http://schemas.openxmlformats.org/officeDocument/2006/relationships/fontTable" Target="fontTable.xml"/><Relationship Id="rId4" Type="http://schemas.openxmlformats.org/officeDocument/2006/relationships/settings" Target="settings.xml"/><Relationship Id="rId17" Type="http://schemas.openxmlformats.org/officeDocument/2006/relationships/image" Target="media/image7.jpeg"/><Relationship Id="rId7" Type="http://schemas.openxmlformats.org/officeDocument/2006/relationships/endnotes" Target="endnotes.xml"/><Relationship Id="rId13" Type="http://schemas.openxmlformats.org/officeDocument/2006/relationships/image" Target="media/image3.jpeg"/><Relationship Id="rId15" Type="http://schemas.openxmlformats.org/officeDocument/2006/relationships/image" Target="media/image5.jpeg"/><Relationship Id="rId3" Type="http://schemas.openxmlformats.org/officeDocument/2006/relationships/styles" Target="styles.xml"/><Relationship Id="rId9" Type="http://schemas.openxmlformats.org/officeDocument/2006/relationships/header" Target="header1.xml"/><Relationship Id="rId8" Type="http://schemas.openxmlformats.org/officeDocument/2006/relationships/image" Target="media/image1.png"/><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3D5E-64F4-4670-A07B-2734BE02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9154</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Lei, Yun</cp:lastModifiedBy>
  <cp:revision>912</cp:revision>
  <cp:lastPrinted>2019-01-18T07:30:00Z</cp:lastPrinted>
  <dcterms:created xsi:type="dcterms:W3CDTF">2018-09-07T08:00:00Z</dcterms:created>
  <dcterms:modified xsi:type="dcterms:W3CDTF">2019-03-11T08:25:00Z</dcterms:modified>
</cp:coreProperties>
</file>