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管理系统 </w:t>
      </w:r>
      <w:r>
        <w:rPr>
          <w:highlight w:val="yellow"/>
        </w:rPr>
        <w:t>http://1.tongji.edu.cn</w:t>
      </w:r>
      <w:r>
        <w:t>(请使用谷歌浏览器)。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毕业设计资料下载网站：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教务员、学生、导师：</w:t>
      </w:r>
      <w:r>
        <w:rPr>
          <w:highlight w:val="yellow"/>
        </w:rPr>
        <w:t>http://1.tongji.edu.cn-&gt;</w:t>
      </w:r>
      <w:r>
        <w:rPr>
          <w:rFonts w:hint="eastAsia"/>
          <w:highlight w:val="yellow"/>
        </w:rPr>
        <w:t>毕业设计</w:t>
      </w:r>
      <w:r>
        <w:rPr>
          <w:highlight w:val="yellow"/>
        </w:rPr>
        <w:t>-&gt;文档管理-&gt;毕业设计相关打印。）</w:t>
      </w:r>
    </w:p>
    <w:p>
      <w:r>
        <w:drawing>
          <wp:inline distT="0" distB="0" distL="0" distR="0">
            <wp:extent cx="5278120" cy="67938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rPr>
          <w:rFonts w:hint="eastAsia"/>
          <w:highlight w:val="yellow"/>
        </w:rPr>
        <w:t>需要下载并完成的文档：</w:t>
      </w:r>
    </w:p>
    <w:p/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《毕业设计手册》（集中学习，毕业设计对应指导老师）</w:t>
      </w:r>
    </w:p>
    <w:p>
      <w:pPr>
        <w:pStyle w:val="6"/>
        <w:numPr>
          <w:ilvl w:val="0"/>
          <w:numId w:val="2"/>
        </w:numPr>
        <w:ind w:firstLineChars="0"/>
      </w:pPr>
    </w:p>
    <w:p>
      <w:r>
        <w:drawing>
          <wp:inline distT="0" distB="0" distL="0" distR="0">
            <wp:extent cx="2328545" cy="15474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8880" cy="15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rFonts w:hint="eastAsia"/>
          <w:b/>
          <w:bCs/>
        </w:rPr>
        <w:t>一些注意事项：</w:t>
      </w:r>
    </w:p>
    <w:p/>
    <w:p>
      <w:pPr>
        <w:pStyle w:val="6"/>
        <w:numPr>
          <w:ilvl w:val="0"/>
          <w:numId w:val="3"/>
        </w:numPr>
        <w:spacing w:before="156" w:beforeLines="50" w:after="156" w:afterLines="50"/>
        <w:ind w:left="357" w:hanging="357" w:firstLineChars="0"/>
      </w:pPr>
      <w:r>
        <w:rPr>
          <w:highlight w:val="yellow"/>
        </w:rPr>
        <w:t>“一人一题”</w:t>
      </w:r>
      <w:r>
        <w:t>。工科类专业要掌握“设计类”和“论文类”课题的比例，尽可能让学生结合实际任务进行毕业设计（论文），使学生得到基本的工程训练</w:t>
      </w:r>
      <w:r>
        <w:rPr>
          <w:rFonts w:hint="eastAsia"/>
        </w:rPr>
        <w:t>；</w:t>
      </w:r>
    </w:p>
    <w:p>
      <w:pPr>
        <w:pStyle w:val="6"/>
        <w:numPr>
          <w:ilvl w:val="0"/>
          <w:numId w:val="3"/>
        </w:numPr>
        <w:spacing w:before="156" w:beforeLines="50" w:after="156" w:afterLines="50"/>
        <w:ind w:left="357" w:hanging="357" w:firstLineChars="0"/>
      </w:pPr>
      <w:r>
        <w:rPr>
          <w:rFonts w:hint="eastAsia"/>
        </w:rPr>
        <w:t>将毕业设计指导教师题目（指导老师名单）发给学生，学生联系指导老师，班长（毕业设计助教）会统计第一轮</w:t>
      </w:r>
      <w:r>
        <w:rPr>
          <w:rFonts w:hint="eastAsia"/>
          <w:highlight w:val="yellow"/>
        </w:rPr>
        <w:t>师生互选</w:t>
      </w:r>
      <w:r>
        <w:rPr>
          <w:rFonts w:hint="eastAsia"/>
        </w:rPr>
        <w:t>情况，教务会根据名额做小幅度调整（1</w:t>
      </w:r>
      <w:r>
        <w:t>0</w:t>
      </w:r>
      <w:r>
        <w:rPr>
          <w:rFonts w:hint="eastAsia"/>
        </w:rPr>
        <w:t>月份完成）；</w:t>
      </w:r>
    </w:p>
    <w:p>
      <w:pPr>
        <w:pStyle w:val="6"/>
        <w:numPr>
          <w:ilvl w:val="0"/>
          <w:numId w:val="3"/>
        </w:numPr>
        <w:spacing w:before="156" w:beforeLines="50" w:after="156" w:afterLines="50"/>
        <w:ind w:left="357" w:hanging="357" w:firstLineChars="0"/>
      </w:pPr>
      <w:r>
        <w:rPr>
          <w:rFonts w:hint="eastAsia"/>
          <w:highlight w:val="yellow"/>
        </w:rPr>
        <w:t>拟订题目方式</w:t>
      </w:r>
      <w:r>
        <w:rPr>
          <w:rFonts w:hint="eastAsia"/>
        </w:rPr>
        <w:t>：</w:t>
      </w:r>
    </w:p>
    <w:p>
      <w:r>
        <w:rPr>
          <w:highlight w:val="yellow"/>
        </w:rPr>
        <w:t>1）学生自拟课题</w:t>
      </w:r>
      <w:r>
        <w:t>：</w:t>
      </w:r>
    </w:p>
    <w:p>
      <w:pPr>
        <w:pStyle w:val="6"/>
        <w:ind w:left="360"/>
      </w:pPr>
      <w:r>
        <w:rPr>
          <w:rFonts w:hint="eastAsia"/>
        </w:rPr>
        <w:t>学生如果参加过国创、上创、</w:t>
      </w:r>
      <w:r>
        <w:t>SITP、已获得免试研究生资格等，可以自拟课题。学生自拟课题申报前，需要和相关指导教师沟通，说明课题来源、课题性质、课题类型、完成毕业设计（论文）地点、社会实践情况、研究方向、课题简介等，自拟课题最多不允许超过3个，且最终只能选择一个课题做毕业设计（论文），在征得教师同意后，指定该教师为“指导教师”。具体操作如下：</w:t>
      </w:r>
    </w:p>
    <w:p>
      <w:pPr>
        <w:pStyle w:val="6"/>
        <w:ind w:left="360"/>
      </w:pPr>
      <w:r>
        <w:rPr>
          <w:rFonts w:hint="eastAsia"/>
        </w:rPr>
        <w:t>登录系统后，点击毕业设计</w:t>
      </w:r>
      <w:r>
        <w:t>-&gt;选题管理-&gt;申报课题，点击“申报课题”，填写相关内容后保存并提交。</w:t>
      </w:r>
      <w:r>
        <w:rPr>
          <w:rFonts w:hint="eastAsia"/>
          <w:highlight w:val="yellow"/>
        </w:rPr>
        <w:t>（目前系统未开放）</w:t>
      </w:r>
    </w:p>
    <w:p>
      <w:pPr>
        <w:pStyle w:val="6"/>
        <w:ind w:left="360"/>
      </w:pPr>
    </w:p>
    <w:p>
      <w:r>
        <w:t>2）导师申报课题</w:t>
      </w:r>
      <w:r>
        <w:rPr>
          <w:rFonts w:hint="eastAsia"/>
        </w:rPr>
        <w:t>（目前在进行中）</w:t>
      </w:r>
      <w:r>
        <w:t>：</w:t>
      </w:r>
    </w:p>
    <w:p>
      <w:pPr>
        <w:ind w:firstLine="630" w:firstLineChars="300"/>
      </w:pPr>
      <w:r>
        <w:rPr>
          <w:rFonts w:hint="eastAsia"/>
        </w:rPr>
        <w:t>导师申报课题最多不允许超过</w:t>
      </w:r>
      <w:r>
        <w:t>3个（含学生自拟课题已指定导师），具体操作如下：</w:t>
      </w:r>
    </w:p>
    <w:p>
      <w:pPr>
        <w:pStyle w:val="6"/>
        <w:ind w:left="360" w:firstLine="0" w:firstLineChars="0"/>
      </w:pPr>
      <w:r>
        <w:rPr>
          <w:rFonts w:hint="eastAsia"/>
        </w:rPr>
        <w:t>登录系统后，点击毕业设计</w:t>
      </w:r>
      <w:r>
        <w:t>-&gt;选题管理-&gt;导师申报课题，选择上方筛选条-毕业年份：“2021”，并点击后方的“筛选”按钮，然后点击导师申报课题后面的“申报课题”按钮，填写相关内容后保存并提交</w:t>
      </w:r>
      <w:r>
        <w:rPr>
          <w:rFonts w:hint="eastAsia"/>
          <w:highlight w:val="yellow"/>
        </w:rPr>
        <w:t>（目前系统未开放）</w:t>
      </w:r>
      <w:r>
        <w:t>。</w:t>
      </w:r>
    </w:p>
    <w:p>
      <w:pPr>
        <w:pStyle w:val="6"/>
        <w:ind w:left="360" w:firstLine="210" w:firstLineChars="100"/>
      </w:pPr>
      <w:r>
        <w:t>申报课题时如安排校外导师，则需在</w:t>
      </w:r>
      <w:r>
        <w:rPr>
          <w:highlight w:val="yellow"/>
        </w:rPr>
        <w:t>“校外导师管理”</w:t>
      </w:r>
      <w:r>
        <w:t>中添加相关信息（目前需联系学院教务科维护校外导师信息，后续将改为由指导教师直接添加校外导师信息）。</w:t>
      </w:r>
      <w:r>
        <w:rPr>
          <w:rFonts w:hint="eastAsia"/>
          <w:highlight w:val="yellow"/>
        </w:rPr>
        <w:t>（保送校外的研究生特别注意）</w:t>
      </w:r>
    </w:p>
    <w:p>
      <w:pPr>
        <w:pStyle w:val="6"/>
        <w:ind w:left="360"/>
      </w:pPr>
    </w:p>
    <w:p>
      <w:r>
        <w:t>3</w:t>
      </w:r>
      <w:r>
        <w:rPr>
          <w:rFonts w:hint="eastAsia"/>
        </w:rPr>
        <w:t>）</w:t>
      </w:r>
      <w:r>
        <w:rPr>
          <w:highlight w:val="yellow"/>
        </w:rPr>
        <w:t>审核课题</w:t>
      </w:r>
      <w:r>
        <w:t xml:space="preserve">： </w:t>
      </w:r>
    </w:p>
    <w:p>
      <w:pPr>
        <w:pStyle w:val="6"/>
        <w:ind w:left="360"/>
      </w:pPr>
      <w:r>
        <w:t>1)导师审核学生自拟课题：登录后，点击毕业设计-&gt;审核课题（导师），查看学生课题内容后，点击“通过”即该课题审核通过，点击“驳回”即该课题审核不通过。</w:t>
      </w:r>
    </w:p>
    <w:p>
      <w:pPr>
        <w:pStyle w:val="6"/>
        <w:ind w:left="360"/>
      </w:pPr>
      <w:r>
        <w:t>2）导师申报课题由学院教务科审核，或学院教务科指定审核人，审核人可以是教学院长、专业负责人等。一旦指定了审核人，请学院教务科告知审核人，并按“导师审核学生自拟课题”的操作步骤操作。</w:t>
      </w:r>
    </w:p>
    <w:p>
      <w:pPr>
        <w:pStyle w:val="6"/>
        <w:ind w:left="360"/>
      </w:pPr>
    </w:p>
    <w:p>
      <w:r>
        <w:rPr>
          <w:rFonts w:hint="eastAsia"/>
        </w:rPr>
        <w:t>4）课题通过，完成系统师生互选</w:t>
      </w:r>
    </w:p>
    <w:p/>
    <w:p>
      <w:pPr>
        <w:spacing w:before="156" w:beforeLines="50" w:after="156" w:afterLines="50"/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2</w:t>
      </w:r>
      <w:r>
        <w:rPr>
          <w:b/>
          <w:bCs/>
          <w:highlight w:val="yellow"/>
        </w:rPr>
        <w:t>021</w:t>
      </w:r>
      <w:r>
        <w:rPr>
          <w:rFonts w:hint="eastAsia"/>
          <w:b/>
          <w:bCs/>
          <w:highlight w:val="yellow"/>
        </w:rPr>
        <w:t>年时间节点：（2</w:t>
      </w:r>
      <w:r>
        <w:rPr>
          <w:b/>
          <w:bCs/>
          <w:highlight w:val="yellow"/>
        </w:rPr>
        <w:t>022</w:t>
      </w:r>
      <w:r>
        <w:rPr>
          <w:rFonts w:hint="eastAsia"/>
          <w:b/>
          <w:bCs/>
          <w:highlight w:val="yellow"/>
        </w:rPr>
        <w:t>年提前至少2周）</w:t>
      </w:r>
    </w:p>
    <w:p>
      <w:pPr>
        <w:pStyle w:val="6"/>
        <w:numPr>
          <w:ilvl w:val="0"/>
          <w:numId w:val="4"/>
        </w:numPr>
        <w:spacing w:before="156" w:beforeLines="50" w:after="156" w:afterLines="50"/>
        <w:ind w:firstLineChars="0"/>
      </w:pPr>
      <w:r>
        <w:t>第1周星期一为任务书下达时间；</w:t>
      </w:r>
      <w:r>
        <w:rPr>
          <w:rFonts w:hint="eastAsia"/>
          <w:highlight w:val="yellow"/>
        </w:rPr>
        <w:t>（提前到2</w:t>
      </w:r>
      <w:r>
        <w:rPr>
          <w:highlight w:val="yellow"/>
        </w:rPr>
        <w:t>021</w:t>
      </w:r>
      <w:r>
        <w:rPr>
          <w:rFonts w:hint="eastAsia"/>
          <w:highlight w:val="yellow"/>
        </w:rPr>
        <w:t>年1</w:t>
      </w:r>
      <w:r>
        <w:rPr>
          <w:highlight w:val="yellow"/>
        </w:rPr>
        <w:t>0</w:t>
      </w:r>
      <w:r>
        <w:rPr>
          <w:rFonts w:hint="eastAsia"/>
          <w:highlight w:val="yellow"/>
        </w:rPr>
        <w:t>-</w:t>
      </w:r>
      <w:r>
        <w:rPr>
          <w:highlight w:val="yellow"/>
        </w:rPr>
        <w:t>11</w:t>
      </w:r>
      <w:r>
        <w:rPr>
          <w:rFonts w:hint="eastAsia"/>
          <w:highlight w:val="yellow"/>
        </w:rPr>
        <w:t>月）</w:t>
      </w:r>
    </w:p>
    <w:p>
      <w:pPr>
        <w:pStyle w:val="6"/>
        <w:numPr>
          <w:ilvl w:val="0"/>
          <w:numId w:val="4"/>
        </w:numPr>
        <w:spacing w:before="156" w:beforeLines="50" w:after="156" w:afterLines="50"/>
        <w:ind w:firstLineChars="0"/>
      </w:pPr>
      <w:r>
        <w:t>第3周</w:t>
      </w:r>
      <w:r>
        <w:rPr>
          <w:rFonts w:hint="eastAsia"/>
        </w:rPr>
        <w:t>完成开题报告</w:t>
      </w:r>
      <w:r>
        <w:t>；</w:t>
      </w:r>
      <w:r>
        <w:rPr>
          <w:rFonts w:hint="eastAsia"/>
          <w:highlight w:val="yellow"/>
        </w:rPr>
        <w:t>（提前到2</w:t>
      </w:r>
      <w:r>
        <w:rPr>
          <w:highlight w:val="yellow"/>
        </w:rPr>
        <w:t>021</w:t>
      </w:r>
      <w:r>
        <w:rPr>
          <w:rFonts w:hint="eastAsia"/>
          <w:highlight w:val="yellow"/>
        </w:rPr>
        <w:t>年</w:t>
      </w:r>
      <w:r>
        <w:rPr>
          <w:highlight w:val="yellow"/>
        </w:rPr>
        <w:t>12</w:t>
      </w:r>
      <w:r>
        <w:rPr>
          <w:rFonts w:hint="eastAsia"/>
          <w:highlight w:val="yellow"/>
        </w:rPr>
        <w:t>月）</w:t>
      </w:r>
    </w:p>
    <w:p>
      <w:pPr>
        <w:pStyle w:val="6"/>
        <w:spacing w:before="156" w:beforeLines="50" w:after="156" w:afterLines="50"/>
      </w:pPr>
      <w:r>
        <w:t>3) 第6周星期五之前（含星期五）完成教务信息系统里“毕业设计（论文）情况汇总表”的填写；</w:t>
      </w:r>
    </w:p>
    <w:p>
      <w:pPr>
        <w:pStyle w:val="6"/>
        <w:spacing w:before="156" w:beforeLines="50" w:after="156" w:afterLines="50"/>
      </w:pPr>
      <w:r>
        <w:t>4) 第7周--第8周完成“毕业设计（论文）学生中期自查表”的填写；</w:t>
      </w:r>
    </w:p>
    <w:p>
      <w:pPr>
        <w:pStyle w:val="6"/>
        <w:spacing w:before="156" w:beforeLines="50" w:after="156" w:afterLines="50"/>
      </w:pPr>
      <w:r>
        <w:t>5) 第8周--第9周开展学校对学院（系）的相关中期检查工作；</w:t>
      </w:r>
    </w:p>
    <w:p>
      <w:pPr>
        <w:pStyle w:val="6"/>
        <w:spacing w:before="156" w:beforeLines="50" w:after="156" w:afterLines="50"/>
      </w:pPr>
      <w:r>
        <w:t>6) 第16周毕业设计（论文）答辩结束；</w:t>
      </w:r>
      <w:r>
        <w:rPr>
          <w:rFonts w:hint="eastAsia"/>
          <w:highlight w:val="yellow"/>
        </w:rPr>
        <w:t>（可能会提前到1</w:t>
      </w:r>
      <w:r>
        <w:rPr>
          <w:highlight w:val="yellow"/>
        </w:rPr>
        <w:t>4</w:t>
      </w:r>
      <w:r>
        <w:rPr>
          <w:rFonts w:hint="eastAsia"/>
          <w:highlight w:val="yellow"/>
        </w:rPr>
        <w:t>周）</w:t>
      </w:r>
      <w:r>
        <w:t xml:space="preserve"> </w:t>
      </w:r>
    </w:p>
    <w:p>
      <w:pPr>
        <w:pStyle w:val="6"/>
        <w:spacing w:before="156" w:beforeLines="50" w:after="156" w:afterLines="50"/>
      </w:pPr>
      <w:r>
        <w:t>7) 第17周星期一至星期三学院录入毕业设计（论文）成绩时间；</w:t>
      </w:r>
    </w:p>
    <w:p>
      <w:pPr>
        <w:pStyle w:val="6"/>
        <w:spacing w:before="156" w:beforeLines="50" w:after="156" w:afterLines="50"/>
      </w:pPr>
      <w:r>
        <w:t>8) 第17周星期三之前提交校优论文推荐表；</w:t>
      </w:r>
    </w:p>
    <w:p>
      <w:pPr>
        <w:spacing w:before="156" w:beforeLines="50" w:after="156" w:afterLines="50"/>
        <w:rPr>
          <w:b/>
          <w:bCs/>
        </w:rPr>
      </w:pPr>
      <w:r>
        <w:rPr>
          <w:rFonts w:hint="eastAsia"/>
          <w:b/>
          <w:bCs/>
          <w:highlight w:val="yellow"/>
        </w:rPr>
        <w:t>特别注意：</w:t>
      </w:r>
    </w:p>
    <w:p>
      <w:pPr>
        <w:rPr>
          <w:b/>
          <w:bCs/>
        </w:rPr>
      </w:pPr>
      <w:r>
        <w:rPr>
          <w:rFonts w:hint="eastAsia"/>
          <w:b/>
          <w:bCs/>
        </w:rPr>
        <w:t>毕业设计全部查重（学院和学校两级查重），重复率超过2</w:t>
      </w:r>
      <w:r>
        <w:rPr>
          <w:b/>
          <w:bCs/>
        </w:rPr>
        <w:t>0</w:t>
      </w:r>
      <w:r>
        <w:rPr>
          <w:rFonts w:hint="eastAsia"/>
          <w:b/>
          <w:bCs/>
        </w:rPr>
        <w:t>%不合格；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指导老师信息可以登录同济大学控制系</w:t>
      </w:r>
      <w:r>
        <w:fldChar w:fldCharType="begin"/>
      </w:r>
      <w:r>
        <w:instrText xml:space="preserve"> HYPERLINK "https://cse.tongji.edu.cn/jswyjy/list.htm" </w:instrText>
      </w:r>
      <w:r>
        <w:fldChar w:fldCharType="separate"/>
      </w:r>
      <w:r>
        <w:rPr>
          <w:rStyle w:val="4"/>
          <w:b/>
          <w:bCs/>
        </w:rPr>
        <w:t>https://cse.tongji.edu.cn/jswyjy/lis</w:t>
      </w:r>
      <w:bookmarkStart w:id="0" w:name="_GoBack"/>
      <w:bookmarkEnd w:id="0"/>
      <w:r>
        <w:rPr>
          <w:rStyle w:val="4"/>
          <w:b/>
          <w:bCs/>
        </w:rPr>
        <w:t>t.htm</w:t>
      </w:r>
      <w:r>
        <w:rPr>
          <w:rStyle w:val="5"/>
          <w:b/>
          <w:bCs/>
        </w:rPr>
        <w:fldChar w:fldCharType="end"/>
      </w:r>
    </w:p>
    <w:p>
      <w:pPr>
        <w:rPr>
          <w:rFonts w:hint="eastAsia"/>
          <w:b/>
          <w:bCs/>
        </w:rPr>
      </w:pPr>
      <w:r>
        <w:drawing>
          <wp:inline distT="0" distB="0" distL="0" distR="0">
            <wp:extent cx="5151120" cy="3684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963" cy="36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登录学院网站：</w:t>
      </w:r>
      <w:r>
        <w:fldChar w:fldCharType="begin"/>
      </w:r>
      <w:r>
        <w:instrText xml:space="preserve"> HYPERLINK "https://see.tongji.edu.cn/szdw/dsmd/axkhf/kzkxygcxk/3.htm" </w:instrText>
      </w:r>
      <w:r>
        <w:fldChar w:fldCharType="separate"/>
      </w:r>
      <w:r>
        <w:rPr>
          <w:rStyle w:val="5"/>
          <w:b/>
          <w:bCs/>
        </w:rPr>
        <w:t>https://see.tongji.edu.cn/szdw/dsmd/axkhf/kzkxygcxk/3.htm</w:t>
      </w:r>
      <w:r>
        <w:rPr>
          <w:rStyle w:val="5"/>
          <w:b/>
          <w:bCs/>
        </w:rP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（控制科学与工程学科）</w:t>
      </w:r>
    </w:p>
    <w:p>
      <w:pPr>
        <w:rPr>
          <w:b/>
          <w:bCs/>
        </w:rPr>
      </w:pPr>
      <w:r>
        <w:drawing>
          <wp:inline distT="0" distB="0" distL="0" distR="0">
            <wp:extent cx="5278120" cy="32175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C70EB1"/>
    <w:multiLevelType w:val="multilevel"/>
    <w:tmpl w:val="00C70EB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DB5344"/>
    <w:multiLevelType w:val="multilevel"/>
    <w:tmpl w:val="01DB5344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1EB36EE"/>
    <w:multiLevelType w:val="multilevel"/>
    <w:tmpl w:val="01EB36E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BED2231"/>
    <w:multiLevelType w:val="multilevel"/>
    <w:tmpl w:val="6BED223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I1NDIyOTdkOGUxOGI3MzY0NGQyYTkzMGY0MGRhMWUifQ=="/>
  </w:docVars>
  <w:rsids>
    <w:rsidRoot w:val="000D5971"/>
    <w:rsid w:val="00047927"/>
    <w:rsid w:val="000D1618"/>
    <w:rsid w:val="000D5971"/>
    <w:rsid w:val="003F354F"/>
    <w:rsid w:val="00447012"/>
    <w:rsid w:val="00585160"/>
    <w:rsid w:val="00681B11"/>
    <w:rsid w:val="00685E55"/>
    <w:rsid w:val="00691C78"/>
    <w:rsid w:val="00692437"/>
    <w:rsid w:val="008A5576"/>
    <w:rsid w:val="008A7BA7"/>
    <w:rsid w:val="008D4A3C"/>
    <w:rsid w:val="00942399"/>
    <w:rsid w:val="00957E66"/>
    <w:rsid w:val="0096748D"/>
    <w:rsid w:val="00A54851"/>
    <w:rsid w:val="00A60652"/>
    <w:rsid w:val="00DF32C7"/>
    <w:rsid w:val="00E6633E"/>
    <w:rsid w:val="71FC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semiHidden/>
    <w:unhideWhenUsed/>
    <w:uiPriority w:val="99"/>
    <w:rPr>
      <w:color w:val="800080"/>
      <w:u w:val="single"/>
    </w:r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Unresolved Mention"/>
    <w:basedOn w:val="3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1216</Words>
  <Characters>1403</Characters>
  <Lines>11</Lines>
  <Paragraphs>3</Paragraphs>
  <TotalTime>67</TotalTime>
  <ScaleCrop>false</ScaleCrop>
  <LinksUpToDate>false</LinksUpToDate>
  <CharactersWithSpaces>1412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2021-04-28T00:59:00Z</dcterms:created>
  <dc:creator>liu chengju</dc:creator>
  <cp:lastModifiedBy>雷阵雨</cp:lastModifiedBy>
  <dcterms:modified xsi:type="dcterms:W3CDTF">2022-11-02T13:36:15Z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5D4CAB659060465C92F6AD37A79711E0</vt:lpwstr>
  </property>
</Properties>
</file>