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C9D9" w14:textId="1616A860" w:rsidR="00F87DD8" w:rsidRPr="004B27CD" w:rsidRDefault="001100E4" w:rsidP="004B27CD">
      <w:pPr>
        <w:jc w:val="center"/>
        <w:rPr>
          <w:b/>
          <w:bCs/>
          <w:sz w:val="36"/>
          <w:szCs w:val="36"/>
        </w:rPr>
      </w:pPr>
      <w:r>
        <w:rPr>
          <w:b/>
          <w:bCs/>
          <w:sz w:val="36"/>
          <w:szCs w:val="36"/>
        </w:rPr>
        <w:t xml:space="preserve">Transcriptome </w:t>
      </w:r>
      <w:r w:rsidR="00F97B6E">
        <w:rPr>
          <w:b/>
          <w:bCs/>
          <w:sz w:val="36"/>
          <w:szCs w:val="36"/>
        </w:rPr>
        <w:t>-</w:t>
      </w:r>
      <w:r>
        <w:rPr>
          <w:b/>
          <w:bCs/>
          <w:sz w:val="36"/>
          <w:szCs w:val="36"/>
        </w:rPr>
        <w:t>based prediction of biological age</w:t>
      </w:r>
      <w:r w:rsidR="00F97B6E">
        <w:rPr>
          <w:b/>
          <w:bCs/>
          <w:sz w:val="36"/>
          <w:szCs w:val="36"/>
        </w:rPr>
        <w:t xml:space="preserve"> of adult Drosophila</w:t>
      </w:r>
    </w:p>
    <w:p w14:paraId="182A8E68" w14:textId="33A5E015" w:rsidR="00217F2E" w:rsidRDefault="00217F2E"/>
    <w:p w14:paraId="6FC22ECE" w14:textId="77777777" w:rsidR="004B27CD" w:rsidRDefault="004B27CD"/>
    <w:p w14:paraId="66CFDD0E" w14:textId="18A5B24C" w:rsidR="004B27CD" w:rsidRDefault="004B27CD"/>
    <w:p w14:paraId="6FA75FE3" w14:textId="77777777" w:rsidR="00A71C8E" w:rsidRDefault="004B27CD">
      <w:pPr>
        <w:rPr>
          <w:b/>
          <w:bCs/>
        </w:rPr>
      </w:pPr>
      <w:r w:rsidRPr="004B27CD">
        <w:rPr>
          <w:b/>
          <w:bCs/>
        </w:rPr>
        <w:t xml:space="preserve">Authors </w:t>
      </w:r>
    </w:p>
    <w:p w14:paraId="6A27D771" w14:textId="78755D78" w:rsidR="00EB7754" w:rsidRDefault="00A71C8E">
      <w:pPr>
        <w:rPr>
          <w:b/>
          <w:bCs/>
        </w:rPr>
      </w:pPr>
      <w:r>
        <w:rPr>
          <w:b/>
          <w:bCs/>
        </w:rPr>
        <w:t xml:space="preserve">Jason Liang, Sidney </w:t>
      </w:r>
      <w:proofErr w:type="spellStart"/>
      <w:r w:rsidR="007F10E6">
        <w:rPr>
          <w:b/>
          <w:bCs/>
        </w:rPr>
        <w:t>Blimbau</w:t>
      </w:r>
      <w:r w:rsidR="00EB7754">
        <w:rPr>
          <w:b/>
          <w:bCs/>
        </w:rPr>
        <w:t>m</w:t>
      </w:r>
      <w:proofErr w:type="spellEnd"/>
      <w:r w:rsidR="008C03CE">
        <w:rPr>
          <w:b/>
          <w:bCs/>
        </w:rPr>
        <w:t xml:space="preserve">, </w:t>
      </w:r>
      <w:proofErr w:type="spellStart"/>
      <w:r w:rsidR="008C03CE">
        <w:rPr>
          <w:b/>
          <w:bCs/>
        </w:rPr>
        <w:t>Jie</w:t>
      </w:r>
      <w:proofErr w:type="spellEnd"/>
      <w:r w:rsidR="008C03CE">
        <w:rPr>
          <w:b/>
          <w:bCs/>
        </w:rPr>
        <w:t xml:space="preserve"> </w:t>
      </w:r>
      <w:r w:rsidR="00A426EE">
        <w:rPr>
          <w:b/>
          <w:bCs/>
        </w:rPr>
        <w:t>Xu</w:t>
      </w:r>
      <w:r w:rsidR="008C03CE">
        <w:rPr>
          <w:b/>
          <w:bCs/>
        </w:rPr>
        <w:t xml:space="preserve">, Lei Zhou </w:t>
      </w:r>
    </w:p>
    <w:p w14:paraId="27B5DF82" w14:textId="1A41D227" w:rsidR="004B27CD" w:rsidRDefault="004B27CD">
      <w:r>
        <w:t>(</w:t>
      </w:r>
      <w:r w:rsidR="008C03CE">
        <w:t>Names and sequence</w:t>
      </w:r>
      <w:r w:rsidR="00A71C8E">
        <w:t xml:space="preserve"> t</w:t>
      </w:r>
      <w:r>
        <w:t xml:space="preserve">o be finalized at </w:t>
      </w:r>
      <w:r w:rsidR="00A71C8E">
        <w:t>acceptance</w:t>
      </w:r>
      <w:r>
        <w:t>).</w:t>
      </w:r>
    </w:p>
    <w:p w14:paraId="142C54C2" w14:textId="3FF603A9" w:rsidR="004B27CD" w:rsidRDefault="004B27CD"/>
    <w:p w14:paraId="5BF7370B" w14:textId="36079A3B" w:rsidR="00CA7982" w:rsidRDefault="00CA7982"/>
    <w:p w14:paraId="5CB49F3A" w14:textId="184D4D16" w:rsidR="00CA7982" w:rsidRDefault="00CA7982"/>
    <w:p w14:paraId="689316BD" w14:textId="3809E941" w:rsidR="00CA7982" w:rsidRDefault="00CA7982">
      <w:r>
        <w:t xml:space="preserve">Corresponding author:  </w:t>
      </w:r>
      <w:hyperlink r:id="rId6" w:history="1">
        <w:r w:rsidRPr="00036EA5">
          <w:rPr>
            <w:rStyle w:val="Hyperlink"/>
          </w:rPr>
          <w:t>leizhou@ufl.edu</w:t>
        </w:r>
      </w:hyperlink>
      <w:r>
        <w:t xml:space="preserve"> </w:t>
      </w:r>
    </w:p>
    <w:p w14:paraId="44CB821B" w14:textId="4E4B0CFD" w:rsidR="004B27CD" w:rsidRDefault="004B27CD"/>
    <w:p w14:paraId="303E352E" w14:textId="77777777" w:rsidR="004B27CD" w:rsidRDefault="004B27CD"/>
    <w:p w14:paraId="74BDBD7B" w14:textId="77777777" w:rsidR="00CA7982" w:rsidRDefault="00CA7982"/>
    <w:p w14:paraId="60C0AD97" w14:textId="77777777" w:rsidR="00CA7982" w:rsidRDefault="00CA7982"/>
    <w:p w14:paraId="06163A9B" w14:textId="77777777" w:rsidR="00CA7982" w:rsidRDefault="00CA7982"/>
    <w:p w14:paraId="7D925739" w14:textId="5AD059EA" w:rsidR="00217F2E" w:rsidRDefault="004B27CD">
      <w:r>
        <w:t xml:space="preserve">Developed for Genome Biology </w:t>
      </w:r>
      <w:hyperlink r:id="rId7" w:history="1">
        <w:r w:rsidRPr="004B27CD">
          <w:rPr>
            <w:rStyle w:val="Hyperlink"/>
          </w:rPr>
          <w:t>Short report</w:t>
        </w:r>
      </w:hyperlink>
      <w:r>
        <w:t>.</w:t>
      </w:r>
    </w:p>
    <w:p w14:paraId="0A92F3C7" w14:textId="429EC9B2" w:rsidR="004B27CD" w:rsidRDefault="004B27CD"/>
    <w:p w14:paraId="60AC988A" w14:textId="334C3EB6" w:rsidR="004B27CD" w:rsidRDefault="004B27CD">
      <w:proofErr w:type="gramStart"/>
      <w:r>
        <w:t>“</w:t>
      </w:r>
      <w:r w:rsidRPr="004B27CD">
        <w:rPr>
          <w:rFonts w:ascii="Segoe UI" w:eastAsia="Times New Roman" w:hAnsi="Segoe UI" w:cs="Segoe UI"/>
          <w:color w:val="333333"/>
          <w:sz w:val="27"/>
          <w:szCs w:val="27"/>
          <w:shd w:val="clear" w:color="auto" w:fill="FFFFFF"/>
        </w:rPr>
        <w:t> </w:t>
      </w:r>
      <w:r w:rsidRPr="00DB6087">
        <w:rPr>
          <w:rFonts w:ascii="Segoe UI" w:eastAsia="Times New Roman" w:hAnsi="Segoe UI" w:cs="Segoe UI"/>
          <w:i/>
          <w:iCs/>
          <w:color w:val="333333"/>
          <w:sz w:val="18"/>
          <w:szCs w:val="18"/>
          <w:shd w:val="clear" w:color="auto" w:fill="FFFFFF"/>
        </w:rPr>
        <w:t>main</w:t>
      </w:r>
      <w:proofErr w:type="gramEnd"/>
      <w:r w:rsidRPr="00DB6087">
        <w:rPr>
          <w:rFonts w:ascii="Segoe UI" w:eastAsia="Times New Roman" w:hAnsi="Segoe UI" w:cs="Segoe UI"/>
          <w:i/>
          <w:iCs/>
          <w:color w:val="333333"/>
          <w:sz w:val="18"/>
          <w:szCs w:val="18"/>
          <w:shd w:val="clear" w:color="auto" w:fill="FFFFFF"/>
        </w:rPr>
        <w:t xml:space="preserve"> text should be around 1000-1500 words, excluding abstract, references, and figure legends, and should contain no headings</w:t>
      </w:r>
      <w:r w:rsidRPr="00DB6087">
        <w:rPr>
          <w:rFonts w:ascii="Times New Roman" w:eastAsia="Times New Roman" w:hAnsi="Times New Roman" w:cs="Times New Roman"/>
          <w:i/>
          <w:iCs/>
          <w:sz w:val="18"/>
          <w:szCs w:val="18"/>
        </w:rPr>
        <w:t>.</w:t>
      </w:r>
      <w:r w:rsidRPr="00DB6087">
        <w:rPr>
          <w:i/>
          <w:iCs/>
          <w:sz w:val="18"/>
          <w:szCs w:val="18"/>
        </w:rPr>
        <w:t>”</w:t>
      </w:r>
    </w:p>
    <w:p w14:paraId="0F0E9195" w14:textId="3CF3AA7D" w:rsidR="004B27CD" w:rsidRDefault="004B27CD"/>
    <w:p w14:paraId="6AE06170" w14:textId="3D06F256" w:rsidR="004B27CD" w:rsidRDefault="004B27CD">
      <w:pPr>
        <w:rPr>
          <w:rFonts w:ascii="Times New Roman" w:eastAsia="Times New Roman" w:hAnsi="Times New Roman" w:cs="Times New Roman"/>
        </w:rPr>
      </w:pPr>
    </w:p>
    <w:p w14:paraId="4E8B8F67" w14:textId="27CBF1C0" w:rsidR="004B27CD" w:rsidRDefault="004B27CD">
      <w:pPr>
        <w:rPr>
          <w:rFonts w:ascii="Times New Roman" w:eastAsia="Times New Roman" w:hAnsi="Times New Roman" w:cs="Times New Roman"/>
        </w:rPr>
      </w:pPr>
    </w:p>
    <w:p w14:paraId="40DEC898" w14:textId="77777777" w:rsidR="00DB6087" w:rsidRDefault="00DB6087">
      <w:pPr>
        <w:rPr>
          <w:rFonts w:ascii="Trebuchet MS" w:eastAsia="Times New Roman" w:hAnsi="Trebuchet MS" w:cs="Segoe UI"/>
          <w:b/>
          <w:bCs/>
          <w:color w:val="1B3051"/>
          <w:sz w:val="27"/>
          <w:szCs w:val="27"/>
        </w:rPr>
      </w:pPr>
      <w:r>
        <w:rPr>
          <w:rFonts w:ascii="Trebuchet MS" w:eastAsia="Times New Roman" w:hAnsi="Trebuchet MS" w:cs="Segoe UI"/>
          <w:b/>
          <w:bCs/>
          <w:color w:val="1B3051"/>
          <w:sz w:val="27"/>
          <w:szCs w:val="27"/>
        </w:rPr>
        <w:br w:type="page"/>
      </w:r>
    </w:p>
    <w:p w14:paraId="7A1F05C5" w14:textId="56060AF2" w:rsidR="004B27CD" w:rsidRPr="004B27CD" w:rsidRDefault="004B27CD" w:rsidP="004B27CD">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lastRenderedPageBreak/>
        <w:t>Abstract</w:t>
      </w:r>
    </w:p>
    <w:p w14:paraId="45BF33CF" w14:textId="0EB9B8E9" w:rsidR="00F100DD" w:rsidRPr="00AF0450" w:rsidRDefault="00AF0450" w:rsidP="004B27CD">
      <w:pPr>
        <w:shd w:val="clear" w:color="auto" w:fill="FFFFFF"/>
        <w:spacing w:after="360"/>
        <w:rPr>
          <w:rFonts w:ascii="Segoe UI" w:eastAsia="Times New Roman" w:hAnsi="Segoe UI" w:cs="Segoe UI"/>
          <w:i/>
          <w:iCs/>
          <w:color w:val="333333"/>
          <w:sz w:val="18"/>
          <w:szCs w:val="18"/>
        </w:rPr>
      </w:pPr>
      <w:r>
        <w:rPr>
          <w:rFonts w:ascii="Segoe UI" w:eastAsia="Times New Roman" w:hAnsi="Segoe UI" w:cs="Segoe UI"/>
          <w:i/>
          <w:iCs/>
          <w:color w:val="333333"/>
          <w:sz w:val="18"/>
          <w:szCs w:val="18"/>
        </w:rPr>
        <w:t>(</w:t>
      </w:r>
      <w:r w:rsidR="004B27CD" w:rsidRPr="00AF0450">
        <w:rPr>
          <w:rFonts w:ascii="Segoe UI" w:eastAsia="Times New Roman" w:hAnsi="Segoe UI" w:cs="Segoe UI"/>
          <w:i/>
          <w:iCs/>
          <w:color w:val="333333"/>
          <w:sz w:val="18"/>
          <w:szCs w:val="18"/>
        </w:rPr>
        <w:t>The Abstract should not exceed 100 words. Please minimize the use of abbreviations and do not cite references in the abstract. The abstract should be unstructured.</w:t>
      </w:r>
      <w:r>
        <w:rPr>
          <w:rFonts w:ascii="Segoe UI" w:eastAsia="Times New Roman" w:hAnsi="Segoe UI" w:cs="Segoe UI"/>
          <w:i/>
          <w:iCs/>
          <w:color w:val="333333"/>
          <w:sz w:val="18"/>
          <w:szCs w:val="18"/>
        </w:rPr>
        <w:t>)</w:t>
      </w:r>
    </w:p>
    <w:p w14:paraId="61ADB672" w14:textId="501B6E94" w:rsidR="00107D55" w:rsidRPr="008B0958" w:rsidRDefault="008448A1" w:rsidP="008B0958">
      <w:pPr>
        <w:shd w:val="clear" w:color="auto" w:fill="FFFFFF"/>
        <w:spacing w:after="360"/>
        <w:rPr>
          <w:rFonts w:eastAsia="Times New Roman" w:cstheme="minorHAnsi"/>
          <w:color w:val="333333"/>
        </w:rPr>
      </w:pPr>
      <w:r w:rsidRPr="00107D55">
        <w:rPr>
          <w:rFonts w:eastAsia="Times New Roman" w:cstheme="minorHAnsi"/>
          <w:color w:val="333333"/>
        </w:rPr>
        <w:t xml:space="preserve">Estimating the biological age </w:t>
      </w:r>
      <w:r w:rsidR="00AF0450" w:rsidRPr="00107D55">
        <w:rPr>
          <w:rFonts w:eastAsia="Times New Roman" w:cstheme="minorHAnsi"/>
          <w:color w:val="333333"/>
        </w:rPr>
        <w:t xml:space="preserve">is of great interest to </w:t>
      </w:r>
      <w:r w:rsidR="00720DF4">
        <w:rPr>
          <w:rFonts w:eastAsia="Times New Roman" w:cstheme="minorHAnsi"/>
          <w:color w:val="333333"/>
        </w:rPr>
        <w:t>geriatric</w:t>
      </w:r>
      <w:r w:rsidR="00F179EA">
        <w:rPr>
          <w:rFonts w:eastAsia="Times New Roman" w:cstheme="minorHAnsi"/>
          <w:color w:val="333333"/>
        </w:rPr>
        <w:t xml:space="preserve"> </w:t>
      </w:r>
      <w:r w:rsidR="00AF0450" w:rsidRPr="00107D55">
        <w:rPr>
          <w:rFonts w:eastAsia="Times New Roman" w:cstheme="minorHAnsi"/>
          <w:color w:val="333333"/>
        </w:rPr>
        <w:t>researc</w:t>
      </w:r>
      <w:r w:rsidR="00720DF4">
        <w:rPr>
          <w:rFonts w:eastAsia="Times New Roman" w:cstheme="minorHAnsi"/>
          <w:color w:val="333333"/>
        </w:rPr>
        <w:t>h</w:t>
      </w:r>
      <w:r w:rsidR="00AF0450" w:rsidRPr="00107D55">
        <w:rPr>
          <w:rFonts w:eastAsia="Times New Roman" w:cstheme="minorHAnsi"/>
          <w:color w:val="333333"/>
        </w:rPr>
        <w:t>.</w:t>
      </w:r>
      <w:r w:rsidR="00107D55">
        <w:rPr>
          <w:rFonts w:eastAsia="Times New Roman" w:cstheme="minorHAnsi"/>
          <w:color w:val="333333"/>
        </w:rPr>
        <w:t xml:space="preserve"> </w:t>
      </w:r>
      <w:r w:rsidR="00875AA8">
        <w:rPr>
          <w:rFonts w:eastAsia="Times New Roman" w:cstheme="minorHAnsi"/>
          <w:color w:val="333333"/>
        </w:rPr>
        <w:t xml:space="preserve"> </w:t>
      </w:r>
      <w:r w:rsidR="005B46A0">
        <w:rPr>
          <w:rFonts w:eastAsia="Times New Roman" w:cstheme="minorHAnsi"/>
          <w:color w:val="333333"/>
        </w:rPr>
        <w:t>To develop a</w:t>
      </w:r>
      <w:r w:rsidR="000A317C">
        <w:rPr>
          <w:rFonts w:eastAsia="Times New Roman" w:cstheme="minorHAnsi"/>
          <w:color w:val="333333"/>
        </w:rPr>
        <w:t xml:space="preserve"> global</w:t>
      </w:r>
      <w:r w:rsidR="005B46A0">
        <w:rPr>
          <w:rFonts w:eastAsia="Times New Roman" w:cstheme="minorHAnsi"/>
          <w:color w:val="333333"/>
        </w:rPr>
        <w:t xml:space="preserve"> age </w:t>
      </w:r>
      <w:r w:rsidR="00D60BD2">
        <w:rPr>
          <w:rFonts w:eastAsia="Times New Roman" w:cstheme="minorHAnsi"/>
          <w:color w:val="333333"/>
        </w:rPr>
        <w:t>estimator</w:t>
      </w:r>
      <w:r w:rsidR="005B46A0">
        <w:rPr>
          <w:rFonts w:eastAsia="Times New Roman" w:cstheme="minorHAnsi"/>
          <w:color w:val="333333"/>
        </w:rPr>
        <w:t xml:space="preserve"> for </w:t>
      </w:r>
      <w:r w:rsidR="005B46A0" w:rsidRPr="001564F4">
        <w:rPr>
          <w:rFonts w:eastAsia="Times New Roman" w:cstheme="minorHAnsi"/>
          <w:i/>
          <w:iCs/>
          <w:color w:val="333333"/>
        </w:rPr>
        <w:t>Drosophila melanogaster</w:t>
      </w:r>
      <w:r w:rsidR="005B46A0">
        <w:rPr>
          <w:rFonts w:eastAsia="Times New Roman" w:cstheme="minorHAnsi"/>
          <w:color w:val="333333"/>
        </w:rPr>
        <w:t>, w</w:t>
      </w:r>
      <w:r w:rsidR="00875AA8">
        <w:rPr>
          <w:rFonts w:eastAsia="Times New Roman" w:cstheme="minorHAnsi"/>
          <w:color w:val="333333"/>
        </w:rPr>
        <w:t xml:space="preserve">e compiled </w:t>
      </w:r>
      <w:r w:rsidR="00013A49">
        <w:rPr>
          <w:rFonts w:eastAsia="Times New Roman" w:cstheme="minorHAnsi"/>
          <w:color w:val="333333"/>
        </w:rPr>
        <w:t>a transcriptome (RNA-Seq)</w:t>
      </w:r>
      <w:r w:rsidR="005B46A0">
        <w:rPr>
          <w:rFonts w:eastAsia="Times New Roman" w:cstheme="minorHAnsi"/>
          <w:color w:val="333333"/>
        </w:rPr>
        <w:t xml:space="preserve"> dataset from public databases.  </w:t>
      </w:r>
      <w:r w:rsidR="001564F4">
        <w:rPr>
          <w:rFonts w:eastAsia="Times New Roman" w:cstheme="minorHAnsi"/>
          <w:color w:val="333333"/>
        </w:rPr>
        <w:t xml:space="preserve">A model developed with </w:t>
      </w:r>
      <w:r w:rsidR="002C1618">
        <w:rPr>
          <w:rFonts w:eastAsia="Times New Roman" w:cstheme="minorHAnsi"/>
          <w:color w:val="333333"/>
        </w:rPr>
        <w:t>e</w:t>
      </w:r>
      <w:r w:rsidR="001564F4">
        <w:rPr>
          <w:rFonts w:eastAsia="Times New Roman" w:cstheme="minorHAnsi"/>
          <w:color w:val="333333"/>
        </w:rPr>
        <w:t xml:space="preserve">lastic </w:t>
      </w:r>
      <w:r w:rsidR="002C1618">
        <w:rPr>
          <w:rFonts w:eastAsia="Times New Roman" w:cstheme="minorHAnsi"/>
          <w:color w:val="333333"/>
        </w:rPr>
        <w:t>n</w:t>
      </w:r>
      <w:r w:rsidR="001564F4">
        <w:rPr>
          <w:rFonts w:eastAsia="Times New Roman" w:cstheme="minorHAnsi"/>
          <w:color w:val="333333"/>
        </w:rPr>
        <w:t xml:space="preserve">et was able to predict </w:t>
      </w:r>
      <w:r w:rsidR="00D60BD2">
        <w:rPr>
          <w:rFonts w:eastAsia="Times New Roman" w:cstheme="minorHAnsi"/>
          <w:color w:val="333333"/>
        </w:rPr>
        <w:t xml:space="preserve">the age with an absolute mean error </w:t>
      </w:r>
      <w:r w:rsidR="00D16DDF">
        <w:rPr>
          <w:rFonts w:eastAsia="Times New Roman" w:cstheme="minorHAnsi"/>
          <w:color w:val="333333"/>
        </w:rPr>
        <w:t xml:space="preserve">(AME) </w:t>
      </w:r>
      <w:r w:rsidR="00D60BD2">
        <w:rPr>
          <w:rFonts w:eastAsia="Times New Roman" w:cstheme="minorHAnsi"/>
          <w:color w:val="333333"/>
        </w:rPr>
        <w:t>of about 2.5 days</w:t>
      </w:r>
      <w:r w:rsidR="000A317C">
        <w:rPr>
          <w:rFonts w:eastAsia="Times New Roman" w:cstheme="minorHAnsi"/>
          <w:color w:val="333333"/>
        </w:rPr>
        <w:t>, roughly equivalent to 4 years in human lifespan</w:t>
      </w:r>
      <w:r w:rsidR="00D60BD2">
        <w:rPr>
          <w:rFonts w:eastAsia="Times New Roman" w:cstheme="minorHAnsi"/>
          <w:color w:val="333333"/>
        </w:rPr>
        <w:t xml:space="preserve">. </w:t>
      </w:r>
      <w:r w:rsidR="008132E5">
        <w:rPr>
          <w:rFonts w:eastAsia="Times New Roman" w:cstheme="minorHAnsi"/>
          <w:color w:val="333333"/>
        </w:rPr>
        <w:t>Interestingly</w:t>
      </w:r>
      <w:r w:rsidR="00ED608E">
        <w:rPr>
          <w:rFonts w:eastAsia="Times New Roman" w:cstheme="minorHAnsi"/>
          <w:color w:val="333333"/>
        </w:rPr>
        <w:t xml:space="preserve">, a </w:t>
      </w:r>
      <w:r w:rsidR="00D16DDF">
        <w:rPr>
          <w:rFonts w:eastAsia="Times New Roman" w:cstheme="minorHAnsi"/>
          <w:color w:val="333333"/>
        </w:rPr>
        <w:t xml:space="preserve">neural network </w:t>
      </w:r>
      <w:r w:rsidR="00ED608E">
        <w:rPr>
          <w:rFonts w:eastAsia="Times New Roman" w:cstheme="minorHAnsi"/>
          <w:color w:val="333333"/>
        </w:rPr>
        <w:t xml:space="preserve">model </w:t>
      </w:r>
      <w:r w:rsidR="00D16DDF">
        <w:rPr>
          <w:rFonts w:eastAsia="Times New Roman" w:cstheme="minorHAnsi"/>
          <w:color w:val="333333"/>
        </w:rPr>
        <w:t xml:space="preserve">was able to achieve </w:t>
      </w:r>
      <w:r w:rsidR="008132E5">
        <w:rPr>
          <w:rFonts w:eastAsia="Times New Roman" w:cstheme="minorHAnsi"/>
          <w:color w:val="333333"/>
        </w:rPr>
        <w:t xml:space="preserve">very similar predictive power. </w:t>
      </w:r>
      <w:r w:rsidR="00D60BD2">
        <w:rPr>
          <w:rFonts w:eastAsia="Times New Roman" w:cstheme="minorHAnsi"/>
          <w:color w:val="333333"/>
        </w:rPr>
        <w:t>This model</w:t>
      </w:r>
      <w:r w:rsidR="008132E5">
        <w:rPr>
          <w:rFonts w:eastAsia="Times New Roman" w:cstheme="minorHAnsi"/>
          <w:color w:val="333333"/>
        </w:rPr>
        <w:t>-based biological age assessment</w:t>
      </w:r>
      <w:r w:rsidR="00D60BD2">
        <w:rPr>
          <w:rFonts w:eastAsia="Times New Roman" w:cstheme="minorHAnsi"/>
          <w:color w:val="333333"/>
        </w:rPr>
        <w:t xml:space="preserve"> is applicable for RNAs extracted from whole body</w:t>
      </w:r>
      <w:r w:rsidR="000A317C">
        <w:rPr>
          <w:rFonts w:eastAsia="Times New Roman" w:cstheme="minorHAnsi"/>
          <w:color w:val="333333"/>
        </w:rPr>
        <w:t>,</w:t>
      </w:r>
      <w:r w:rsidR="00D60BD2">
        <w:rPr>
          <w:rFonts w:eastAsia="Times New Roman" w:cstheme="minorHAnsi"/>
          <w:color w:val="333333"/>
        </w:rPr>
        <w:t xml:space="preserve"> head</w:t>
      </w:r>
      <w:r w:rsidR="00720DF4">
        <w:rPr>
          <w:rFonts w:eastAsia="Times New Roman" w:cstheme="minorHAnsi"/>
          <w:color w:val="333333"/>
        </w:rPr>
        <w:t>s</w:t>
      </w:r>
      <w:r w:rsidR="00D60BD2">
        <w:rPr>
          <w:rFonts w:eastAsia="Times New Roman" w:cstheme="minorHAnsi"/>
          <w:color w:val="333333"/>
        </w:rPr>
        <w:t xml:space="preserve">, </w:t>
      </w:r>
      <w:r w:rsidR="000A317C">
        <w:rPr>
          <w:rFonts w:eastAsia="Times New Roman" w:cstheme="minorHAnsi"/>
          <w:color w:val="333333"/>
        </w:rPr>
        <w:t xml:space="preserve">or </w:t>
      </w:r>
      <w:r w:rsidR="00720DF4">
        <w:rPr>
          <w:rFonts w:eastAsia="Times New Roman" w:cstheme="minorHAnsi"/>
          <w:color w:val="333333"/>
        </w:rPr>
        <w:t xml:space="preserve">headless </w:t>
      </w:r>
      <w:r w:rsidR="000A317C">
        <w:rPr>
          <w:rFonts w:eastAsia="Times New Roman" w:cstheme="minorHAnsi"/>
          <w:color w:val="333333"/>
        </w:rPr>
        <w:t>bod</w:t>
      </w:r>
      <w:r w:rsidR="00720DF4">
        <w:rPr>
          <w:rFonts w:eastAsia="Times New Roman" w:cstheme="minorHAnsi"/>
          <w:color w:val="333333"/>
        </w:rPr>
        <w:t>ies of either</w:t>
      </w:r>
      <w:r w:rsidR="008B0958">
        <w:rPr>
          <w:rFonts w:eastAsia="Times New Roman" w:cstheme="minorHAnsi"/>
          <w:color w:val="333333"/>
        </w:rPr>
        <w:t xml:space="preserve"> sex. Genes identified by the machine learning approach implicated </w:t>
      </w:r>
      <w:r w:rsidR="00352D7B">
        <w:rPr>
          <w:rFonts w:eastAsia="Times New Roman" w:cstheme="minorHAnsi"/>
          <w:color w:val="333333"/>
        </w:rPr>
        <w:t xml:space="preserve">the expression level of </w:t>
      </w:r>
      <w:r w:rsidR="008B0958">
        <w:rPr>
          <w:rFonts w:eastAsia="Times New Roman" w:cstheme="minorHAnsi"/>
          <w:color w:val="333333"/>
        </w:rPr>
        <w:t>innate immune genes as the most significant predictors for biological agi</w:t>
      </w:r>
      <w:r w:rsidR="000A317C">
        <w:rPr>
          <w:rFonts w:eastAsia="Times New Roman" w:cstheme="minorHAnsi"/>
          <w:color w:val="333333"/>
        </w:rPr>
        <w:t>ng</w:t>
      </w:r>
      <w:r w:rsidR="008B0958">
        <w:rPr>
          <w:rFonts w:eastAsia="Times New Roman" w:cstheme="minorHAnsi"/>
          <w:color w:val="333333"/>
        </w:rPr>
        <w:t xml:space="preserve">. </w:t>
      </w:r>
    </w:p>
    <w:p w14:paraId="4BDFA6E7" w14:textId="3FDECEBB" w:rsidR="004B27CD" w:rsidRPr="004B27CD" w:rsidRDefault="004B27CD" w:rsidP="004B27CD">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t>Keywords</w:t>
      </w:r>
      <w:r w:rsidR="007330A4">
        <w:rPr>
          <w:rFonts w:ascii="Trebuchet MS" w:eastAsia="Times New Roman" w:hAnsi="Trebuchet MS" w:cs="Segoe UI"/>
          <w:b/>
          <w:bCs/>
          <w:color w:val="1B3051"/>
          <w:sz w:val="27"/>
          <w:szCs w:val="27"/>
        </w:rPr>
        <w:t xml:space="preserve"> (3-10)</w:t>
      </w:r>
    </w:p>
    <w:p w14:paraId="42AE44AD" w14:textId="0F39F474" w:rsidR="00F36003" w:rsidRPr="008B0958" w:rsidRDefault="00F36003" w:rsidP="004B27CD">
      <w:pPr>
        <w:shd w:val="clear" w:color="auto" w:fill="FFFFFF"/>
        <w:spacing w:after="168"/>
        <w:outlineLvl w:val="2"/>
        <w:rPr>
          <w:rFonts w:eastAsia="Times New Roman" w:cstheme="minorHAnsi"/>
          <w:b/>
          <w:bCs/>
          <w:color w:val="1B3051"/>
        </w:rPr>
      </w:pPr>
      <w:r w:rsidRPr="008B0958">
        <w:rPr>
          <w:rFonts w:eastAsia="Times New Roman" w:cstheme="minorHAnsi"/>
          <w:color w:val="1B3051"/>
        </w:rPr>
        <w:t>Inflammaging,</w:t>
      </w:r>
      <w:r w:rsidRPr="008B0958">
        <w:rPr>
          <w:rFonts w:eastAsia="Times New Roman" w:cstheme="minorHAnsi"/>
          <w:b/>
          <w:bCs/>
          <w:color w:val="1B3051"/>
        </w:rPr>
        <w:t xml:space="preserve"> </w:t>
      </w:r>
      <w:r w:rsidRPr="008B0958">
        <w:rPr>
          <w:rFonts w:eastAsia="Times New Roman" w:cstheme="minorHAnsi"/>
          <w:color w:val="1B3051"/>
        </w:rPr>
        <w:t>elastic net</w:t>
      </w:r>
      <w:r w:rsidRPr="008B0958">
        <w:rPr>
          <w:rFonts w:eastAsia="Times New Roman" w:cstheme="minorHAnsi"/>
          <w:b/>
          <w:bCs/>
          <w:color w:val="1B3051"/>
        </w:rPr>
        <w:t xml:space="preserve">, </w:t>
      </w:r>
      <w:r w:rsidRPr="008B0958">
        <w:rPr>
          <w:rFonts w:eastAsia="Times New Roman" w:cstheme="minorHAnsi"/>
          <w:color w:val="1B3051"/>
        </w:rPr>
        <w:t>RNA-Seq</w:t>
      </w:r>
      <w:r w:rsidRPr="008B0958">
        <w:rPr>
          <w:rFonts w:eastAsia="Times New Roman" w:cstheme="minorHAnsi"/>
          <w:b/>
          <w:bCs/>
          <w:color w:val="1B3051"/>
        </w:rPr>
        <w:t xml:space="preserve">, </w:t>
      </w:r>
      <w:r w:rsidRPr="008B0958">
        <w:rPr>
          <w:rFonts w:eastAsia="Times New Roman" w:cstheme="minorHAnsi"/>
          <w:color w:val="1B3051"/>
        </w:rPr>
        <w:t>inflammatory age</w:t>
      </w:r>
      <w:r w:rsidR="008B0958">
        <w:rPr>
          <w:rFonts w:eastAsia="Times New Roman" w:cstheme="minorHAnsi"/>
          <w:color w:val="1B3051"/>
        </w:rPr>
        <w:t>, Drosophila</w:t>
      </w:r>
    </w:p>
    <w:p w14:paraId="76CE38F2" w14:textId="77777777" w:rsidR="00F36003" w:rsidRDefault="00F36003" w:rsidP="004B27CD">
      <w:pPr>
        <w:shd w:val="clear" w:color="auto" w:fill="FFFFFF"/>
        <w:spacing w:after="168"/>
        <w:outlineLvl w:val="2"/>
        <w:rPr>
          <w:rFonts w:ascii="Trebuchet MS" w:eastAsia="Times New Roman" w:hAnsi="Trebuchet MS" w:cs="Segoe UI"/>
          <w:b/>
          <w:bCs/>
          <w:color w:val="1B3051"/>
          <w:sz w:val="27"/>
          <w:szCs w:val="27"/>
        </w:rPr>
      </w:pPr>
    </w:p>
    <w:p w14:paraId="62BE6781" w14:textId="77777777" w:rsidR="00DB6087" w:rsidRDefault="00DB6087">
      <w:pPr>
        <w:rPr>
          <w:rFonts w:ascii="Trebuchet MS" w:eastAsia="Times New Roman" w:hAnsi="Trebuchet MS" w:cs="Segoe UI"/>
          <w:b/>
          <w:bCs/>
          <w:color w:val="1B3051"/>
          <w:sz w:val="27"/>
          <w:szCs w:val="27"/>
        </w:rPr>
      </w:pPr>
      <w:r>
        <w:rPr>
          <w:rFonts w:ascii="Trebuchet MS" w:eastAsia="Times New Roman" w:hAnsi="Trebuchet MS" w:cs="Segoe UI"/>
          <w:b/>
          <w:bCs/>
          <w:color w:val="1B3051"/>
          <w:sz w:val="27"/>
          <w:szCs w:val="27"/>
        </w:rPr>
        <w:br w:type="page"/>
      </w:r>
    </w:p>
    <w:p w14:paraId="0FF4A3C4" w14:textId="3DC25186" w:rsidR="004B27CD" w:rsidRPr="004B27CD" w:rsidRDefault="004B27CD" w:rsidP="004B27CD">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lastRenderedPageBreak/>
        <w:t>Background</w:t>
      </w:r>
    </w:p>
    <w:p w14:paraId="373B4E8D" w14:textId="244DFC14" w:rsidR="004B27CD" w:rsidRPr="005B46A0" w:rsidRDefault="005B46A0" w:rsidP="004B27CD">
      <w:pPr>
        <w:shd w:val="clear" w:color="auto" w:fill="FFFFFF"/>
        <w:spacing w:after="360"/>
        <w:rPr>
          <w:rFonts w:ascii="Segoe UI" w:eastAsia="Times New Roman" w:hAnsi="Segoe UI" w:cs="Segoe UI"/>
          <w:i/>
          <w:iCs/>
          <w:color w:val="333333"/>
          <w:sz w:val="20"/>
          <w:szCs w:val="20"/>
        </w:rPr>
      </w:pPr>
      <w:r>
        <w:rPr>
          <w:rFonts w:ascii="Segoe UI" w:eastAsia="Times New Roman" w:hAnsi="Segoe UI" w:cs="Segoe UI"/>
          <w:i/>
          <w:iCs/>
          <w:color w:val="333333"/>
          <w:sz w:val="20"/>
          <w:szCs w:val="20"/>
        </w:rPr>
        <w:t>(</w:t>
      </w:r>
      <w:r w:rsidR="004B27CD" w:rsidRPr="005B46A0">
        <w:rPr>
          <w:rFonts w:ascii="Segoe UI" w:eastAsia="Times New Roman" w:hAnsi="Segoe UI" w:cs="Segoe UI"/>
          <w:i/>
          <w:iCs/>
          <w:color w:val="333333"/>
          <w:sz w:val="20"/>
          <w:szCs w:val="20"/>
        </w:rPr>
        <w:t>A short background section should be included of no more than 300 words.</w:t>
      </w:r>
      <w:r>
        <w:rPr>
          <w:rFonts w:ascii="Segoe UI" w:eastAsia="Times New Roman" w:hAnsi="Segoe UI" w:cs="Segoe UI"/>
          <w:i/>
          <w:iCs/>
          <w:color w:val="333333"/>
          <w:sz w:val="20"/>
          <w:szCs w:val="20"/>
        </w:rPr>
        <w:t>)</w:t>
      </w:r>
    </w:p>
    <w:p w14:paraId="59201638" w14:textId="4F1AED82" w:rsidR="007330A4" w:rsidRDefault="00884F64" w:rsidP="004B27CD">
      <w:pPr>
        <w:shd w:val="clear" w:color="auto" w:fill="FFFFFF"/>
        <w:spacing w:after="168"/>
        <w:outlineLvl w:val="2"/>
        <w:rPr>
          <w:rFonts w:eastAsia="Times New Roman" w:cstheme="minorHAnsi"/>
          <w:color w:val="333333"/>
        </w:rPr>
      </w:pPr>
      <w:r>
        <w:rPr>
          <w:rFonts w:eastAsia="Times New Roman" w:cstheme="minorHAnsi"/>
          <w:color w:val="333333"/>
        </w:rPr>
        <w:t xml:space="preserve">Evaluation of the biological age is of </w:t>
      </w:r>
      <w:r w:rsidR="00137F5F">
        <w:rPr>
          <w:rFonts w:eastAsia="Times New Roman" w:cstheme="minorHAnsi"/>
          <w:color w:val="333333"/>
        </w:rPr>
        <w:t>significant</w:t>
      </w:r>
      <w:r>
        <w:rPr>
          <w:rFonts w:eastAsia="Times New Roman" w:cstheme="minorHAnsi"/>
          <w:color w:val="333333"/>
        </w:rPr>
        <w:t xml:space="preserve"> interest and utility for aging research.   </w:t>
      </w:r>
      <w:r w:rsidR="005B46A0">
        <w:rPr>
          <w:rFonts w:eastAsia="Times New Roman" w:cstheme="minorHAnsi"/>
          <w:color w:val="333333"/>
        </w:rPr>
        <w:t xml:space="preserve">In mammalian models, </w:t>
      </w:r>
      <w:r w:rsidR="005B46A0" w:rsidRPr="00107D55">
        <w:rPr>
          <w:rFonts w:eastAsia="Times New Roman" w:cstheme="minorHAnsi"/>
          <w:color w:val="333333"/>
        </w:rPr>
        <w:t>DNA me</w:t>
      </w:r>
      <w:r w:rsidR="005B46A0">
        <w:rPr>
          <w:rFonts w:eastAsia="Times New Roman" w:cstheme="minorHAnsi"/>
          <w:color w:val="333333"/>
        </w:rPr>
        <w:t>thylation</w:t>
      </w:r>
      <w:r w:rsidR="00034149">
        <w:rPr>
          <w:rFonts w:eastAsia="Times New Roman" w:cstheme="minorHAnsi"/>
          <w:color w:val="333333"/>
        </w:rPr>
        <w:t xml:space="preserve"> levels in selected </w:t>
      </w:r>
      <w:r w:rsidR="00F608D4">
        <w:rPr>
          <w:rFonts w:eastAsia="Times New Roman" w:cstheme="minorHAnsi"/>
          <w:color w:val="333333"/>
        </w:rPr>
        <w:t xml:space="preserve">CpG </w:t>
      </w:r>
      <w:r w:rsidR="00034149">
        <w:rPr>
          <w:rFonts w:eastAsia="Times New Roman" w:cstheme="minorHAnsi"/>
          <w:color w:val="333333"/>
        </w:rPr>
        <w:t>loci are considered as the most reliable estimators of biological ag</w:t>
      </w:r>
      <w:r w:rsidR="00137F5F">
        <w:rPr>
          <w:rFonts w:eastAsia="Times New Roman" w:cstheme="minorHAnsi"/>
          <w:color w:val="333333"/>
        </w:rPr>
        <w:t>e</w:t>
      </w:r>
      <w:r w:rsidR="00034149">
        <w:rPr>
          <w:rFonts w:eastAsia="Times New Roman" w:cstheme="minorHAnsi"/>
          <w:color w:val="333333"/>
        </w:rPr>
        <w:t xml:space="preserve"> </w:t>
      </w:r>
      <w:r w:rsidR="00CE46DC">
        <w:rPr>
          <w:rFonts w:eastAsia="Times New Roman" w:cstheme="minorHAnsi"/>
          <w:color w:val="333333"/>
        </w:rPr>
        <w:fldChar w:fldCharType="begin" w:fldLock="1"/>
      </w:r>
      <w:r w:rsidR="00CE46DC">
        <w:rPr>
          <w:rFonts w:eastAsia="Times New Roman" w:cstheme="minorHAnsi"/>
          <w:color w:val="333333"/>
        </w:rPr>
        <w:instrText>ADDIN CSL_CITATION {"citationItems":[{"id":"ITEM-1","itemData":{"DOI":"10.1038/s41576-018-0004-3","ISSN":"14710064","PMID":"29643443","abstract":"Identifying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age?","author":[{"dropping-particle":"","family":"Horvath","given":"Steve","non-dropping-particle":"","parse-names":false,"suffix":""},{"dropping-particle":"","family":"Raj","given":"Kenneth","non-dropping-particle":"","parse-names":false,"suffix":""}],"container-title":"Nature Reviews Genetics","id":"ITEM-1","issue":"6","issued":{"date-parts":[["2018"]]},"page":"371-384","publisher":"Springer US","title":"DNA methylation-based biomarkers and the epigenetic clock theory of ageing","type":"article-journal","volume":"19"},"uris":["http://www.mendeley.com/documents/?uuid=c975e2d0-0b91-49d6-a755-17795af082da"]},{"id":"ITEM-2","itemData":{"DOI":"10.1186/s13059-015-0649-6","abstract":"Background: It is not yet known whether DNA methylation levels can be used to accurately predict age across a broad spectrum of human tissues and cell types, nor whether the resulting age prediction is a biologically meaningful measure.","author":[{"dropping-particle":"","family":"Horvath","given":"Steve","non-dropping-particle":"","parse-names":false,"suffix":""}],"container-title":"Genome Biology","id":"ITEM-2","issue":"1","issued":{"date-parts":[["2015"]]},"title":"DNA methylation age of human tissues and cell types","type":"article-journal","volume":"16"},"uris":["http://www.mendeley.com/documents/?uuid=620b4044-17c8-4dfd-9e3a-d84bfa3aaf6b"]}],"mendeley":{"formattedCitation":"[1,2]","plainTextFormattedCitation":"[1,2]","previouslyFormattedCitation":"[1,2]"},"properties":{"noteIndex":0},"schema":"https://github.com/citation-style-language/schema/raw/master/csl-citation.json"}</w:instrText>
      </w:r>
      <w:r w:rsidR="00CE46DC">
        <w:rPr>
          <w:rFonts w:eastAsia="Times New Roman" w:cstheme="minorHAnsi"/>
          <w:color w:val="333333"/>
        </w:rPr>
        <w:fldChar w:fldCharType="separate"/>
      </w:r>
      <w:r w:rsidR="00CE46DC" w:rsidRPr="00CE46DC">
        <w:rPr>
          <w:rFonts w:eastAsia="Times New Roman" w:cstheme="minorHAnsi"/>
          <w:noProof/>
          <w:color w:val="333333"/>
        </w:rPr>
        <w:t>[1,2]</w:t>
      </w:r>
      <w:r w:rsidR="00CE46DC">
        <w:rPr>
          <w:rFonts w:eastAsia="Times New Roman" w:cstheme="minorHAnsi"/>
          <w:color w:val="333333"/>
        </w:rPr>
        <w:fldChar w:fldCharType="end"/>
      </w:r>
      <w:r w:rsidR="005B46A0">
        <w:rPr>
          <w:rFonts w:eastAsia="Times New Roman" w:cstheme="minorHAnsi"/>
          <w:color w:val="333333"/>
        </w:rPr>
        <w:t xml:space="preserve">.  </w:t>
      </w:r>
      <w:r w:rsidR="00D10AF1">
        <w:rPr>
          <w:rFonts w:eastAsia="Times New Roman" w:cstheme="minorHAnsi"/>
          <w:color w:val="333333"/>
        </w:rPr>
        <w:t xml:space="preserve">However, </w:t>
      </w:r>
      <w:r w:rsidR="005B46A0">
        <w:rPr>
          <w:rFonts w:eastAsia="Times New Roman" w:cstheme="minorHAnsi"/>
          <w:color w:val="333333"/>
        </w:rPr>
        <w:t xml:space="preserve">DNA methylation </w:t>
      </w:r>
      <w:r w:rsidR="00F608D4">
        <w:rPr>
          <w:rFonts w:eastAsia="Times New Roman" w:cstheme="minorHAnsi"/>
          <w:color w:val="333333"/>
        </w:rPr>
        <w:t>is absent in</w:t>
      </w:r>
      <w:r w:rsidR="005B46A0">
        <w:rPr>
          <w:rFonts w:eastAsia="Times New Roman" w:cstheme="minorHAnsi"/>
          <w:color w:val="333333"/>
        </w:rPr>
        <w:t xml:space="preserve"> the model organism</w:t>
      </w:r>
      <w:r w:rsidR="00D10AF1">
        <w:rPr>
          <w:rFonts w:eastAsia="Times New Roman" w:cstheme="minorHAnsi"/>
          <w:color w:val="333333"/>
        </w:rPr>
        <w:t>s such as</w:t>
      </w:r>
      <w:r w:rsidR="005B46A0">
        <w:rPr>
          <w:rFonts w:eastAsia="Times New Roman" w:cstheme="minorHAnsi"/>
          <w:color w:val="333333"/>
        </w:rPr>
        <w:t xml:space="preserve"> </w:t>
      </w:r>
      <w:r w:rsidR="005B46A0" w:rsidRPr="00034149">
        <w:rPr>
          <w:rFonts w:eastAsia="Times New Roman" w:cstheme="minorHAnsi"/>
          <w:i/>
          <w:iCs/>
          <w:color w:val="333333"/>
        </w:rPr>
        <w:t>Drosophila melanogaster</w:t>
      </w:r>
      <w:r w:rsidR="00D10AF1">
        <w:rPr>
          <w:rFonts w:eastAsia="Times New Roman" w:cstheme="minorHAnsi"/>
          <w:i/>
          <w:iCs/>
          <w:color w:val="333333"/>
        </w:rPr>
        <w:t xml:space="preserve"> </w:t>
      </w:r>
      <w:r w:rsidR="00D10AF1" w:rsidRPr="00D10AF1">
        <w:rPr>
          <w:rFonts w:eastAsia="Times New Roman" w:cstheme="minorHAnsi"/>
          <w:color w:val="333333"/>
        </w:rPr>
        <w:t>and</w:t>
      </w:r>
      <w:r w:rsidR="00D10AF1">
        <w:rPr>
          <w:rFonts w:eastAsia="Times New Roman" w:cstheme="minorHAnsi"/>
          <w:i/>
          <w:iCs/>
          <w:color w:val="333333"/>
        </w:rPr>
        <w:t xml:space="preserve"> C. elegans </w:t>
      </w:r>
      <w:r w:rsidR="00D10AF1">
        <w:rPr>
          <w:rFonts w:eastAsia="Times New Roman" w:cstheme="minorHAnsi"/>
          <w:color w:val="333333"/>
        </w:rPr>
        <w:fldChar w:fldCharType="begin" w:fldLock="1"/>
      </w:r>
      <w:r w:rsidR="005B1DC7">
        <w:rPr>
          <w:rFonts w:eastAsia="Times New Roman" w:cstheme="minorHAnsi"/>
          <w:color w:val="333333"/>
        </w:rPr>
        <w:instrText>ADDIN CSL_CITATION {"citationItems":[{"id":"ITEM-1","itemData":{"DOI":"10.1007/s00239-021-10042-0","ISBN":"0023902110042","ISSN":"14321432","PMID":"35089376","abstract":"DNA methylation is a crucial, abundant mechanism of gene regulation in vertebrates. It is less prevalent in many other metazoan organisms and completely absent in some key model species, such as Drosophila melanogaster and Caenorhabditis elegans. We report here a comprehensive study of the presence and absence of DNA methyltransferases (DNMTs) in 138 Ecdysozoa, covering Arthropoda, Nematoda, Priapulida, Onychophora, and Tardigrada. Three of these phyla have not been investigated for the presence of DNA methylation before. We observe that the loss of individual DNMTs independently occurred multiple times across ecdysozoan phyla. We computationally predict the presence of DNA methylation based on CpG rates in coding sequences using an implementation of Gaussian Mixture Modeling, MethMod. Integrating both analysis we predict two previously unknown losses of DNA methylation in Ecdysozoa, one within Chelicerata (Mesostigmata) and one in Tardigrada. In the early-branching Ecdysozoa Priapulus caudatus, we predict the presence of a full set of DNMTs and the presence of DNA methylation. We are therefore showing a very diverse and independent evolution of DNA methylation in different ecdysozoan phyla spanning a phylogenetic range of more than 700 million years.","author":[{"dropping-particle":"","family":"Engelhardt","given":"Jan","non-dropping-particle":"","parse-names":false,"suffix":""},{"dropping-particle":"","family":"Scheer","given":"Oliver","non-dropping-particle":"","parse-names":false,"suffix":""},{"dropping-particle":"","family":"Stadler","given":"Peter F.","non-dropping-particle":"","parse-names":false,"suffix":""},{"dropping-particle":"","family":"Prohaska","given":"Sonja J.","non-dropping-particle":"","parse-names":false,"suffix":""}],"container-title":"Journal of Molecular Evolution","id":"ITEM-1","issue":"1","issued":{"date-parts":[["2022"]]},"page":"56-72","publisher":"Springer US","title":"Evolution of DNA Methylation Across Ecdysozoa","type":"article-journal","volume":"90"},"uris":["http://www.mendeley.com/documents/?uuid=159a7451-c922-41dc-b13e-34e808763dd9"]}],"mendeley":{"formattedCitation":"[3]","plainTextFormattedCitation":"[3]","previouslyFormattedCitation":"[3]"},"properties":{"noteIndex":0},"schema":"https://github.com/citation-style-language/schema/raw/master/csl-citation.json"}</w:instrText>
      </w:r>
      <w:r w:rsidR="00D10AF1">
        <w:rPr>
          <w:rFonts w:eastAsia="Times New Roman" w:cstheme="minorHAnsi"/>
          <w:color w:val="333333"/>
        </w:rPr>
        <w:fldChar w:fldCharType="separate"/>
      </w:r>
      <w:r w:rsidR="00D10AF1" w:rsidRPr="00D10AF1">
        <w:rPr>
          <w:rFonts w:eastAsia="Times New Roman" w:cstheme="minorHAnsi"/>
          <w:noProof/>
          <w:color w:val="333333"/>
        </w:rPr>
        <w:t>[3]</w:t>
      </w:r>
      <w:r w:rsidR="00D10AF1">
        <w:rPr>
          <w:rFonts w:eastAsia="Times New Roman" w:cstheme="minorHAnsi"/>
          <w:color w:val="333333"/>
        </w:rPr>
        <w:fldChar w:fldCharType="end"/>
      </w:r>
      <w:r w:rsidR="00D10AF1">
        <w:rPr>
          <w:rFonts w:eastAsia="Times New Roman" w:cstheme="minorHAnsi"/>
          <w:color w:val="333333"/>
        </w:rPr>
        <w:t>.</w:t>
      </w:r>
      <w:r>
        <w:rPr>
          <w:rFonts w:eastAsia="Times New Roman" w:cstheme="minorHAnsi"/>
          <w:color w:val="333333"/>
        </w:rPr>
        <w:t xml:space="preserve">  </w:t>
      </w:r>
    </w:p>
    <w:p w14:paraId="522EFA3F" w14:textId="2EE90118" w:rsidR="00034149" w:rsidRDefault="000410CA" w:rsidP="004B27CD">
      <w:pPr>
        <w:shd w:val="clear" w:color="auto" w:fill="FFFFFF"/>
        <w:spacing w:after="168"/>
        <w:outlineLvl w:val="2"/>
        <w:rPr>
          <w:rFonts w:eastAsia="Times New Roman" w:cstheme="minorHAnsi"/>
          <w:color w:val="333333"/>
        </w:rPr>
      </w:pPr>
      <w:r>
        <w:rPr>
          <w:rFonts w:eastAsia="Times New Roman" w:cstheme="minorHAnsi"/>
          <w:color w:val="333333"/>
        </w:rPr>
        <w:t>The fruit fly</w:t>
      </w:r>
      <w:r w:rsidR="00034149">
        <w:rPr>
          <w:rFonts w:eastAsia="Times New Roman" w:cstheme="minorHAnsi"/>
          <w:color w:val="333333"/>
        </w:rPr>
        <w:t xml:space="preserve"> </w:t>
      </w:r>
      <w:r>
        <w:rPr>
          <w:rFonts w:eastAsia="Times New Roman" w:cstheme="minorHAnsi"/>
          <w:color w:val="333333"/>
        </w:rPr>
        <w:t xml:space="preserve">model </w:t>
      </w:r>
      <w:r w:rsidR="00034149">
        <w:rPr>
          <w:rFonts w:eastAsia="Times New Roman" w:cstheme="minorHAnsi"/>
          <w:color w:val="333333"/>
        </w:rPr>
        <w:t xml:space="preserve">has been used extensively to study </w:t>
      </w:r>
      <w:r>
        <w:rPr>
          <w:rFonts w:eastAsia="Times New Roman" w:cstheme="minorHAnsi"/>
          <w:color w:val="333333"/>
        </w:rPr>
        <w:t>the basic mechanism</w:t>
      </w:r>
      <w:r w:rsidR="00613141">
        <w:rPr>
          <w:rFonts w:eastAsia="Times New Roman" w:cstheme="minorHAnsi"/>
          <w:color w:val="333333"/>
        </w:rPr>
        <w:t>s</w:t>
      </w:r>
      <w:r>
        <w:rPr>
          <w:rFonts w:eastAsia="Times New Roman" w:cstheme="minorHAnsi"/>
          <w:color w:val="333333"/>
        </w:rPr>
        <w:t xml:space="preserve"> of </w:t>
      </w:r>
      <w:r w:rsidR="00034149">
        <w:rPr>
          <w:rFonts w:eastAsia="Times New Roman" w:cstheme="minorHAnsi"/>
          <w:color w:val="333333"/>
        </w:rPr>
        <w:t xml:space="preserve">aging and </w:t>
      </w:r>
      <w:r>
        <w:rPr>
          <w:rFonts w:eastAsia="Times New Roman" w:cstheme="minorHAnsi"/>
          <w:color w:val="333333"/>
        </w:rPr>
        <w:t>aging -related diseases</w:t>
      </w:r>
      <w:r w:rsidR="00613141">
        <w:rPr>
          <w:rFonts w:eastAsia="Times New Roman" w:cstheme="minorHAnsi"/>
          <w:color w:val="333333"/>
        </w:rPr>
        <w:t xml:space="preserve"> </w:t>
      </w:r>
      <w:r w:rsidR="00903074">
        <w:rPr>
          <w:rFonts w:eastAsia="Times New Roman" w:cstheme="minorHAnsi"/>
          <w:color w:val="333333"/>
        </w:rPr>
        <w:fldChar w:fldCharType="begin" w:fldLock="1"/>
      </w:r>
      <w:r w:rsidR="005B1DC7">
        <w:rPr>
          <w:rFonts w:eastAsia="Times New Roman" w:cstheme="minorHAnsi"/>
          <w:color w:val="333333"/>
        </w:rPr>
        <w:instrText>ADDIN CSL_CITATION {"citationItems":[{"id":"ITEM-1","itemData":{"DOI":"10.18632/aging.100499","ISSN":"1945-4589","PMID":"23211361","abstract":"Gene expression changes in response to aging, heat stress, hyperoxia, hydrogen peroxide, and ionizing radiation were compared using microarrays. A set of 18 genes were up-regulated across all conditions, indicating a general stress response shared with aging, including the heat shock protein (Hsp) genes Hsp70, Hsp83 and l(2)efl, the glutathione-S-transferase gene GstD2, and the mitochondrial unfolded protein response (mUPR) gene ref(2)P. Selected gene expression changes were confirmed using quantitative PCR, Northern analysis and GstD-GFP reporter constructs. Certain genes were altered in only a subset of the conditions, for example, up-regulation of numerous developmental pathway and signaling genes in response to hydrogen peroxide. While aging shared features with each stress, aging was more similar to the stresses most associated with oxidative stress (hyperoxia, hydrogen peroxide, ionizing radiation) than to heat stress. Aging is associated with down-regulation of numerous mitochondrial genes, including electron-transport-chain (ETC) genes and mitochondrial metabolism genes, and a sub-set of these changes was also observed upon hydrogen peroxide stress and ionizing radiation stress. Aging shared the largest number of gene expression changes with hyperoxia. The extensive down-regulation of mitochondrial and ETC genes during aging is consistent with an aging-associated failure in mitochondrial maintenance, which may underlie the oxidative stress-like and proteotoxic stress-like responses observed during aging.","author":[{"dropping-particle":"","family":"Landis","given":"Gary","non-dropping-particle":"","parse-names":false,"suffix":""},{"dropping-particle":"","family":"Shen","given":"Jie","non-dropping-particle":"","parse-names":false,"suffix":""},{"dropping-particle":"","family":"Tower","given":"John","non-dropping-particle":"","parse-names":false,"suffix":""}],"container-title":"Aging","id":"ITEM-1","issue":"11","issued":{"date-parts":[["2012","11"]]},"title":"Gene expression changes in response to aging compared to heat stress, oxidative stress and ionizing radiation in Drosophila melanogaster","type":"article-journal","volume":"4"},"uris":["http://www.mendeley.com/documents/?uuid=e197cddb-065c-4925-858e-2f84c798d782"]},{"id":"ITEM-2","itemData":{"DOI":"10.1016/j.ymeth.2014.04.008","ISBN":"1095-9130 (Electronic)\\r1046-2023 (Linking)","ISSN":"10959130","PMID":"24751824","abstract":"Drosophila melanogaster represents one of the most important genetically accessible model organisms for aging research. Studies in flies have identified single gene mutations that influence lifespan and have characterized endocrine signaling interactions that control homeostasis systemically. Recent studies have focused on the effects of aging on specific tissues and physiological processes, providing a comprehensive picture of age-related tissue dysfunction and the loss of systemic homeostasis. Here we review methodological aspects of this work and highlight technical considerations when using Drosophila to study aging and age-related diseases. ?? 2014 Elsevier Inc.","author":[{"dropping-particle":"","family":"He","given":"Ying","non-dropping-particle":"","parse-names":false,"suffix":""},{"dropping-particle":"","family":"Jasper","given":"Heinrich","non-dropping-particle":"","parse-names":false,"suffix":""}],"container-title":"Methods","id":"ITEM-2","issue":"1","issued":{"date-parts":[["2014"]]},"title":"Studying aging in Drosophila","type":"article-journal","volume":"68"},"uris":["http://www.mendeley.com/documents/?uuid=98bb3998-665a-3c0f-b0ca-a0eb649816f9"]},{"id":"ITEM-3","itemData":{"DOI":"10.1016/j.exger.2010.09.003","ISSN":"1873-6815","PMID":"20849947","abstract":"A remarkable discovery of recent years is that, despite the complexity of ageing, simple genetic interventions can increase lifespan and improve health during ageing in laboratory animals. The pathways involved have often proved to sense nutrients and to match costly activities of organisms, such as growth, metabolism and reproduction, to nutrient status. For instance, the insulin/insulin-like growth factor and Target of Rapamycin signalling network has proved to play a function in ageing, from yeast to mammals, seemingly including humans. In the fruit fly Drosophila, altered activity of several components of this network can increase lifespan and improve locomotor and cardiac function during ageing. The fly brain, fat body (equivalent of mammalian liver and white adipose tissue) and the germ line are important in determination of lifespan, with considerable communication between different tissues. Cellular detoxification pathways, increased autophagy and altered protein synthesis have all been implicated in increased lifespan from reduced IIS/TOR activity, with the role of defence against oxidative stress unresolved. Reduced IIS/TOR signalling can alter or block the response of lifespan to dietary restriction. Reduced IIS can act acutely to lower death rate, implying that it may ameliorate the effects of ageing-related damage, rather than preventing it.","author":[{"dropping-particle":"","family":"Partridge","given":"Linda","non-dropping-particle":"","parse-names":false,"suffix":""},{"dropping-particle":"","family":"Alic","given":"Nazif","non-dropping-particle":"","parse-names":false,"suffix":""},{"dropping-particle":"","family":"Bjedov","given":"Ivana","non-dropping-particle":"","parse-names":false,"suffix":""},{"dropping-particle":"","family":"Piper","given":"Matt D W","non-dropping-particle":"","parse-names":false,"suffix":""}],"container-title":"Experimental gerontology","id":"ITEM-3","issue":"5","issued":{"date-parts":[["2011","5"]]},"page":"376-81","publisher":"Elsevier Inc.","title":"Ageing in Drosophila: the role of the insulin/Igf and TOR signalling network.","type":"article-journal","volume":"46"},"uris":["http://www.mendeley.com/documents/?uuid=aa4b77d8-a8eb-4634-8a40-7461ca317fc1"]},{"id":"ITEM-4","itemData":{"DOI":"10.1016/j.bbadis.2017.09.016","ISSN":"1879260X","PMID":"28964875","abstract":"Drosophila melanogaster has been a key model in developing our current understanding of the molecular mechanisms of ageing. Of particular note is its role in establishing the evolutionary conservation of reduced insulin and IGF-1-like signaling in promoting healthy ageing. Capitalizing on its many advantages for experimentation, more recent work has revealed how precise nutritional and genetic interventions can improve fly lifespan without obvious detrimental side effects. We give a brief summary of these recent findings as well as examples of how they may modify ageing via actions in the gut and muscle. These discoveries highlight how expanding our understanding of metabolic and signaling interconnections will provide even greater insight into how these benefits may be harnessed for anti-ageing interventions.","author":[{"dropping-particle":"","family":"Piper","given":"Matthew D.W.","non-dropping-particle":"","parse-names":false,"suffix":""},{"dropping-particle":"","family":"Partridge","given":"Linda","non-dropping-particle":"","parse-names":false,"suffix":""}],"container-title":"Biochimica et Biophysica Acta - Molecular Basis of Disease","id":"ITEM-4","issue":"April","issued":{"date-parts":[["2017"]]},"page":"0-1","publisher":"Elsevier","title":"Drosophila as a model for ageing","type":"article-journal"},"uris":["http://www.mendeley.com/documents/?uuid=53203352-5936-4385-b31d-606c29143bf0"]}],"mendeley":{"formattedCitation":"[4–7]","plainTextFormattedCitation":"[4–7]","previouslyFormattedCitation":"[4–7]"},"properties":{"noteIndex":0},"schema":"https://github.com/citation-style-language/schema/raw/master/csl-citation.json"}</w:instrText>
      </w:r>
      <w:r w:rsidR="00903074">
        <w:rPr>
          <w:rFonts w:eastAsia="Times New Roman" w:cstheme="minorHAnsi"/>
          <w:color w:val="333333"/>
        </w:rPr>
        <w:fldChar w:fldCharType="separate"/>
      </w:r>
      <w:r w:rsidR="00D10AF1" w:rsidRPr="00D10AF1">
        <w:rPr>
          <w:rFonts w:eastAsia="Times New Roman" w:cstheme="minorHAnsi"/>
          <w:noProof/>
          <w:color w:val="333333"/>
        </w:rPr>
        <w:t>[4–7]</w:t>
      </w:r>
      <w:r w:rsidR="00903074">
        <w:rPr>
          <w:rFonts w:eastAsia="Times New Roman" w:cstheme="minorHAnsi"/>
          <w:color w:val="333333"/>
        </w:rPr>
        <w:fldChar w:fldCharType="end"/>
      </w:r>
      <w:r w:rsidR="00903074">
        <w:rPr>
          <w:rFonts w:eastAsia="Times New Roman" w:cstheme="minorHAnsi"/>
          <w:color w:val="333333"/>
        </w:rPr>
        <w:t>.</w:t>
      </w:r>
      <w:r>
        <w:rPr>
          <w:rFonts w:eastAsia="Times New Roman" w:cstheme="minorHAnsi"/>
          <w:color w:val="333333"/>
        </w:rPr>
        <w:t xml:space="preserve"> </w:t>
      </w:r>
      <w:r w:rsidR="00FE66D3">
        <w:rPr>
          <w:rFonts w:eastAsia="Times New Roman" w:cstheme="minorHAnsi"/>
          <w:color w:val="333333"/>
        </w:rPr>
        <w:t xml:space="preserve">It has been shown that compared to younger flies, genes involved in immune response have </w:t>
      </w:r>
      <w:r w:rsidR="00903074">
        <w:rPr>
          <w:rFonts w:eastAsia="Times New Roman" w:cstheme="minorHAnsi"/>
          <w:color w:val="333333"/>
        </w:rPr>
        <w:t xml:space="preserve">significantly </w:t>
      </w:r>
      <w:r w:rsidR="00FE66D3">
        <w:rPr>
          <w:rFonts w:eastAsia="Times New Roman" w:cstheme="minorHAnsi"/>
          <w:color w:val="333333"/>
        </w:rPr>
        <w:t xml:space="preserve">elevated expression in aged flies </w:t>
      </w:r>
      <w:r w:rsidR="00903074">
        <w:rPr>
          <w:rFonts w:eastAsia="Times New Roman" w:cstheme="minorHAnsi"/>
          <w:color w:val="333333"/>
        </w:rPr>
        <w:fldChar w:fldCharType="begin" w:fldLock="1"/>
      </w:r>
      <w:r w:rsidR="005B1DC7">
        <w:rPr>
          <w:rFonts w:eastAsia="Times New Roman" w:cstheme="minorHAnsi"/>
          <w:color w:val="333333"/>
        </w:rPr>
        <w:instrText>ADDIN CSL_CITATION {"citationItems":[{"id":"ITEM-1","itemData":{"DOI":"10.1073/pnas.0307605101","ISSN":"0027-8424","PMID":"15136717","abstract":"Affymetrix GeneChips were used to measure RNA abundance for approximately 13,500 Drosophila genes in young, old, and 100% oxygen-stressed flies. Data were analyzed by using a recently developed background correction algorithm and a robust multichip model-based statistical analysis that dramatically increased the ability to identify changes in gene expression. Aging and oxidative stress responses shared the up-regulation of purine biosynthesis, heat shock protein, antioxidant, and innate immune response genes. Results were confirmed by using Northerns and transgenic reporters. Immune response gene promoters linked to GFP allowed longitudinal assay of gene expression during aging in individual flies. Immune reporter expression in young flies was partially predictive of remaining life span, suggesting their potential as biomonitors of aging.","author":[{"dropping-particle":"","family":"Landis","given":"Gary N","non-dropping-particle":"","parse-names":false,"suffix":""},{"dropping-particle":"","family":"Abdueva","given":"Diana","non-dropping-particle":"","parse-names":false,"suffix":""},{"dropping-particle":"","family":"Skvortsov","given":"Dmitriy","non-dropping-particle":"","parse-names":false,"suffix":""},{"dropping-particle":"","family":"Yang","given":"Junsheng","non-dropping-particle":"","parse-names":false,"suffix":""},{"dropping-particle":"","family":"Rabin","given":"Beth E","non-dropping-particle":"","parse-names":false,"suffix":""},{"dropping-particle":"","family":"Carrick","given":"James","non-dropping-particle":"","parse-names":false,"suffix":""},{"dropping-particle":"","family":"Tavaré","given":"Simon","non-dropping-particle":"","parse-names":false,"suffix":""},{"dropping-particle":"","family":"Tower","given":"John","non-dropping-particle":"","parse-names":false,"suffix":""}],"container-title":"Proceedings of the National Academy of Sciences of the United States of America","id":"ITEM-1","issue":"20","issued":{"date-parts":[["2004","5","18"]]},"page":"7663-8","title":"Similar gene expression patterns characterize aging and oxidative stress in Drosophila melanogaster.","type":"article-journal","volume":"101"},"uris":["http://www.mendeley.com/documents/?uuid=da879fd7-9abe-4517-a932-bec67d3ec099"]},{"id":"ITEM-2","itemData":{"DOI":"10.1534/genetics.112.140640","ISBN":"4104553875","ISSN":"00166731","PMID":"22554890","abstract":"Immunosenescence, the age-related decline in immune system function, is a general hallmark of aging. While much is known about the cellular and physiological changes that accompany immunosenescence, we know little about the genetic influences on this phenomenon. In this study we combined age-specific measurements of bacterial clearance ability following infection with whole-genome measurements of the transcriptional response to infection and wounding to identify genes that contribute to the natural variation in immunosenescence, using Drosophila melanogaster as a model system. Twenty inbred lines derived from nature were measured for their ability to clear an Escherichia coli infection at 1 and 4 weeks of age. We used microarrays to simultaneously determine genome-wide expression profiles in infected and wounded flies at each age for 12 of these lines. Lines exhibited significant genetically based variation in bacterial clearance at both ages; however, the genetic basis of this variation changed dramatically with age. Variation in gene expression was significantly correlated with bacterial clearance ability only in the older age group. At 4 weeks of age variation in the expression of 247 genes following infection was associated with genetic variation in bacterial clearance. Functional annotation analyses implicate genes involved in energy metabolism including those in the insulin signaling/TOR pathway as having significant associations with bacterial clearance in older individuals. Given the evolutionary conservation of the genes involved in energy metabolism, our results could have important implications for understanding immunosenescence in other organisms, including humans.","author":[{"dropping-particle":"","family":"Felix","given":"Tashauna M.","non-dropping-particle":"","parse-names":false,"suffix":""},{"dropping-particle":"","family":"Hughes","given":"Kimberly A.","non-dropping-particle":"","parse-names":false,"suffix":""},{"dropping-particle":"","family":"Stone","given":"Eric A.","non-dropping-particle":"","parse-names":false,"suffix":""},{"dropping-particle":"","family":"Drnevich","given":"Jenny M.","non-dropping-particle":"","parse-names":false,"suffix":""},{"dropping-particle":"","family":"Leips","given":"Jeff","non-dropping-particle":"","parse-names":false,"suffix":""}],"container-title":"Genetics","id":"ITEM-2","issue":"3","issued":{"date-parts":[["2012","7"]]},"page":"989-1002","title":"Age-specific variation in immune response in Drosophila melanogaster has a genetic basis","type":"article-journal","volume":"191"},"uris":["http://www.mendeley.com/documents/?uuid=bfb83bac-92dd-4e15-89cc-a33e905c63c4"]},{"id":"ITEM-3","itemData":{"DOI":"10.3389/fimmu.2020.01574","ISSN":"16643224","PMID":"32774336","abstract":"Age-dependent neurodegenerative disorders are a set of diseases that affect millions of individuals worldwide. Apart from a small subset that are the result of well-defined inherited autosomal dominant gene mutations (e.g., those encoding the β-amyloid precursor protein and presenilins), our understanding of the genetic network that underscores their pathology, remains scarce. Genome-wide association studies (GWAS) especially in Alzheimer's disease patients and research in Parkinson's disease have implicated inflammation and the innate immune response as risk factors. However, even if GWAS etiology points toward innate immunity, untangling cause, and consequence is a challenging task. Specifically, it is not clear whether predisposition to de-regulated immunity causes an inadequate response to protein aggregation (such as amyloid or α-synuclein) or is the direct cause of this aggregation. Given the evolutionary conservation of the innate immune response in Drosophila and humans, unraveling whether hyperactive immune response in glia have a protective or pathological role in the brain could be a potential strategy in combating age-related neurological diseases.","author":[{"dropping-particle":"","family":"Arora","given":"Srishti","non-dropping-particle":"","parse-names":false,"suffix":""},{"dropping-particle":"","family":"Ligoxygakis","given":"Petros","non-dropping-particle":"","parse-names":false,"suffix":""}],"container-title":"Frontiers in Immunology","id":"ITEM-3","issue":"July","issued":{"date-parts":[["2020"]]},"page":"1-13","title":"Beyond Host Defense: Deregulation of Drosophila Immunity and Age-Dependent Neurodegeneration","type":"article-journal","volume":"11"},"uris":["http://www.mendeley.com/documents/?uuid=6d884a54-9d6c-42f4-b761-f2841c1a56f6"]}],"mendeley":{"formattedCitation":"[8–10]","plainTextFormattedCitation":"[8–10]","previouslyFormattedCitation":"[8–10]"},"properties":{"noteIndex":0},"schema":"https://github.com/citation-style-language/schema/raw/master/csl-citation.json"}</w:instrText>
      </w:r>
      <w:r w:rsidR="00903074">
        <w:rPr>
          <w:rFonts w:eastAsia="Times New Roman" w:cstheme="minorHAnsi"/>
          <w:color w:val="333333"/>
        </w:rPr>
        <w:fldChar w:fldCharType="separate"/>
      </w:r>
      <w:r w:rsidR="00D10AF1" w:rsidRPr="00D10AF1">
        <w:rPr>
          <w:rFonts w:eastAsia="Times New Roman" w:cstheme="minorHAnsi"/>
          <w:noProof/>
          <w:color w:val="333333"/>
        </w:rPr>
        <w:t>[8–10]</w:t>
      </w:r>
      <w:r w:rsidR="00903074">
        <w:rPr>
          <w:rFonts w:eastAsia="Times New Roman" w:cstheme="minorHAnsi"/>
          <w:color w:val="333333"/>
        </w:rPr>
        <w:fldChar w:fldCharType="end"/>
      </w:r>
      <w:r w:rsidR="00FE66D3">
        <w:rPr>
          <w:rFonts w:eastAsia="Times New Roman" w:cstheme="minorHAnsi"/>
          <w:color w:val="333333"/>
        </w:rPr>
        <w:t>.</w:t>
      </w:r>
      <w:r w:rsidR="00903074">
        <w:rPr>
          <w:rFonts w:eastAsia="Times New Roman" w:cstheme="minorHAnsi"/>
          <w:color w:val="333333"/>
        </w:rPr>
        <w:t xml:space="preserve">  </w:t>
      </w:r>
      <w:r w:rsidR="004B182A">
        <w:rPr>
          <w:rFonts w:eastAsia="Times New Roman" w:cstheme="minorHAnsi"/>
          <w:color w:val="333333"/>
        </w:rPr>
        <w:t xml:space="preserve">Lacking adaptive immunity, innate immune system in </w:t>
      </w:r>
      <w:r w:rsidR="004B182A" w:rsidRPr="00525893">
        <w:rPr>
          <w:rFonts w:eastAsia="Times New Roman" w:cstheme="minorHAnsi"/>
          <w:i/>
          <w:iCs/>
          <w:color w:val="333333"/>
        </w:rPr>
        <w:t>Drosophila</w:t>
      </w:r>
      <w:r w:rsidR="004B182A">
        <w:rPr>
          <w:rFonts w:eastAsia="Times New Roman" w:cstheme="minorHAnsi"/>
          <w:color w:val="333333"/>
        </w:rPr>
        <w:t xml:space="preserve"> is responsible for clearing pathogens as well as tumor-like cells.  Similar </w:t>
      </w:r>
      <w:r w:rsidR="00D10AF1">
        <w:rPr>
          <w:rFonts w:eastAsia="Times New Roman" w:cstheme="minorHAnsi"/>
          <w:color w:val="333333"/>
        </w:rPr>
        <w:t>to</w:t>
      </w:r>
      <w:r w:rsidR="004B182A">
        <w:rPr>
          <w:rFonts w:eastAsia="Times New Roman" w:cstheme="minorHAnsi"/>
          <w:color w:val="333333"/>
        </w:rPr>
        <w:t xml:space="preserve"> mammalian models, age-associated inflammation in the fruit fly is</w:t>
      </w:r>
      <w:r w:rsidR="00004624">
        <w:rPr>
          <w:rFonts w:eastAsia="Times New Roman" w:cstheme="minorHAnsi"/>
          <w:color w:val="333333"/>
        </w:rPr>
        <w:t xml:space="preserve"> also</w:t>
      </w:r>
      <w:r w:rsidR="004B182A">
        <w:rPr>
          <w:rFonts w:eastAsia="Times New Roman" w:cstheme="minorHAnsi"/>
          <w:color w:val="333333"/>
        </w:rPr>
        <w:t xml:space="preserve"> associated with increased neurodegeneration and shortened lifespan.</w:t>
      </w:r>
      <w:r w:rsidR="00004624">
        <w:rPr>
          <w:rFonts w:eastAsia="Times New Roman" w:cstheme="minorHAnsi"/>
          <w:color w:val="333333"/>
        </w:rPr>
        <w:t xml:space="preserve"> However, it is not clear as to whether the expression levels of innate immune genes could provide an estimate of biological aging. </w:t>
      </w:r>
      <w:r w:rsidR="004B182A">
        <w:rPr>
          <w:rFonts w:eastAsia="Times New Roman" w:cstheme="minorHAnsi"/>
          <w:color w:val="333333"/>
        </w:rPr>
        <w:t xml:space="preserve">  </w:t>
      </w:r>
    </w:p>
    <w:p w14:paraId="7E07EDD9" w14:textId="4AEFED60" w:rsidR="00034149" w:rsidRPr="005B1DC7" w:rsidRDefault="00525893" w:rsidP="004B27CD">
      <w:pPr>
        <w:shd w:val="clear" w:color="auto" w:fill="FFFFFF"/>
        <w:spacing w:after="168"/>
        <w:outlineLvl w:val="2"/>
        <w:rPr>
          <w:rFonts w:eastAsia="Times New Roman" w:cstheme="minorHAnsi"/>
          <w:color w:val="333333"/>
        </w:rPr>
      </w:pPr>
      <w:r>
        <w:rPr>
          <w:rFonts w:eastAsia="Times New Roman" w:cstheme="minorHAnsi"/>
          <w:color w:val="333333"/>
        </w:rPr>
        <w:t xml:space="preserve">The </w:t>
      </w:r>
      <w:r w:rsidR="00D10AF1">
        <w:rPr>
          <w:rFonts w:eastAsia="Times New Roman" w:cstheme="minorHAnsi"/>
          <w:color w:val="333333"/>
        </w:rPr>
        <w:t>popular</w:t>
      </w:r>
      <w:r>
        <w:rPr>
          <w:rFonts w:eastAsia="Times New Roman" w:cstheme="minorHAnsi"/>
          <w:color w:val="333333"/>
        </w:rPr>
        <w:t xml:space="preserve"> lab strain of </w:t>
      </w:r>
      <w:r w:rsidRPr="00D861B0">
        <w:rPr>
          <w:rFonts w:eastAsia="Times New Roman" w:cstheme="minorHAnsi"/>
          <w:i/>
          <w:iCs/>
          <w:color w:val="333333"/>
        </w:rPr>
        <w:t xml:space="preserve">Drosophila </w:t>
      </w:r>
      <w:r w:rsidR="00D861B0" w:rsidRPr="00D861B0">
        <w:rPr>
          <w:rFonts w:eastAsia="Times New Roman" w:cstheme="minorHAnsi"/>
          <w:i/>
          <w:iCs/>
          <w:color w:val="333333"/>
        </w:rPr>
        <w:t>melanogaster</w:t>
      </w:r>
      <w:r w:rsidR="00D861B0">
        <w:rPr>
          <w:rFonts w:eastAsia="Times New Roman" w:cstheme="minorHAnsi"/>
          <w:color w:val="333333"/>
        </w:rPr>
        <w:t>, w1118, has a mean lifespan of about 45 days in 25</w:t>
      </w:r>
      <w:r w:rsidR="006112BD">
        <w:rPr>
          <w:rFonts w:eastAsia="Times New Roman" w:cstheme="minorHAnsi"/>
          <w:color w:val="333333"/>
        </w:rPr>
        <w:t xml:space="preserve"> </w:t>
      </w:r>
      <w:r w:rsidR="006112BD" w:rsidRPr="00D861B0">
        <w:rPr>
          <w:rFonts w:eastAsia="Times New Roman" w:cs="Calibri (Body)"/>
          <w:color w:val="333333"/>
          <w:vertAlign w:val="superscript"/>
        </w:rPr>
        <w:t>O</w:t>
      </w:r>
      <w:r w:rsidR="00D861B0">
        <w:rPr>
          <w:rFonts w:eastAsia="Times New Roman" w:cstheme="minorHAnsi"/>
          <w:color w:val="333333"/>
        </w:rPr>
        <w:t>C</w:t>
      </w:r>
      <w:r w:rsidR="006112BD">
        <w:rPr>
          <w:rFonts w:eastAsia="Times New Roman" w:cstheme="minorHAnsi"/>
          <w:color w:val="333333"/>
        </w:rPr>
        <w:t xml:space="preserve"> </w:t>
      </w:r>
      <w:r w:rsidR="003F2374">
        <w:rPr>
          <w:rFonts w:eastAsia="Times New Roman" w:cs="Calibri (Body)"/>
          <w:color w:val="333333"/>
          <w:vertAlign w:val="superscript"/>
        </w:rPr>
        <w:fldChar w:fldCharType="begin" w:fldLock="1"/>
      </w:r>
      <w:r w:rsidR="005B1DC7">
        <w:rPr>
          <w:rFonts w:eastAsia="Times New Roman" w:cs="Calibri (Body)"/>
          <w:color w:val="333333"/>
          <w:vertAlign w:val="superscript"/>
        </w:rPr>
        <w:instrText>ADDIN CSL_CITATION {"citationItems":[{"id":"ITEM-1","itemData":{"DOI":"10.1007/s00702-009-0341-7","ISBN":"6176321972","PMID":"1000000221","abstract":"Animal and human studies suggest that aging is associated with increased formation of kynurenine (KYN) from tryptophan (TRY). The rate-limiting factors of TRY–KYN metabolism are transmembrane transport of TRY, and activity of enzyme, TRY 2,3-dioxygenase (TDO2). Eye- color mutants, white (w1118) (impaired TRY transport) and vermilion (v48a and v2) (deficient TDO activity), were compared with wild-type Oregon-R (Ore-R) strain of Drosophila melanogaster. Female 1-day-old adult flies maintained on a standard medium, and acclimatized to 12-h light:12-h dark cycle were collected, and then regularly transferred to fresh medium every 3– 4 days. The number of dead flies was recorded at the time of transfer. Forty flies were studied in each experimental group. The life span of w1118 (mean = 45.5 days), and v48a (mean = 47.6 days) and v2 (mean = 43.8 days), were significantly longer than of wild-type Ore-R flies (27.1 days) (p &lt; 0.001, Logrank test). There were no differences in life span between w1118 and v48a and v2 mutants. Present results suggest that prolongation of life span may be associated with slow rate of KYN formation from TRY.","author":[{"dropping-particle":"","family":"Oxenkrug","given":"Gregory F.","non-dropping-particle":"","parse-names":false,"suffix":""}],"container-title":"J Neural Transm","id":"ITEM-1","issue":"1","issued":{"date-parts":[["2010"]]},"page":"23-26","title":"The extended life span of Drosophila melanogaster eye-color (white and vermilion) mutants with impaired formation of kynurenine","type":"article-journal","volume":"117"},"uris":["http://www.mendeley.com/documents/?uuid=0fd68ac1-ca31-40e9-9e9c-3ce7a4241272"]}],"mendeley":{"formattedCitation":"[11]","plainTextFormattedCitation":"[11]","previouslyFormattedCitation":"[11]"},"properties":{"noteIndex":0},"schema":"https://github.com/citation-style-language/schema/raw/master/csl-citation.json"}</w:instrText>
      </w:r>
      <w:r w:rsidR="003F2374">
        <w:rPr>
          <w:rFonts w:eastAsia="Times New Roman" w:cs="Calibri (Body)"/>
          <w:color w:val="333333"/>
          <w:vertAlign w:val="superscript"/>
        </w:rPr>
        <w:fldChar w:fldCharType="separate"/>
      </w:r>
      <w:r w:rsidR="00D10AF1" w:rsidRPr="00D10AF1">
        <w:rPr>
          <w:rFonts w:eastAsia="Times New Roman" w:cs="Calibri (Body)"/>
          <w:noProof/>
          <w:color w:val="333333"/>
        </w:rPr>
        <w:t>[11]</w:t>
      </w:r>
      <w:r w:rsidR="003F2374">
        <w:rPr>
          <w:rFonts w:eastAsia="Times New Roman" w:cs="Calibri (Body)"/>
          <w:color w:val="333333"/>
          <w:vertAlign w:val="superscript"/>
        </w:rPr>
        <w:fldChar w:fldCharType="end"/>
      </w:r>
      <w:r w:rsidR="00D861B0">
        <w:rPr>
          <w:rFonts w:eastAsia="Times New Roman" w:cstheme="minorHAnsi"/>
          <w:color w:val="333333"/>
        </w:rPr>
        <w:t xml:space="preserve">.  </w:t>
      </w:r>
      <w:r w:rsidR="006112BD">
        <w:rPr>
          <w:rFonts w:eastAsia="Times New Roman" w:cstheme="minorHAnsi"/>
          <w:color w:val="333333"/>
        </w:rPr>
        <w:t xml:space="preserve">This relatively short lifespan has made it feasible to monitor the whole aging process in experimental settings.  However, it nonetheless is a laborious process prone to </w:t>
      </w:r>
      <w:r w:rsidR="00E5072F">
        <w:rPr>
          <w:rFonts w:eastAsia="Times New Roman" w:cstheme="minorHAnsi"/>
          <w:color w:val="333333"/>
        </w:rPr>
        <w:t xml:space="preserve">accidents and disruptions.  Moreover, the availability of temporal control of gene expression systems, such as the </w:t>
      </w:r>
      <w:proofErr w:type="spellStart"/>
      <w:r w:rsidR="00E5072F">
        <w:rPr>
          <w:rFonts w:eastAsia="Times New Roman" w:cstheme="minorHAnsi"/>
          <w:color w:val="333333"/>
        </w:rPr>
        <w:t>GeneSwitch</w:t>
      </w:r>
      <w:proofErr w:type="spellEnd"/>
      <w:r w:rsidR="00E5072F">
        <w:rPr>
          <w:rFonts w:eastAsia="Times New Roman" w:cstheme="minorHAnsi"/>
          <w:color w:val="333333"/>
        </w:rPr>
        <w:t xml:space="preserve"> system</w:t>
      </w:r>
      <w:r w:rsidR="005B1DC7">
        <w:rPr>
          <w:rFonts w:eastAsia="Times New Roman" w:cstheme="minorHAnsi"/>
          <w:color w:val="333333"/>
        </w:rPr>
        <w:fldChar w:fldCharType="begin" w:fldLock="1"/>
      </w:r>
      <w:r w:rsidR="005B1DC7">
        <w:rPr>
          <w:rFonts w:eastAsia="Times New Roman" w:cstheme="minorHAnsi"/>
          <w:color w:val="333333"/>
        </w:rPr>
        <w:instrText>ADDIN CSL_CITATION {"citationItems":[{"id":"ITEM-1","itemData":{"DOI":"10.1534/genetics.107.081968","ISSN":"0016-6731","PMID":"18202369","abstract":"There is a critical need for genetic methods for the inducible expression of transgenes in specific cells during development. A promising approach for this is the GeneSwitch GAL4 system of Drosophila. With GeneSwitch GAL4 the expression of upstream activating sequence (UAS) effector lines is controlled by a chimeric GAL4 protein that becomes active in the presence of the steroid RU486 (mifepristone). To improve the utility of this expression system, we performed a large-scale enhancer-trap screen for insertions that yielded nervous system expression. A total of 204 GeneSwitch GAL4 lines with various larval expression patterns in neurons, glia, and/or muscle fibers were identified for chromosomes I-III. All of the retained lines show increased activity when induced with RU486. Many of the lines reveal novel patterns of sensory neurons, interneurons, and glia. There were some tissue-specific differences in background expression, with muscles and glia being more likely to show activity in the absence of the inducing agent. However, &gt;90% of the neuron-specific driver lines showed little or no background activity, making them particularly useful for inducible expression studies.","author":[{"dropping-particle":"","family":"Nicholson","given":"Louise","non-dropping-particle":"","parse-names":false,"suffix":""},{"dropping-particle":"","family":"Singh","given":"Gunisha K","non-dropping-particle":"","parse-names":false,"suffix":""},{"dropping-particle":"","family":"Osterwalder","given":"Thomas","non-dropping-particle":"","parse-names":false,"suffix":""},{"dropping-particle":"","family":"Roman","given":"Gregg W","non-dropping-particle":"","parse-names":false,"suffix":""},{"dropping-particle":"","family":"Davis","given":"Ronald L","non-dropping-particle":"","parse-names":false,"suffix":""},{"dropping-particle":"","family":"Keshishian","given":"Haig","non-dropping-particle":"","parse-names":false,"suffix":""}],"container-title":"Genetics","id":"ITEM-1","issue":"1","issued":{"date-parts":[["2008","1"]]},"page":"215-34","title":"Spatial and temporal control of gene expression in Drosophila using the inducible GeneSwitch GAL4 system. I. Screen for larval nervous system drivers.","type":"article-journal","volume":"178"},"uris":["http://www.mendeley.com/documents/?uuid=d040dbee-0c7c-4ca1-9dd7-26e6bccaab20"]},{"id":"ITEM-2","itemData":{"DOI":"10.1016/j.exger.2007.01.004","ISSN":"05315565","PMID":"17349761","abstract":"The conditional systems Tet-on and Geneswitch were compared and optimized for the tissue-specific expression of transgenes and manipulation of life span in adult Drosophila. Two versions of Tet-on system reverse-tetracycline-Trans-Activator (rtTA) were compared: the original rtTA, and rtTAM2-alt containing mutations designed to optimize regulation and expression. The rtTAM2-alt version gave less leaky expression of target constructs in the absence of doxycyline, however the absolute level of expression that could be achieved was less than that produced by rtTA, in contrast to a previous report. Existing UAS-rtTAM2-alt insertions were re-balanced, and combined with several tissue-general and tissue-specific GAL4 driver lines to yield tissue-specific, doxycyline-inducible transgene expression over three orders of magnitude. The Geneswitch (GS) system also had low background, but the absolute level of expression was low relative to Tet-on. Consequently, actin5C-GS multi-insert chromosomes were generated and higher-level expression was achieved without increased background. Moderate level over-expression of MnSOD has beneficial effects on life span. Here high-level over-expression of MnSOD was found to have toxic effects. In contrast, motor-neuron-specific over-expression of MnSOD had no detectable effect on life span. The results suggest that motor-neuron tissue is not the essential tissue for either MnSOD induced longevity or toxicity in adult males. © 2007 Elsevier Inc. All rights reserved.","author":[{"dropping-particle":"","family":"Ford","given":"Daniel","non-dropping-particle":"","parse-names":false,"suffix":""},{"dropping-particle":"","family":"Hoe","given":"Nicholas","non-dropping-particle":"","parse-names":false,"suffix":""},{"dropping-particle":"","family":"Landis","given":"Gary N.","non-dropping-particle":"","parse-names":false,"suffix":""},{"dropping-particle":"","family":"Tozer","given":"Kevin","non-dropping-particle":"","parse-names":false,"suffix":""},{"dropping-particle":"","family":"Luu","given":"Allan","non-dropping-particle":"","parse-names":false,"suffix":""},{"dropping-particle":"","family":"Bhole","given":"Deepak","non-dropping-particle":"","parse-names":false,"suffix":""},{"dropping-particle":"","family":"Badrinath","given":"Ananth","non-dropping-particle":"","parse-names":false,"suffix":""},{"dropping-particle":"","family":"Tower","given":"John","non-dropping-particle":"","parse-names":false,"suffix":""}],"container-title":"Experimental Gerontology","id":"ITEM-2","issue":"6","issued":{"date-parts":[["2007"]]},"page":"483-497","title":"Alteration of Drosophila life span using conditional, tissue-specific expression of transgenes triggered by doxycyline or RU486/Mifepristone","type":"article-journal","volume":"42"},"uris":["http://www.mendeley.com/documents/?uuid=9c707fd8-57dc-4f43-b7cb-4b8889f9b295"]}],"mendeley":{"formattedCitation":"[12,13]","plainTextFormattedCitation":"[12,13]"},"properties":{"noteIndex":0},"schema":"https://github.com/citation-style-language/schema/raw/master/csl-citation.json"}</w:instrText>
      </w:r>
      <w:r w:rsidR="005B1DC7">
        <w:rPr>
          <w:rFonts w:eastAsia="Times New Roman" w:cstheme="minorHAnsi"/>
          <w:color w:val="333333"/>
        </w:rPr>
        <w:fldChar w:fldCharType="separate"/>
      </w:r>
      <w:r w:rsidR="005B1DC7" w:rsidRPr="005B1DC7">
        <w:rPr>
          <w:rFonts w:eastAsia="Times New Roman" w:cstheme="minorHAnsi"/>
          <w:noProof/>
          <w:color w:val="333333"/>
        </w:rPr>
        <w:t>[12,13]</w:t>
      </w:r>
      <w:r w:rsidR="005B1DC7">
        <w:rPr>
          <w:rFonts w:eastAsia="Times New Roman" w:cstheme="minorHAnsi"/>
          <w:color w:val="333333"/>
        </w:rPr>
        <w:fldChar w:fldCharType="end"/>
      </w:r>
      <w:r w:rsidR="00E5072F">
        <w:rPr>
          <w:rFonts w:eastAsia="Times New Roman" w:cstheme="minorHAnsi"/>
          <w:color w:val="333333"/>
        </w:rPr>
        <w:t xml:space="preserve">, led to the demand of monitoring acceleration or deceleration of aging at </w:t>
      </w:r>
      <w:r w:rsidR="005B1DC7">
        <w:rPr>
          <w:rFonts w:eastAsia="Times New Roman" w:cstheme="minorHAnsi"/>
          <w:color w:val="333333"/>
        </w:rPr>
        <w:t>a</w:t>
      </w:r>
      <w:r w:rsidR="00E5072F">
        <w:rPr>
          <w:rFonts w:eastAsia="Times New Roman" w:cstheme="minorHAnsi"/>
          <w:color w:val="333333"/>
        </w:rPr>
        <w:t xml:space="preserve"> given time point.  These</w:t>
      </w:r>
      <w:r w:rsidR="005B1DC7">
        <w:rPr>
          <w:rFonts w:eastAsia="Times New Roman" w:cstheme="minorHAnsi"/>
          <w:color w:val="333333"/>
        </w:rPr>
        <w:t xml:space="preserve"> needs motivated our search of a global estimator for aging. </w:t>
      </w:r>
      <w:r w:rsidR="00E5072F">
        <w:rPr>
          <w:rFonts w:eastAsia="Times New Roman" w:cstheme="minorHAnsi"/>
          <w:color w:val="333333"/>
        </w:rPr>
        <w:t xml:space="preserve">  </w:t>
      </w:r>
    </w:p>
    <w:p w14:paraId="2DEA4330" w14:textId="77777777" w:rsidR="007330A4" w:rsidRPr="007330A4" w:rsidRDefault="007330A4" w:rsidP="004B27CD">
      <w:pPr>
        <w:shd w:val="clear" w:color="auto" w:fill="FFFFFF"/>
        <w:spacing w:after="168"/>
        <w:outlineLvl w:val="2"/>
        <w:rPr>
          <w:rFonts w:ascii="Trebuchet MS" w:eastAsia="Times New Roman" w:hAnsi="Trebuchet MS" w:cs="Segoe UI"/>
          <w:color w:val="1B3051"/>
          <w:sz w:val="27"/>
          <w:szCs w:val="27"/>
        </w:rPr>
      </w:pPr>
    </w:p>
    <w:p w14:paraId="5779BF62" w14:textId="7DBE10E5" w:rsidR="004B27CD" w:rsidRPr="008F46A2" w:rsidRDefault="004B27CD" w:rsidP="008F46A2">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t>Results and Discussion</w:t>
      </w:r>
      <w:r w:rsidR="008F46A2">
        <w:rPr>
          <w:rFonts w:ascii="Trebuchet MS" w:eastAsia="Times New Roman" w:hAnsi="Trebuchet MS" w:cs="Segoe UI"/>
          <w:b/>
          <w:bCs/>
          <w:color w:val="1B3051"/>
          <w:sz w:val="27"/>
          <w:szCs w:val="27"/>
        </w:rPr>
        <w:t xml:space="preserve"> </w:t>
      </w:r>
      <w:r w:rsidR="00CE46DC">
        <w:rPr>
          <w:rFonts w:ascii="Segoe UI" w:eastAsia="Times New Roman" w:hAnsi="Segoe UI" w:cs="Segoe UI"/>
          <w:i/>
          <w:iCs/>
          <w:color w:val="333333"/>
          <w:sz w:val="18"/>
          <w:szCs w:val="18"/>
        </w:rPr>
        <w:t>(</w:t>
      </w:r>
      <w:r w:rsidRPr="00CE46DC">
        <w:rPr>
          <w:rFonts w:ascii="Segoe UI" w:eastAsia="Times New Roman" w:hAnsi="Segoe UI" w:cs="Segoe UI"/>
          <w:i/>
          <w:iCs/>
          <w:color w:val="333333"/>
          <w:sz w:val="18"/>
          <w:szCs w:val="18"/>
        </w:rPr>
        <w:t>This should include the findings of the study including, if appropriate, results of statistical analysis which must be included either in the text or as tables and figures. The discussion should be included in one section with the results.</w:t>
      </w:r>
      <w:r w:rsidR="00CE46DC">
        <w:rPr>
          <w:rFonts w:ascii="Segoe UI" w:eastAsia="Times New Roman" w:hAnsi="Segoe UI" w:cs="Segoe UI"/>
          <w:i/>
          <w:iCs/>
          <w:color w:val="333333"/>
          <w:sz w:val="18"/>
          <w:szCs w:val="18"/>
        </w:rPr>
        <w:t>)</w:t>
      </w:r>
    </w:p>
    <w:p w14:paraId="76458ADD" w14:textId="087C7A66" w:rsidR="000D5150" w:rsidRPr="00775290" w:rsidRDefault="004115A0" w:rsidP="004B27CD">
      <w:pPr>
        <w:shd w:val="clear" w:color="auto" w:fill="FFFFFF"/>
        <w:spacing w:after="168"/>
        <w:outlineLvl w:val="2"/>
        <w:rPr>
          <w:rFonts w:eastAsia="Times New Roman" w:cstheme="minorHAnsi"/>
          <w:b/>
          <w:bCs/>
          <w:color w:val="1B3051"/>
        </w:rPr>
      </w:pPr>
      <w:r>
        <w:rPr>
          <w:rFonts w:eastAsia="Times New Roman" w:cstheme="minorHAnsi"/>
          <w:b/>
          <w:bCs/>
          <w:color w:val="1B3051"/>
        </w:rPr>
        <w:t>C</w:t>
      </w:r>
      <w:r w:rsidR="000A317C">
        <w:rPr>
          <w:rFonts w:eastAsia="Times New Roman" w:cstheme="minorHAnsi"/>
          <w:b/>
          <w:bCs/>
          <w:color w:val="1B3051"/>
        </w:rPr>
        <w:t>ompilation</w:t>
      </w:r>
      <w:r w:rsidR="00775290" w:rsidRPr="00775290">
        <w:rPr>
          <w:rFonts w:eastAsia="Times New Roman" w:cstheme="minorHAnsi"/>
          <w:b/>
          <w:bCs/>
          <w:color w:val="1B3051"/>
        </w:rPr>
        <w:t xml:space="preserve"> of RNA-Seq data sets with age information</w:t>
      </w:r>
    </w:p>
    <w:p w14:paraId="67A1DF2B" w14:textId="12658FDB" w:rsidR="004115A0" w:rsidRDefault="00B76768" w:rsidP="004B27CD">
      <w:pPr>
        <w:shd w:val="clear" w:color="auto" w:fill="FFFFFF"/>
        <w:spacing w:after="168"/>
        <w:outlineLvl w:val="2"/>
        <w:rPr>
          <w:rFonts w:eastAsia="Times New Roman" w:cstheme="minorHAnsi"/>
          <w:color w:val="1B3051"/>
        </w:rPr>
      </w:pPr>
      <w:r>
        <w:rPr>
          <w:rFonts w:eastAsia="Times New Roman" w:cstheme="minorHAnsi"/>
          <w:color w:val="1B3051"/>
        </w:rPr>
        <w:t>I</w:t>
      </w:r>
      <w:r w:rsidR="00775290">
        <w:rPr>
          <w:rFonts w:eastAsia="Times New Roman" w:cstheme="minorHAnsi"/>
          <w:color w:val="1B3051"/>
        </w:rPr>
        <w:t xml:space="preserve">t is possible to obtain transcriptome </w:t>
      </w:r>
      <w:r>
        <w:rPr>
          <w:rFonts w:eastAsia="Times New Roman" w:cstheme="minorHAnsi"/>
          <w:color w:val="1B3051"/>
        </w:rPr>
        <w:t xml:space="preserve">information </w:t>
      </w:r>
      <w:r w:rsidR="004115A0">
        <w:rPr>
          <w:rFonts w:eastAsia="Times New Roman" w:cstheme="minorHAnsi"/>
          <w:color w:val="1B3051"/>
        </w:rPr>
        <w:t>from</w:t>
      </w:r>
      <w:r w:rsidR="00775290">
        <w:rPr>
          <w:rFonts w:eastAsia="Times New Roman" w:cstheme="minorHAnsi"/>
          <w:color w:val="1B3051"/>
        </w:rPr>
        <w:t xml:space="preserve"> any tissue or cell type</w:t>
      </w:r>
      <w:r w:rsidR="000A317C">
        <w:rPr>
          <w:rFonts w:eastAsia="Times New Roman" w:cstheme="minorHAnsi"/>
          <w:color w:val="1B3051"/>
        </w:rPr>
        <w:t xml:space="preserve"> from </w:t>
      </w:r>
      <w:r w:rsidR="000A317C" w:rsidRPr="000A317C">
        <w:rPr>
          <w:rFonts w:eastAsia="Times New Roman" w:cstheme="minorHAnsi"/>
          <w:i/>
          <w:iCs/>
          <w:color w:val="1B3051"/>
        </w:rPr>
        <w:t>Drosophila</w:t>
      </w:r>
      <w:r>
        <w:rPr>
          <w:rFonts w:eastAsia="Times New Roman" w:cstheme="minorHAnsi"/>
          <w:color w:val="1B3051"/>
        </w:rPr>
        <w:t>.  However,</w:t>
      </w:r>
      <w:r w:rsidR="00775290">
        <w:rPr>
          <w:rFonts w:eastAsia="Times New Roman" w:cstheme="minorHAnsi"/>
          <w:color w:val="1B3051"/>
        </w:rPr>
        <w:t xml:space="preserve"> dissection or cell sorting procedures inevitably </w:t>
      </w:r>
      <w:r w:rsidR="000A317C">
        <w:rPr>
          <w:rFonts w:eastAsia="Times New Roman" w:cstheme="minorHAnsi"/>
          <w:color w:val="1B3051"/>
        </w:rPr>
        <w:t xml:space="preserve">produce </w:t>
      </w:r>
      <w:r>
        <w:rPr>
          <w:rFonts w:eastAsia="Times New Roman" w:cstheme="minorHAnsi"/>
          <w:color w:val="1B3051"/>
        </w:rPr>
        <w:t>operation-induced changes</w:t>
      </w:r>
      <w:r w:rsidR="000A317C">
        <w:rPr>
          <w:rFonts w:eastAsia="Times New Roman" w:cstheme="minorHAnsi"/>
          <w:color w:val="1B3051"/>
        </w:rPr>
        <w:t xml:space="preserve"> in</w:t>
      </w:r>
      <w:r w:rsidR="00775290">
        <w:rPr>
          <w:rFonts w:eastAsia="Times New Roman" w:cstheme="minorHAnsi"/>
          <w:color w:val="1B3051"/>
        </w:rPr>
        <w:t xml:space="preserve"> </w:t>
      </w:r>
      <w:r w:rsidR="00464448">
        <w:rPr>
          <w:rFonts w:eastAsia="Times New Roman" w:cstheme="minorHAnsi"/>
          <w:color w:val="1B3051"/>
        </w:rPr>
        <w:t>gene expression</w:t>
      </w:r>
      <w:r w:rsidR="00775290">
        <w:rPr>
          <w:rFonts w:eastAsia="Times New Roman" w:cstheme="minorHAnsi"/>
          <w:color w:val="1B3051"/>
        </w:rPr>
        <w:t xml:space="preserve">. </w:t>
      </w:r>
      <w:r w:rsidR="000A317C">
        <w:rPr>
          <w:rFonts w:eastAsia="Times New Roman" w:cstheme="minorHAnsi"/>
          <w:color w:val="1B3051"/>
        </w:rPr>
        <w:t>Practically,</w:t>
      </w:r>
      <w:r w:rsidR="000C35E0">
        <w:rPr>
          <w:rFonts w:eastAsia="Times New Roman" w:cstheme="minorHAnsi"/>
          <w:color w:val="1B3051"/>
        </w:rPr>
        <w:t xml:space="preserve"> </w:t>
      </w:r>
      <w:r>
        <w:rPr>
          <w:rFonts w:eastAsia="Times New Roman" w:cstheme="minorHAnsi"/>
          <w:color w:val="1B3051"/>
        </w:rPr>
        <w:t xml:space="preserve">RNA samples </w:t>
      </w:r>
      <w:r w:rsidR="004115A0">
        <w:rPr>
          <w:rFonts w:eastAsia="Times New Roman" w:cstheme="minorHAnsi"/>
          <w:color w:val="1B3051"/>
        </w:rPr>
        <w:t xml:space="preserve">with minimal disruption can be </w:t>
      </w:r>
      <w:r w:rsidR="0032220A">
        <w:rPr>
          <w:rFonts w:eastAsia="Times New Roman" w:cstheme="minorHAnsi"/>
          <w:color w:val="1B3051"/>
        </w:rPr>
        <w:t xml:space="preserve">reliably </w:t>
      </w:r>
      <w:r w:rsidR="004115A0">
        <w:rPr>
          <w:rFonts w:eastAsia="Times New Roman" w:cstheme="minorHAnsi"/>
          <w:color w:val="1B3051"/>
        </w:rPr>
        <w:t xml:space="preserve">obtained </w:t>
      </w:r>
      <w:r>
        <w:rPr>
          <w:rFonts w:eastAsia="Times New Roman" w:cstheme="minorHAnsi"/>
          <w:color w:val="1B3051"/>
        </w:rPr>
        <w:t xml:space="preserve">from whole body, heads, or </w:t>
      </w:r>
      <w:r w:rsidR="004520CB">
        <w:rPr>
          <w:rFonts w:eastAsia="Times New Roman" w:cstheme="minorHAnsi"/>
          <w:color w:val="1B3051"/>
        </w:rPr>
        <w:t xml:space="preserve">headless </w:t>
      </w:r>
      <w:r>
        <w:rPr>
          <w:rFonts w:eastAsia="Times New Roman" w:cstheme="minorHAnsi"/>
          <w:color w:val="1B3051"/>
        </w:rPr>
        <w:t>bod</w:t>
      </w:r>
      <w:r w:rsidR="0032220A">
        <w:rPr>
          <w:rFonts w:eastAsia="Times New Roman" w:cstheme="minorHAnsi"/>
          <w:color w:val="1B3051"/>
        </w:rPr>
        <w:t>ies of adult fruit fly</w:t>
      </w:r>
      <w:r>
        <w:rPr>
          <w:rFonts w:eastAsia="Times New Roman" w:cstheme="minorHAnsi"/>
          <w:color w:val="1B3051"/>
        </w:rPr>
        <w:t>. Heads can be separated from bod</w:t>
      </w:r>
      <w:r w:rsidR="0032220A">
        <w:rPr>
          <w:rFonts w:eastAsia="Times New Roman" w:cstheme="minorHAnsi"/>
          <w:color w:val="1B3051"/>
        </w:rPr>
        <w:t>ies</w:t>
      </w:r>
      <w:r>
        <w:rPr>
          <w:rFonts w:eastAsia="Times New Roman" w:cstheme="minorHAnsi"/>
          <w:color w:val="1B3051"/>
        </w:rPr>
        <w:t xml:space="preserve"> </w:t>
      </w:r>
      <w:r w:rsidR="004115A0">
        <w:rPr>
          <w:rFonts w:eastAsia="Times New Roman" w:cstheme="minorHAnsi"/>
          <w:color w:val="1B3051"/>
        </w:rPr>
        <w:t xml:space="preserve">using metal sheeves </w:t>
      </w:r>
      <w:r w:rsidR="000C35E0">
        <w:rPr>
          <w:rFonts w:eastAsia="Times New Roman" w:cstheme="minorHAnsi"/>
          <w:color w:val="1B3051"/>
        </w:rPr>
        <w:t>following snap freeze in liquid nitrogen or dry ice</w:t>
      </w:r>
      <w:r>
        <w:rPr>
          <w:rFonts w:eastAsia="Times New Roman" w:cstheme="minorHAnsi"/>
          <w:color w:val="1B3051"/>
        </w:rPr>
        <w:t>, thus produce</w:t>
      </w:r>
      <w:r w:rsidR="004115A0">
        <w:rPr>
          <w:rFonts w:eastAsia="Times New Roman" w:cstheme="minorHAnsi"/>
          <w:color w:val="1B3051"/>
        </w:rPr>
        <w:t xml:space="preserve"> minim</w:t>
      </w:r>
      <w:r w:rsidR="00ED5853">
        <w:rPr>
          <w:rFonts w:eastAsia="Times New Roman" w:cstheme="minorHAnsi"/>
          <w:color w:val="1B3051"/>
        </w:rPr>
        <w:t>al</w:t>
      </w:r>
      <w:r w:rsidR="00705C06">
        <w:rPr>
          <w:rFonts w:eastAsia="Times New Roman" w:cstheme="minorHAnsi"/>
          <w:color w:val="1B3051"/>
        </w:rPr>
        <w:t>,</w:t>
      </w:r>
      <w:r w:rsidR="00ED5853">
        <w:rPr>
          <w:rFonts w:eastAsia="Times New Roman" w:cstheme="minorHAnsi"/>
          <w:color w:val="1B3051"/>
        </w:rPr>
        <w:t xml:space="preserve"> </w:t>
      </w:r>
      <w:r w:rsidR="00705C06">
        <w:rPr>
          <w:rFonts w:eastAsia="Times New Roman" w:cstheme="minorHAnsi"/>
          <w:color w:val="1B3051"/>
        </w:rPr>
        <w:t>if any,</w:t>
      </w:r>
      <w:r w:rsidR="004520CB">
        <w:rPr>
          <w:rFonts w:eastAsia="Times New Roman" w:cstheme="minorHAnsi"/>
          <w:color w:val="1B3051"/>
        </w:rPr>
        <w:t xml:space="preserve"> </w:t>
      </w:r>
      <w:r w:rsidR="004115A0">
        <w:rPr>
          <w:rFonts w:eastAsia="Times New Roman" w:cstheme="minorHAnsi"/>
          <w:color w:val="1B3051"/>
        </w:rPr>
        <w:t>alteration in transcriptome</w:t>
      </w:r>
      <w:r w:rsidR="004520CB">
        <w:rPr>
          <w:rFonts w:eastAsia="Times New Roman" w:cstheme="minorHAnsi"/>
          <w:color w:val="1B3051"/>
        </w:rPr>
        <w:t xml:space="preserve"> during the separation process</w:t>
      </w:r>
      <w:r w:rsidR="000C35E0">
        <w:rPr>
          <w:rFonts w:eastAsia="Times New Roman" w:cstheme="minorHAnsi"/>
          <w:color w:val="1B3051"/>
        </w:rPr>
        <w:t>.</w:t>
      </w:r>
    </w:p>
    <w:p w14:paraId="652F8B30" w14:textId="4EE3A3EC" w:rsidR="00E66976" w:rsidRDefault="004115A0" w:rsidP="004B27CD">
      <w:pPr>
        <w:shd w:val="clear" w:color="auto" w:fill="FFFFFF"/>
        <w:spacing w:after="168"/>
        <w:outlineLvl w:val="2"/>
        <w:rPr>
          <w:rFonts w:eastAsia="Times New Roman" w:cstheme="minorHAnsi"/>
          <w:color w:val="1B3051"/>
        </w:rPr>
      </w:pPr>
      <w:r>
        <w:rPr>
          <w:rFonts w:eastAsia="Times New Roman" w:cstheme="minorHAnsi"/>
          <w:color w:val="1B3051"/>
        </w:rPr>
        <w:t xml:space="preserve">With the above consideration in mind, we </w:t>
      </w:r>
      <w:r w:rsidR="0032220A">
        <w:rPr>
          <w:rFonts w:eastAsia="Times New Roman" w:cstheme="minorHAnsi"/>
          <w:color w:val="1B3051"/>
        </w:rPr>
        <w:t xml:space="preserve">searched for RNA-Seq datasets for these three types of tissues in NCBI/GEO.  </w:t>
      </w:r>
      <w:r w:rsidR="00966CC9">
        <w:rPr>
          <w:rFonts w:eastAsia="Times New Roman" w:cstheme="minorHAnsi"/>
          <w:color w:val="1B3051"/>
        </w:rPr>
        <w:t>Samples with clear age information were collected. Whe</w:t>
      </w:r>
      <w:r w:rsidR="00464448">
        <w:rPr>
          <w:rFonts w:eastAsia="Times New Roman" w:cstheme="minorHAnsi"/>
          <w:color w:val="1B3051"/>
        </w:rPr>
        <w:t>r</w:t>
      </w:r>
      <w:r w:rsidR="00966CC9">
        <w:rPr>
          <w:rFonts w:eastAsia="Times New Roman" w:cstheme="minorHAnsi"/>
          <w:color w:val="1B3051"/>
        </w:rPr>
        <w:t>ever possible, age information was verified by checking the publication associated with the dataset</w:t>
      </w:r>
      <w:r w:rsidR="0032220A">
        <w:rPr>
          <w:rFonts w:eastAsia="Times New Roman" w:cstheme="minorHAnsi"/>
          <w:color w:val="1B3051"/>
        </w:rPr>
        <w:t xml:space="preserve">. </w:t>
      </w:r>
      <w:r w:rsidR="00FD5BC9">
        <w:rPr>
          <w:rFonts w:eastAsia="Times New Roman" w:cstheme="minorHAnsi"/>
          <w:color w:val="1B3051"/>
        </w:rPr>
        <w:t xml:space="preserve">The raw reads files were then downloaded from SRA </w:t>
      </w:r>
      <w:r w:rsidR="00104852">
        <w:rPr>
          <w:rFonts w:eastAsia="Times New Roman" w:cstheme="minorHAnsi"/>
          <w:color w:val="1B3051"/>
        </w:rPr>
        <w:t xml:space="preserve">at NCBI.  Transcripts per million (TPM) value for every genes was obtained using </w:t>
      </w:r>
      <w:r w:rsidR="00FD5BC9">
        <w:rPr>
          <w:rFonts w:eastAsia="Times New Roman" w:cstheme="minorHAnsi"/>
          <w:color w:val="1B3051"/>
        </w:rPr>
        <w:t>Salmon</w:t>
      </w:r>
      <w:r w:rsidR="00D831F5">
        <w:rPr>
          <w:rFonts w:eastAsia="Times New Roman" w:cstheme="minorHAnsi"/>
          <w:color w:val="1B3051"/>
        </w:rPr>
        <w:fldChar w:fldCharType="begin" w:fldLock="1"/>
      </w:r>
      <w:r w:rsidR="005B1DC7">
        <w:rPr>
          <w:rFonts w:eastAsia="Times New Roman" w:cstheme="minorHAnsi"/>
          <w:color w:val="1B3051"/>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f173d566-3852-4d77-9a27-c7c8bdc2e6eb"]}],"mendeley":{"formattedCitation":"[14]","plainTextFormattedCitation":"[14]","previouslyFormattedCitation":"[12]"},"properties":{"noteIndex":0},"schema":"https://github.com/citation-style-language/schema/raw/master/csl-citation.json"}</w:instrText>
      </w:r>
      <w:r w:rsidR="00D831F5">
        <w:rPr>
          <w:rFonts w:eastAsia="Times New Roman" w:cstheme="minorHAnsi"/>
          <w:color w:val="1B3051"/>
        </w:rPr>
        <w:fldChar w:fldCharType="separate"/>
      </w:r>
      <w:r w:rsidR="005B1DC7" w:rsidRPr="005B1DC7">
        <w:rPr>
          <w:rFonts w:eastAsia="Times New Roman" w:cstheme="minorHAnsi"/>
          <w:noProof/>
          <w:color w:val="1B3051"/>
        </w:rPr>
        <w:t>[14]</w:t>
      </w:r>
      <w:r w:rsidR="00D831F5">
        <w:rPr>
          <w:rFonts w:eastAsia="Times New Roman" w:cstheme="minorHAnsi"/>
          <w:color w:val="1B3051"/>
        </w:rPr>
        <w:fldChar w:fldCharType="end"/>
      </w:r>
      <w:r w:rsidR="00FD5BC9">
        <w:rPr>
          <w:rFonts w:eastAsia="Times New Roman" w:cstheme="minorHAnsi"/>
          <w:color w:val="1B3051"/>
        </w:rPr>
        <w:t xml:space="preserve">. </w:t>
      </w:r>
      <w:r w:rsidR="00ED5853">
        <w:rPr>
          <w:rFonts w:eastAsia="Times New Roman" w:cstheme="minorHAnsi"/>
          <w:color w:val="1B3051"/>
        </w:rPr>
        <w:t xml:space="preserve"> </w:t>
      </w:r>
    </w:p>
    <w:p w14:paraId="37E215EB" w14:textId="301DB98B" w:rsidR="004115A0" w:rsidRDefault="004115A0" w:rsidP="004B27CD">
      <w:pPr>
        <w:shd w:val="clear" w:color="auto" w:fill="FFFFFF"/>
        <w:spacing w:after="168"/>
        <w:outlineLvl w:val="2"/>
        <w:rPr>
          <w:rFonts w:eastAsia="Times New Roman" w:cstheme="minorHAnsi"/>
          <w:b/>
          <w:bCs/>
          <w:color w:val="1B3051"/>
        </w:rPr>
      </w:pPr>
      <w:r>
        <w:rPr>
          <w:rFonts w:eastAsia="Times New Roman" w:cstheme="minorHAnsi"/>
          <w:b/>
          <w:bCs/>
          <w:color w:val="1B3051"/>
        </w:rPr>
        <w:t>Development and verification of</w:t>
      </w:r>
      <w:r w:rsidR="000A04A3">
        <w:rPr>
          <w:rFonts w:eastAsia="Times New Roman" w:cstheme="minorHAnsi"/>
          <w:b/>
          <w:bCs/>
          <w:color w:val="1B3051"/>
        </w:rPr>
        <w:t xml:space="preserve"> a global</w:t>
      </w:r>
      <w:r>
        <w:rPr>
          <w:rFonts w:eastAsia="Times New Roman" w:cstheme="minorHAnsi"/>
          <w:b/>
          <w:bCs/>
          <w:color w:val="1B3051"/>
        </w:rPr>
        <w:t xml:space="preserve"> </w:t>
      </w:r>
      <w:r w:rsidR="000A04A3">
        <w:rPr>
          <w:rFonts w:eastAsia="Times New Roman" w:cstheme="minorHAnsi"/>
          <w:b/>
          <w:bCs/>
          <w:color w:val="1B3051"/>
        </w:rPr>
        <w:t xml:space="preserve">biological </w:t>
      </w:r>
      <w:r>
        <w:rPr>
          <w:rFonts w:eastAsia="Times New Roman" w:cstheme="minorHAnsi"/>
          <w:b/>
          <w:bCs/>
          <w:color w:val="1B3051"/>
        </w:rPr>
        <w:t>age estimat</w:t>
      </w:r>
      <w:r w:rsidR="000A04A3">
        <w:rPr>
          <w:rFonts w:eastAsia="Times New Roman" w:cstheme="minorHAnsi"/>
          <w:b/>
          <w:bCs/>
          <w:color w:val="1B3051"/>
        </w:rPr>
        <w:t>or</w:t>
      </w:r>
      <w:r>
        <w:rPr>
          <w:rFonts w:eastAsia="Times New Roman" w:cstheme="minorHAnsi"/>
          <w:b/>
          <w:bCs/>
          <w:color w:val="1B3051"/>
        </w:rPr>
        <w:t xml:space="preserve">. </w:t>
      </w:r>
    </w:p>
    <w:p w14:paraId="054D566D" w14:textId="7F63D146" w:rsidR="000A04A3" w:rsidRPr="000A04A3" w:rsidRDefault="000A04A3" w:rsidP="000A04A3">
      <w:pPr>
        <w:shd w:val="clear" w:color="auto" w:fill="FFFFFF"/>
        <w:spacing w:after="168"/>
        <w:outlineLvl w:val="2"/>
        <w:rPr>
          <w:rFonts w:eastAsia="Times New Roman" w:cstheme="minorHAnsi"/>
          <w:color w:val="1B3051"/>
        </w:rPr>
      </w:pPr>
      <w:r>
        <w:rPr>
          <w:rFonts w:eastAsia="Times New Roman" w:cstheme="minorHAnsi"/>
          <w:color w:val="1B3051"/>
        </w:rPr>
        <w:t xml:space="preserve">Flies raised in 25 C with standard food were considered as “normal” samples and were used for generating progression models using the elastic net approach.  A total of 471 “normal” samples were presented in this group and we used 70:30 split for training and testing sets. Prior to elastic net regression, we normalized the data with </w:t>
      </w:r>
      <w:proofErr w:type="gramStart"/>
      <w:r>
        <w:rPr>
          <w:rFonts w:eastAsia="Times New Roman" w:cstheme="minorHAnsi"/>
          <w:color w:val="1B3051"/>
        </w:rPr>
        <w:t>The</w:t>
      </w:r>
      <w:proofErr w:type="gramEnd"/>
      <w:r>
        <w:rPr>
          <w:rFonts w:eastAsia="Times New Roman" w:cstheme="minorHAnsi"/>
          <w:color w:val="1B3051"/>
        </w:rPr>
        <w:t xml:space="preserve"> best elastic net model achieved </w:t>
      </w:r>
      <w:r w:rsidRPr="00104852">
        <w:rPr>
          <w:rFonts w:eastAsia="Times New Roman" w:cstheme="minorHAnsi"/>
          <w:color w:val="1B3051"/>
        </w:rPr>
        <w:t xml:space="preserve">mean absolute deviation </w:t>
      </w:r>
      <w:r>
        <w:rPr>
          <w:rFonts w:eastAsia="Times New Roman" w:cstheme="minorHAnsi"/>
          <w:color w:val="1B3051"/>
        </w:rPr>
        <w:t xml:space="preserve">(MAD) of </w:t>
      </w:r>
      <w:r w:rsidRPr="00280198">
        <w:rPr>
          <w:rFonts w:eastAsia="Times New Roman" w:cstheme="minorHAnsi"/>
          <w:color w:val="FF0000"/>
        </w:rPr>
        <w:t>2.</w:t>
      </w:r>
      <w:r>
        <w:rPr>
          <w:rFonts w:eastAsia="Times New Roman" w:cstheme="minorHAnsi"/>
          <w:color w:val="FF0000"/>
        </w:rPr>
        <w:t>32</w:t>
      </w:r>
      <w:r w:rsidRPr="00280198">
        <w:rPr>
          <w:rFonts w:eastAsia="Times New Roman" w:cstheme="minorHAnsi"/>
          <w:color w:val="FF0000"/>
        </w:rPr>
        <w:t xml:space="preserve"> </w:t>
      </w:r>
      <w:r>
        <w:rPr>
          <w:rFonts w:eastAsia="Times New Roman" w:cstheme="minorHAnsi"/>
          <w:color w:val="1B3051"/>
        </w:rPr>
        <w:t xml:space="preserve">days.  This is roughly equivalent of 3.7 yeas in human lifespan.  This is considerably better than using </w:t>
      </w:r>
    </w:p>
    <w:p w14:paraId="1EDCEE70" w14:textId="663D10C8" w:rsidR="004115A0" w:rsidRDefault="004115A0" w:rsidP="004B27CD">
      <w:pPr>
        <w:shd w:val="clear" w:color="auto" w:fill="FFFFFF"/>
        <w:spacing w:after="168"/>
        <w:outlineLvl w:val="2"/>
        <w:rPr>
          <w:rFonts w:eastAsia="Times New Roman" w:cstheme="minorHAnsi"/>
          <w:b/>
          <w:bCs/>
          <w:color w:val="1B3051"/>
        </w:rPr>
      </w:pPr>
    </w:p>
    <w:p w14:paraId="4FB9B560" w14:textId="54040351" w:rsidR="004115A0" w:rsidRDefault="004115A0" w:rsidP="004B27CD">
      <w:pPr>
        <w:shd w:val="clear" w:color="auto" w:fill="FFFFFF"/>
        <w:spacing w:after="168"/>
        <w:outlineLvl w:val="2"/>
        <w:rPr>
          <w:rFonts w:eastAsia="Times New Roman" w:cstheme="minorHAnsi"/>
          <w:b/>
          <w:bCs/>
          <w:color w:val="1B3051"/>
        </w:rPr>
      </w:pPr>
      <w:r>
        <w:rPr>
          <w:rFonts w:eastAsia="Times New Roman" w:cstheme="minorHAnsi"/>
          <w:b/>
          <w:bCs/>
          <w:color w:val="1B3051"/>
        </w:rPr>
        <w:t>Enrichment of Innate immune genes in the estimator.</w:t>
      </w:r>
    </w:p>
    <w:p w14:paraId="4086051A" w14:textId="707E9527" w:rsidR="004115A0" w:rsidRDefault="004115A0" w:rsidP="004B27CD">
      <w:pPr>
        <w:shd w:val="clear" w:color="auto" w:fill="FFFFFF"/>
        <w:spacing w:after="168"/>
        <w:outlineLvl w:val="2"/>
        <w:rPr>
          <w:rFonts w:eastAsia="Times New Roman" w:cstheme="minorHAnsi"/>
          <w:b/>
          <w:bCs/>
          <w:color w:val="1B3051"/>
        </w:rPr>
      </w:pPr>
    </w:p>
    <w:p w14:paraId="432CE9C9" w14:textId="745E71B5" w:rsidR="004115A0" w:rsidRPr="00775290" w:rsidRDefault="004115A0" w:rsidP="004B27CD">
      <w:pPr>
        <w:shd w:val="clear" w:color="auto" w:fill="FFFFFF"/>
        <w:spacing w:after="168"/>
        <w:outlineLvl w:val="2"/>
        <w:rPr>
          <w:rFonts w:eastAsia="Times New Roman" w:cstheme="minorHAnsi"/>
          <w:b/>
          <w:bCs/>
          <w:color w:val="1B3051"/>
        </w:rPr>
      </w:pPr>
    </w:p>
    <w:p w14:paraId="3620281F" w14:textId="77777777" w:rsidR="00E26136" w:rsidRDefault="004B27CD" w:rsidP="00E26136">
      <w:pPr>
        <w:shd w:val="clear" w:color="auto" w:fill="FFFFFF"/>
        <w:spacing w:after="168"/>
        <w:outlineLvl w:val="2"/>
        <w:rPr>
          <w:rFonts w:ascii="Segoe UI" w:eastAsia="Times New Roman" w:hAnsi="Segoe UI" w:cs="Segoe UI"/>
          <w:i/>
          <w:iCs/>
          <w:color w:val="333333"/>
          <w:sz w:val="18"/>
          <w:szCs w:val="18"/>
        </w:rPr>
      </w:pPr>
      <w:r w:rsidRPr="004B27CD">
        <w:rPr>
          <w:rFonts w:ascii="Trebuchet MS" w:eastAsia="Times New Roman" w:hAnsi="Trebuchet MS" w:cs="Segoe UI"/>
          <w:b/>
          <w:bCs/>
          <w:color w:val="1B3051"/>
          <w:sz w:val="27"/>
          <w:szCs w:val="27"/>
        </w:rPr>
        <w:t>Conclusions</w:t>
      </w:r>
      <w:r w:rsidR="008F46A2">
        <w:rPr>
          <w:rFonts w:ascii="Trebuchet MS" w:eastAsia="Times New Roman" w:hAnsi="Trebuchet MS" w:cs="Segoe UI"/>
          <w:b/>
          <w:bCs/>
          <w:color w:val="1B3051"/>
          <w:sz w:val="27"/>
          <w:szCs w:val="27"/>
        </w:rPr>
        <w:t xml:space="preserve"> </w:t>
      </w:r>
      <w:r w:rsidR="008F46A2">
        <w:rPr>
          <w:rFonts w:ascii="Segoe UI" w:eastAsia="Times New Roman" w:hAnsi="Segoe UI" w:cs="Segoe UI"/>
          <w:i/>
          <w:iCs/>
          <w:color w:val="333333"/>
          <w:sz w:val="18"/>
          <w:szCs w:val="18"/>
        </w:rPr>
        <w:t>(</w:t>
      </w:r>
      <w:r w:rsidRPr="008F46A2">
        <w:rPr>
          <w:rFonts w:ascii="Segoe UI" w:eastAsia="Times New Roman" w:hAnsi="Segoe UI" w:cs="Segoe UI"/>
          <w:i/>
          <w:iCs/>
          <w:color w:val="333333"/>
          <w:sz w:val="18"/>
          <w:szCs w:val="18"/>
        </w:rPr>
        <w:t>This should state clearly the main conclusions and provide an explanation of the importance and relevance of the study to the field.</w:t>
      </w:r>
      <w:r w:rsidR="008F46A2">
        <w:rPr>
          <w:rFonts w:ascii="Segoe UI" w:eastAsia="Times New Roman" w:hAnsi="Segoe UI" w:cs="Segoe UI"/>
          <w:i/>
          <w:iCs/>
          <w:color w:val="333333"/>
          <w:sz w:val="18"/>
          <w:szCs w:val="18"/>
        </w:rPr>
        <w:t>)</w:t>
      </w:r>
    </w:p>
    <w:p w14:paraId="193BAF59" w14:textId="018CA01C" w:rsidR="008F46A2" w:rsidRPr="004A7443" w:rsidRDefault="00E26136" w:rsidP="004A7443">
      <w:pPr>
        <w:shd w:val="clear" w:color="auto" w:fill="FFFFFF"/>
        <w:spacing w:after="168"/>
        <w:outlineLvl w:val="2"/>
        <w:rPr>
          <w:rFonts w:eastAsia="Times New Roman" w:cstheme="minorHAnsi"/>
          <w:i/>
          <w:iCs/>
          <w:color w:val="333333"/>
        </w:rPr>
      </w:pPr>
      <w:r w:rsidRPr="00E26136">
        <w:rPr>
          <w:rFonts w:eastAsia="Times New Roman" w:cstheme="minorHAnsi"/>
          <w:color w:val="333333"/>
        </w:rPr>
        <w:t>We have developed a</w:t>
      </w:r>
      <w:r w:rsidR="00D454C5">
        <w:rPr>
          <w:rFonts w:eastAsia="Times New Roman" w:cstheme="minorHAnsi"/>
          <w:color w:val="333333"/>
        </w:rPr>
        <w:t>n</w:t>
      </w:r>
      <w:r w:rsidRPr="00E26136">
        <w:rPr>
          <w:rFonts w:eastAsia="Times New Roman" w:cstheme="minorHAnsi"/>
          <w:color w:val="333333"/>
        </w:rPr>
        <w:t xml:space="preserve"> </w:t>
      </w:r>
      <w:r w:rsidR="00D454C5">
        <w:rPr>
          <w:rFonts w:eastAsia="Times New Roman" w:cstheme="minorHAnsi"/>
          <w:color w:val="333333"/>
        </w:rPr>
        <w:t xml:space="preserve">elastic net -based </w:t>
      </w:r>
      <w:r w:rsidRPr="00E26136">
        <w:rPr>
          <w:rFonts w:eastAsia="Times New Roman" w:cstheme="minorHAnsi"/>
          <w:color w:val="333333"/>
        </w:rPr>
        <w:t>estimator</w:t>
      </w:r>
      <w:r>
        <w:rPr>
          <w:rFonts w:eastAsia="Times New Roman" w:cstheme="minorHAnsi"/>
          <w:color w:val="333333"/>
        </w:rPr>
        <w:t xml:space="preserve"> for </w:t>
      </w:r>
      <w:r w:rsidR="00D454C5">
        <w:rPr>
          <w:rFonts w:eastAsia="Times New Roman" w:cstheme="minorHAnsi"/>
          <w:color w:val="333333"/>
        </w:rPr>
        <w:t>assessing</w:t>
      </w:r>
      <w:r>
        <w:rPr>
          <w:rFonts w:eastAsia="Times New Roman" w:cstheme="minorHAnsi"/>
          <w:color w:val="333333"/>
        </w:rPr>
        <w:t xml:space="preserve"> the biological age of fruit fl</w:t>
      </w:r>
      <w:r w:rsidR="004A7443">
        <w:rPr>
          <w:rFonts w:eastAsia="Times New Roman" w:cstheme="minorHAnsi"/>
          <w:color w:val="333333"/>
        </w:rPr>
        <w:t>ies</w:t>
      </w:r>
      <w:r w:rsidR="00280198">
        <w:rPr>
          <w:rFonts w:eastAsia="Times New Roman" w:cstheme="minorHAnsi"/>
          <w:color w:val="333333"/>
        </w:rPr>
        <w:t xml:space="preserve"> based on transcriptom</w:t>
      </w:r>
      <w:r w:rsidR="00D454C5">
        <w:rPr>
          <w:rFonts w:eastAsia="Times New Roman" w:cstheme="minorHAnsi"/>
          <w:color w:val="333333"/>
        </w:rPr>
        <w:t>ic measurements obtained via RNA-Seq</w:t>
      </w:r>
      <w:r w:rsidR="00280198">
        <w:rPr>
          <w:rFonts w:eastAsia="Times New Roman" w:cstheme="minorHAnsi"/>
          <w:color w:val="333333"/>
        </w:rPr>
        <w:t xml:space="preserve">.  </w:t>
      </w:r>
      <w:r w:rsidR="00D454C5">
        <w:rPr>
          <w:rFonts w:eastAsia="Times New Roman" w:cstheme="minorHAnsi"/>
          <w:color w:val="333333"/>
        </w:rPr>
        <w:t>By focusing on t</w:t>
      </w:r>
      <w:r w:rsidR="00D454C5">
        <w:rPr>
          <w:rFonts w:eastAsia="Times New Roman" w:cstheme="minorHAnsi"/>
          <w:color w:val="1B3051"/>
        </w:rPr>
        <w:t>issues from wh</w:t>
      </w:r>
      <w:r w:rsidR="009E1A69">
        <w:rPr>
          <w:rFonts w:eastAsia="Times New Roman" w:cstheme="minorHAnsi"/>
          <w:color w:val="1B3051"/>
        </w:rPr>
        <w:t>ich</w:t>
      </w:r>
      <w:r w:rsidR="00D454C5">
        <w:rPr>
          <w:rFonts w:eastAsia="Times New Roman" w:cstheme="minorHAnsi"/>
          <w:color w:val="1B3051"/>
        </w:rPr>
        <w:t xml:space="preserve"> total RNA could be obtained reliably without </w:t>
      </w:r>
      <w:r w:rsidR="009E1A69">
        <w:rPr>
          <w:rFonts w:eastAsia="Times New Roman" w:cstheme="minorHAnsi"/>
          <w:color w:val="1B3051"/>
        </w:rPr>
        <w:t>dissection, our method</w:t>
      </w:r>
      <w:r w:rsidR="004A7443">
        <w:rPr>
          <w:rFonts w:eastAsia="Times New Roman" w:cstheme="minorHAnsi"/>
          <w:color w:val="1B3051"/>
        </w:rPr>
        <w:t xml:space="preserve"> can be applied to assess alteration of aging at any given time point of the adult stage. </w:t>
      </w:r>
    </w:p>
    <w:p w14:paraId="21C2AB33" w14:textId="77777777" w:rsidR="008F46A2" w:rsidRPr="00CE46DC" w:rsidRDefault="008F46A2" w:rsidP="008F46A2">
      <w:pPr>
        <w:shd w:val="clear" w:color="auto" w:fill="FFFFFF"/>
        <w:spacing w:after="168"/>
        <w:outlineLvl w:val="2"/>
        <w:rPr>
          <w:rFonts w:eastAsia="Times New Roman" w:cstheme="minorHAnsi"/>
          <w:b/>
          <w:bCs/>
          <w:color w:val="1B3051"/>
        </w:rPr>
      </w:pPr>
    </w:p>
    <w:p w14:paraId="1D099F0D" w14:textId="216F0C0B" w:rsidR="008F46A2" w:rsidRPr="008F46A2" w:rsidRDefault="008F46A2" w:rsidP="004B27CD">
      <w:pPr>
        <w:pStyle w:val="ListParagraph"/>
        <w:numPr>
          <w:ilvl w:val="0"/>
          <w:numId w:val="3"/>
        </w:numPr>
        <w:shd w:val="clear" w:color="auto" w:fill="FFFFFF"/>
        <w:spacing w:after="168"/>
        <w:outlineLvl w:val="2"/>
        <w:rPr>
          <w:rFonts w:eastAsia="Times New Roman" w:cstheme="minorHAnsi"/>
          <w:color w:val="1B3051"/>
        </w:rPr>
      </w:pPr>
      <w:r w:rsidRPr="00CE46DC">
        <w:rPr>
          <w:rFonts w:eastAsia="Times New Roman" w:cstheme="minorHAnsi"/>
          <w:color w:val="1B3051"/>
        </w:rPr>
        <w:t xml:space="preserve">Inflammation plays an important role – recent mammalian transcriptome Drosophila Innate immunity.  </w:t>
      </w:r>
    </w:p>
    <w:p w14:paraId="2354E2B4" w14:textId="77777777" w:rsidR="008F46A2" w:rsidRDefault="008F46A2" w:rsidP="004B27CD">
      <w:pPr>
        <w:shd w:val="clear" w:color="auto" w:fill="FFFFFF"/>
        <w:spacing w:after="168"/>
        <w:outlineLvl w:val="2"/>
        <w:rPr>
          <w:rFonts w:ascii="Trebuchet MS" w:eastAsia="Times New Roman" w:hAnsi="Trebuchet MS" w:cs="Segoe UI"/>
          <w:b/>
          <w:bCs/>
          <w:color w:val="1B3051"/>
          <w:sz w:val="27"/>
          <w:szCs w:val="27"/>
        </w:rPr>
      </w:pPr>
    </w:p>
    <w:p w14:paraId="63E0F5D5" w14:textId="77777777" w:rsidR="008F46A2" w:rsidRDefault="008F46A2" w:rsidP="004B27CD">
      <w:pPr>
        <w:shd w:val="clear" w:color="auto" w:fill="FFFFFF"/>
        <w:spacing w:after="168"/>
        <w:outlineLvl w:val="2"/>
        <w:rPr>
          <w:rFonts w:ascii="Trebuchet MS" w:eastAsia="Times New Roman" w:hAnsi="Trebuchet MS" w:cs="Segoe UI"/>
          <w:b/>
          <w:bCs/>
          <w:color w:val="1B3051"/>
          <w:sz w:val="27"/>
          <w:szCs w:val="27"/>
        </w:rPr>
      </w:pPr>
    </w:p>
    <w:p w14:paraId="0A22C3F2" w14:textId="0A89CF43" w:rsidR="004B27CD" w:rsidRPr="004B27CD" w:rsidRDefault="004B27CD" w:rsidP="004B27CD">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t>Methods (should be included after Conclusions)</w:t>
      </w:r>
    </w:p>
    <w:p w14:paraId="72C3C46C" w14:textId="77777777" w:rsidR="004B27CD" w:rsidRPr="008F46A2" w:rsidRDefault="004B27CD" w:rsidP="008F46A2">
      <w:p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The methods section should include:</w:t>
      </w:r>
    </w:p>
    <w:p w14:paraId="5B535533" w14:textId="77777777" w:rsidR="004B27CD" w:rsidRPr="008F46A2" w:rsidRDefault="004B27CD" w:rsidP="008F46A2">
      <w:pPr>
        <w:numPr>
          <w:ilvl w:val="0"/>
          <w:numId w:val="2"/>
        </w:num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the aim, design and setting of the study</w:t>
      </w:r>
    </w:p>
    <w:p w14:paraId="26F86A02" w14:textId="77777777" w:rsidR="004B27CD" w:rsidRPr="008F46A2" w:rsidRDefault="004B27CD" w:rsidP="008F46A2">
      <w:pPr>
        <w:numPr>
          <w:ilvl w:val="0"/>
          <w:numId w:val="2"/>
        </w:num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the characteristics of participants or description of materials</w:t>
      </w:r>
    </w:p>
    <w:p w14:paraId="23079875" w14:textId="77777777" w:rsidR="004B27CD" w:rsidRPr="008F46A2" w:rsidRDefault="004B27CD" w:rsidP="008F46A2">
      <w:pPr>
        <w:numPr>
          <w:ilvl w:val="0"/>
          <w:numId w:val="2"/>
        </w:num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a clear description of all processes, interventions and comparisons. Generic names should generally be used. When proprietary brands are used in research, include the brand names in parentheses</w:t>
      </w:r>
    </w:p>
    <w:p w14:paraId="75709026" w14:textId="77777777" w:rsidR="004B27CD" w:rsidRPr="008F46A2" w:rsidRDefault="004B27CD" w:rsidP="008F46A2">
      <w:pPr>
        <w:numPr>
          <w:ilvl w:val="0"/>
          <w:numId w:val="2"/>
        </w:num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the type of statistical analysis used, including a power calculation if appropriate</w:t>
      </w:r>
    </w:p>
    <w:p w14:paraId="7A57053A" w14:textId="77777777" w:rsidR="004B27CD" w:rsidRPr="008F46A2" w:rsidRDefault="004B27CD" w:rsidP="008F46A2">
      <w:pPr>
        <w:numPr>
          <w:ilvl w:val="0"/>
          <w:numId w:val="2"/>
        </w:numPr>
        <w:shd w:val="clear" w:color="auto" w:fill="FFFFFF"/>
        <w:spacing w:before="60" w:after="60"/>
        <w:rPr>
          <w:rFonts w:ascii="Segoe UI" w:eastAsia="Times New Roman" w:hAnsi="Segoe UI" w:cs="Segoe UI"/>
          <w:i/>
          <w:iCs/>
          <w:color w:val="333333"/>
          <w:sz w:val="18"/>
          <w:szCs w:val="18"/>
          <w:shd w:val="pct15" w:color="auto" w:fill="FFFFFF"/>
        </w:rPr>
      </w:pPr>
      <w:r w:rsidRPr="008F46A2">
        <w:rPr>
          <w:rFonts w:ascii="Segoe UI" w:eastAsia="Times New Roman" w:hAnsi="Segoe UI" w:cs="Segoe UI"/>
          <w:i/>
          <w:iCs/>
          <w:color w:val="333333"/>
          <w:sz w:val="18"/>
          <w:szCs w:val="18"/>
          <w:shd w:val="pct15" w:color="auto" w:fill="FFFFFF"/>
        </w:rPr>
        <w:t>software tool requirements</w:t>
      </w:r>
    </w:p>
    <w:p w14:paraId="42A5BCF6" w14:textId="708964AE" w:rsidR="008F46A2" w:rsidRDefault="008F46A2" w:rsidP="004B27CD">
      <w:pPr>
        <w:shd w:val="clear" w:color="auto" w:fill="FFFFFF"/>
        <w:spacing w:after="168"/>
        <w:outlineLvl w:val="2"/>
        <w:rPr>
          <w:rFonts w:ascii="Trebuchet MS" w:eastAsia="Times New Roman" w:hAnsi="Trebuchet MS" w:cs="Segoe UI"/>
          <w:b/>
          <w:bCs/>
          <w:color w:val="1B3051"/>
          <w:sz w:val="27"/>
          <w:szCs w:val="27"/>
        </w:rPr>
      </w:pPr>
    </w:p>
    <w:p w14:paraId="61E852CE" w14:textId="3664F272" w:rsidR="00FD5BC9" w:rsidRDefault="00FD5BC9" w:rsidP="004B27CD">
      <w:pPr>
        <w:shd w:val="clear" w:color="auto" w:fill="FFFFFF"/>
        <w:spacing w:after="168"/>
        <w:outlineLvl w:val="2"/>
        <w:rPr>
          <w:rFonts w:ascii="Arial" w:eastAsia="Times New Roman" w:hAnsi="Arial" w:cs="Arial"/>
          <w:color w:val="1B3051"/>
        </w:rPr>
      </w:pPr>
      <w:r>
        <w:rPr>
          <w:rFonts w:ascii="Arial" w:eastAsia="Times New Roman" w:hAnsi="Arial" w:cs="Arial"/>
          <w:color w:val="1B3051"/>
        </w:rPr>
        <w:t>Datasets.</w:t>
      </w:r>
    </w:p>
    <w:p w14:paraId="59B5DA3A" w14:textId="05A7A92E" w:rsidR="00FD5BC9" w:rsidRDefault="00FD5BC9" w:rsidP="004B27CD">
      <w:pPr>
        <w:shd w:val="clear" w:color="auto" w:fill="FFFFFF"/>
        <w:spacing w:after="168"/>
        <w:outlineLvl w:val="2"/>
        <w:rPr>
          <w:rFonts w:ascii="Arial" w:eastAsia="Times New Roman" w:hAnsi="Arial" w:cs="Arial"/>
          <w:color w:val="1B3051"/>
        </w:rPr>
      </w:pPr>
      <w:r>
        <w:rPr>
          <w:rFonts w:ascii="Arial" w:eastAsia="Times New Roman" w:hAnsi="Arial" w:cs="Arial"/>
          <w:color w:val="1B3051"/>
        </w:rPr>
        <w:t>Obtaining transcript per million (TPM).</w:t>
      </w:r>
      <w:r w:rsidR="000F0C0E">
        <w:rPr>
          <w:rFonts w:ascii="Arial" w:eastAsia="Times New Roman" w:hAnsi="Arial" w:cs="Arial"/>
          <w:color w:val="1B3051"/>
        </w:rPr>
        <w:t xml:space="preserve"> Transcriptome quantification were obtained with Salmon</w:t>
      </w:r>
      <w:r w:rsidR="00C0481B">
        <w:rPr>
          <w:rFonts w:ascii="Arial" w:eastAsia="Times New Roman" w:hAnsi="Arial" w:cs="Arial"/>
          <w:color w:val="1B3051"/>
        </w:rPr>
        <w:fldChar w:fldCharType="begin" w:fldLock="1"/>
      </w:r>
      <w:r w:rsidR="005B1DC7">
        <w:rPr>
          <w:rFonts w:ascii="Arial" w:eastAsia="Times New Roman" w:hAnsi="Arial" w:cs="Arial"/>
          <w:color w:val="1B3051"/>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f173d566-3852-4d77-9a27-c7c8bdc2e6eb"]}],"mendeley":{"formattedCitation":"[14]","plainTextFormattedCitation":"[14]","previouslyFormattedCitation":"[12]"},"properties":{"noteIndex":0},"schema":"https://github.com/citation-style-language/schema/raw/master/csl-citation.json"}</w:instrText>
      </w:r>
      <w:r w:rsidR="00C0481B">
        <w:rPr>
          <w:rFonts w:ascii="Arial" w:eastAsia="Times New Roman" w:hAnsi="Arial" w:cs="Arial"/>
          <w:color w:val="1B3051"/>
        </w:rPr>
        <w:fldChar w:fldCharType="separate"/>
      </w:r>
      <w:r w:rsidR="005B1DC7" w:rsidRPr="005B1DC7">
        <w:rPr>
          <w:rFonts w:ascii="Arial" w:eastAsia="Times New Roman" w:hAnsi="Arial" w:cs="Arial"/>
          <w:noProof/>
          <w:color w:val="1B3051"/>
        </w:rPr>
        <w:t>[14]</w:t>
      </w:r>
      <w:r w:rsidR="00C0481B">
        <w:rPr>
          <w:rFonts w:ascii="Arial" w:eastAsia="Times New Roman" w:hAnsi="Arial" w:cs="Arial"/>
          <w:color w:val="1B3051"/>
        </w:rPr>
        <w:fldChar w:fldCharType="end"/>
      </w:r>
      <w:r w:rsidR="000F0C0E">
        <w:rPr>
          <w:rFonts w:ascii="Arial" w:eastAsia="Times New Roman" w:hAnsi="Arial" w:cs="Arial"/>
          <w:color w:val="1B3051"/>
        </w:rPr>
        <w:t xml:space="preserve"> using the 6.43 Drosophila melanogaster release. </w:t>
      </w:r>
    </w:p>
    <w:p w14:paraId="40F8E96C" w14:textId="5BC52D3A" w:rsidR="00FD5BC9" w:rsidRPr="00FD5BC9" w:rsidRDefault="00FD5BC9" w:rsidP="004B27CD">
      <w:pPr>
        <w:shd w:val="clear" w:color="auto" w:fill="FFFFFF"/>
        <w:spacing w:after="168"/>
        <w:outlineLvl w:val="2"/>
        <w:rPr>
          <w:rFonts w:ascii="Arial" w:eastAsia="Times New Roman" w:hAnsi="Arial" w:cs="Arial"/>
          <w:color w:val="1B3051"/>
        </w:rPr>
      </w:pPr>
      <w:r>
        <w:rPr>
          <w:rFonts w:ascii="Arial" w:eastAsia="Times New Roman" w:hAnsi="Arial" w:cs="Arial"/>
          <w:color w:val="1B3051"/>
        </w:rPr>
        <w:t>Machine learning.</w:t>
      </w:r>
    </w:p>
    <w:p w14:paraId="5320A412" w14:textId="5AA05DA6" w:rsidR="008F46A2" w:rsidRPr="001B0E85" w:rsidRDefault="001B0E85" w:rsidP="004B27CD">
      <w:pPr>
        <w:shd w:val="clear" w:color="auto" w:fill="FFFFFF"/>
        <w:spacing w:after="168"/>
        <w:outlineLvl w:val="2"/>
        <w:rPr>
          <w:rFonts w:ascii="Trebuchet MS" w:eastAsia="Times New Roman" w:hAnsi="Trebuchet MS" w:cs="Segoe UI"/>
          <w:color w:val="1B3051"/>
          <w:sz w:val="27"/>
          <w:szCs w:val="27"/>
        </w:rPr>
      </w:pPr>
      <w:r w:rsidRPr="001B0E85">
        <w:rPr>
          <w:rFonts w:ascii="Trebuchet MS" w:eastAsia="Times New Roman" w:hAnsi="Trebuchet MS" w:cs="Segoe UI"/>
          <w:color w:val="1B3051"/>
          <w:sz w:val="27"/>
          <w:szCs w:val="27"/>
        </w:rPr>
        <w:t xml:space="preserve">1day ~1.6 year. </w:t>
      </w:r>
    </w:p>
    <w:p w14:paraId="774C85C5" w14:textId="77777777" w:rsidR="008F46A2" w:rsidRDefault="008F46A2" w:rsidP="004B27CD">
      <w:pPr>
        <w:shd w:val="clear" w:color="auto" w:fill="FFFFFF"/>
        <w:spacing w:after="168"/>
        <w:outlineLvl w:val="2"/>
        <w:rPr>
          <w:rFonts w:ascii="Trebuchet MS" w:eastAsia="Times New Roman" w:hAnsi="Trebuchet MS" w:cs="Segoe UI"/>
          <w:b/>
          <w:bCs/>
          <w:color w:val="1B3051"/>
          <w:sz w:val="27"/>
          <w:szCs w:val="27"/>
        </w:rPr>
      </w:pPr>
    </w:p>
    <w:p w14:paraId="777072FC" w14:textId="26431A16" w:rsidR="004B27CD" w:rsidRPr="004B27CD" w:rsidRDefault="004B27CD" w:rsidP="004B27CD">
      <w:pPr>
        <w:shd w:val="clear" w:color="auto" w:fill="FFFFFF"/>
        <w:spacing w:after="168"/>
        <w:outlineLvl w:val="2"/>
        <w:rPr>
          <w:rFonts w:ascii="Trebuchet MS" w:eastAsia="Times New Roman" w:hAnsi="Trebuchet MS" w:cs="Segoe UI"/>
          <w:b/>
          <w:bCs/>
          <w:color w:val="1B3051"/>
          <w:sz w:val="27"/>
          <w:szCs w:val="27"/>
        </w:rPr>
      </w:pPr>
      <w:r w:rsidRPr="004B27CD">
        <w:rPr>
          <w:rFonts w:ascii="Trebuchet MS" w:eastAsia="Times New Roman" w:hAnsi="Trebuchet MS" w:cs="Segoe UI"/>
          <w:b/>
          <w:bCs/>
          <w:color w:val="1B3051"/>
          <w:sz w:val="27"/>
          <w:szCs w:val="27"/>
        </w:rPr>
        <w:t>Abbreviations</w:t>
      </w:r>
    </w:p>
    <w:p w14:paraId="636B6D9B" w14:textId="099EDBF1" w:rsidR="00DB6087" w:rsidRDefault="00104852" w:rsidP="00104852">
      <w:pPr>
        <w:shd w:val="clear" w:color="auto" w:fill="FFFFFF"/>
        <w:rPr>
          <w:rFonts w:ascii="Times New Roman" w:eastAsia="Times New Roman" w:hAnsi="Times New Roman" w:cs="Times New Roman"/>
        </w:rPr>
      </w:pPr>
      <w:r w:rsidRPr="00104852">
        <w:rPr>
          <w:rFonts w:eastAsia="Times New Roman" w:cstheme="minorHAnsi"/>
          <w:color w:val="333333"/>
        </w:rPr>
        <w:t>MAD – mean absolute deviation</w:t>
      </w:r>
      <w:r>
        <w:rPr>
          <w:rFonts w:eastAsia="Times New Roman" w:cstheme="minorHAnsi"/>
          <w:color w:val="333333"/>
        </w:rPr>
        <w:t>.</w:t>
      </w:r>
    </w:p>
    <w:p w14:paraId="601967A4" w14:textId="77777777" w:rsidR="00DC481D" w:rsidRDefault="00DC481D">
      <w:pPr>
        <w:rPr>
          <w:rFonts w:ascii="Times New Roman" w:eastAsia="Times New Roman" w:hAnsi="Times New Roman" w:cs="Times New Roman"/>
        </w:rPr>
      </w:pPr>
    </w:p>
    <w:p w14:paraId="189A7C19" w14:textId="77777777" w:rsidR="00DC481D" w:rsidRDefault="00DC481D">
      <w:pPr>
        <w:rPr>
          <w:rFonts w:ascii="Times New Roman" w:eastAsia="Times New Roman" w:hAnsi="Times New Roman" w:cs="Times New Roman"/>
        </w:rPr>
      </w:pPr>
    </w:p>
    <w:p w14:paraId="4842F30E" w14:textId="77777777" w:rsidR="00DC481D" w:rsidRDefault="00DC481D">
      <w:pPr>
        <w:rPr>
          <w:rFonts w:ascii="Times New Roman" w:eastAsia="Times New Roman" w:hAnsi="Times New Roman" w:cs="Times New Roman"/>
        </w:rPr>
      </w:pPr>
      <w:r>
        <w:rPr>
          <w:rFonts w:ascii="Times New Roman" w:eastAsia="Times New Roman" w:hAnsi="Times New Roman" w:cs="Times New Roman"/>
        </w:rPr>
        <w:br w:type="page"/>
      </w:r>
    </w:p>
    <w:p w14:paraId="5B4E65FA" w14:textId="77777777" w:rsidR="00DC481D" w:rsidRDefault="00DC481D">
      <w:pPr>
        <w:rPr>
          <w:rFonts w:ascii="Times New Roman" w:eastAsia="Times New Roman" w:hAnsi="Times New Roman" w:cs="Times New Roman"/>
        </w:rPr>
      </w:pPr>
      <w:r>
        <w:rPr>
          <w:rFonts w:ascii="Times New Roman" w:eastAsia="Times New Roman" w:hAnsi="Times New Roman" w:cs="Times New Roman"/>
        </w:rPr>
        <w:t>Figure Legends.</w:t>
      </w:r>
    </w:p>
    <w:p w14:paraId="615177B8" w14:textId="77777777" w:rsidR="00DC481D" w:rsidRDefault="00DC481D">
      <w:pPr>
        <w:rPr>
          <w:rFonts w:ascii="Times New Roman" w:eastAsia="Times New Roman" w:hAnsi="Times New Roman" w:cs="Times New Roman"/>
        </w:rPr>
      </w:pPr>
    </w:p>
    <w:p w14:paraId="06993E32" w14:textId="77777777" w:rsidR="005575A0" w:rsidRDefault="00DC481D">
      <w:pPr>
        <w:rPr>
          <w:rFonts w:ascii="Times New Roman" w:eastAsia="Times New Roman" w:hAnsi="Times New Roman" w:cs="Times New Roman"/>
        </w:rPr>
      </w:pPr>
      <w:r>
        <w:rPr>
          <w:rFonts w:ascii="Times New Roman" w:eastAsia="Times New Roman" w:hAnsi="Times New Roman" w:cs="Times New Roman"/>
        </w:rPr>
        <w:t xml:space="preserve">Figure 1. A global Estimator for Drosophila Inflammatory Age. </w:t>
      </w:r>
    </w:p>
    <w:p w14:paraId="251D110F" w14:textId="672441A4" w:rsidR="001B0E85" w:rsidRPr="001B0E85" w:rsidRDefault="00DC481D" w:rsidP="001B0E85">
      <w:pPr>
        <w:pStyle w:val="ListParagraph"/>
        <w:numPr>
          <w:ilvl w:val="0"/>
          <w:numId w:val="5"/>
        </w:numPr>
        <w:rPr>
          <w:rFonts w:ascii="Times New Roman" w:eastAsia="Times New Roman" w:hAnsi="Times New Roman" w:cs="Times New Roman"/>
        </w:rPr>
      </w:pPr>
      <w:r w:rsidRPr="001B0E85">
        <w:rPr>
          <w:rFonts w:ascii="Times New Roman" w:eastAsia="Times New Roman" w:hAnsi="Times New Roman" w:cs="Times New Roman"/>
        </w:rPr>
        <w:t xml:space="preserve">Performance of Elastic Net mode based on Scale or </w:t>
      </w:r>
      <w:proofErr w:type="spellStart"/>
      <w:r w:rsidRPr="001B0E85">
        <w:rPr>
          <w:rFonts w:ascii="Times New Roman" w:eastAsia="Times New Roman" w:hAnsi="Times New Roman" w:cs="Times New Roman"/>
        </w:rPr>
        <w:t>MinMax</w:t>
      </w:r>
      <w:proofErr w:type="spellEnd"/>
      <w:r w:rsidRPr="001B0E85">
        <w:rPr>
          <w:rFonts w:ascii="Times New Roman" w:eastAsia="Times New Roman" w:hAnsi="Times New Roman" w:cs="Times New Roman"/>
        </w:rPr>
        <w:t xml:space="preserve">. </w:t>
      </w:r>
      <w:r w:rsidR="001B0E85" w:rsidRPr="001B0E85">
        <w:rPr>
          <w:rFonts w:ascii="Times New Roman" w:eastAsia="Times New Roman" w:hAnsi="Times New Roman" w:cs="Times New Roman"/>
        </w:rPr>
        <w:t xml:space="preserve">The prediction of the test set (30% of total) </w:t>
      </w:r>
      <w:proofErr w:type="gramStart"/>
      <w:r w:rsidR="001B0E85" w:rsidRPr="001B0E85">
        <w:rPr>
          <w:rFonts w:ascii="Times New Roman" w:eastAsia="Times New Roman" w:hAnsi="Times New Roman" w:cs="Times New Roman"/>
        </w:rPr>
        <w:t>were</w:t>
      </w:r>
      <w:proofErr w:type="gramEnd"/>
      <w:r w:rsidR="001B0E85" w:rsidRPr="001B0E85">
        <w:rPr>
          <w:rFonts w:ascii="Times New Roman" w:eastAsia="Times New Roman" w:hAnsi="Times New Roman" w:cs="Times New Roman"/>
        </w:rPr>
        <w:t xml:space="preserve"> shown.</w:t>
      </w:r>
    </w:p>
    <w:p w14:paraId="065143CD" w14:textId="0F8C4CB9" w:rsidR="005575A0" w:rsidRDefault="001B0E85" w:rsidP="001B0E8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Predicated age vs chronological age of all samples. </w:t>
      </w:r>
      <w:r w:rsidR="00DC481D" w:rsidRPr="001B0E85">
        <w:rPr>
          <w:rFonts w:ascii="Times New Roman" w:eastAsia="Times New Roman" w:hAnsi="Times New Roman" w:cs="Times New Roman"/>
        </w:rPr>
        <w:t xml:space="preserve">Sex and tissue origin of the samples are indicated by colors and shapes, respectively.  </w:t>
      </w:r>
    </w:p>
    <w:p w14:paraId="146809A9" w14:textId="3FE7AC98" w:rsidR="001B0E85" w:rsidRPr="00725BD3" w:rsidRDefault="001B0E85" w:rsidP="00725BD3">
      <w:pPr>
        <w:pStyle w:val="ListParagraph"/>
        <w:numPr>
          <w:ilvl w:val="0"/>
          <w:numId w:val="5"/>
        </w:numPr>
      </w:pPr>
      <w:r>
        <w:rPr>
          <w:rFonts w:ascii="Times New Roman" w:eastAsia="Times New Roman" w:hAnsi="Times New Roman" w:cs="Times New Roman"/>
        </w:rPr>
        <w:t>The age-estimation model identified significant difference between flies fed on high fat diet for 7 days vs. the parallel control</w:t>
      </w:r>
      <w:r w:rsidR="00BD4AB8">
        <w:rPr>
          <w:rFonts w:ascii="Times New Roman" w:eastAsia="Times New Roman" w:hAnsi="Times New Roman" w:cs="Times New Roman"/>
        </w:rPr>
        <w:t>s</w:t>
      </w:r>
      <w:r>
        <w:rPr>
          <w:rFonts w:ascii="Times New Roman" w:eastAsia="Times New Roman" w:hAnsi="Times New Roman" w:cs="Times New Roman"/>
        </w:rPr>
        <w:t xml:space="preserve"> fed on standard diet</w:t>
      </w:r>
      <w:r w:rsidR="00725BD3">
        <w:rPr>
          <w:rFonts w:ascii="Times New Roman" w:eastAsia="Times New Roman" w:hAnsi="Times New Roman" w:cs="Times New Roman"/>
        </w:rPr>
        <w:t>. Flies were 2-3 days old when subject to high fat diet (HFD) or normal diet (ND).</w:t>
      </w:r>
      <w:r>
        <w:rPr>
          <w:rFonts w:ascii="Times New Roman" w:eastAsia="Times New Roman" w:hAnsi="Times New Roman" w:cs="Times New Roman"/>
        </w:rPr>
        <w:t xml:space="preserve"> </w:t>
      </w:r>
      <w:r w:rsidR="00725BD3">
        <w:rPr>
          <w:rFonts w:ascii="Times New Roman" w:eastAsia="Times New Roman" w:hAnsi="Times New Roman" w:cs="Times New Roman"/>
        </w:rPr>
        <w:t>D</w:t>
      </w:r>
      <w:r w:rsidR="00BD4AB8">
        <w:rPr>
          <w:rFonts w:ascii="Times New Roman" w:eastAsia="Times New Roman" w:hAnsi="Times New Roman" w:cs="Times New Roman"/>
        </w:rPr>
        <w:t>ata from</w:t>
      </w:r>
      <w:r>
        <w:rPr>
          <w:rFonts w:ascii="Times New Roman" w:eastAsia="Times New Roman" w:hAnsi="Times New Roman" w:cs="Times New Roman"/>
        </w:rPr>
        <w:t xml:space="preserve"> </w:t>
      </w:r>
      <w:r w:rsidR="00BD4AB8">
        <w:rPr>
          <w:rFonts w:ascii="Times New Roman" w:eastAsia="Times New Roman" w:hAnsi="Times New Roman" w:cs="Times New Roman"/>
        </w:rPr>
        <w:t>GSE</w:t>
      </w:r>
      <w:r w:rsidR="0070004F">
        <w:rPr>
          <w:rFonts w:ascii="Times New Roman" w:eastAsia="Times New Roman" w:hAnsi="Times New Roman" w:cs="Times New Roman"/>
        </w:rPr>
        <w:t xml:space="preserve">123240 </w:t>
      </w:r>
      <w:r w:rsidR="0070004F">
        <w:rPr>
          <w:rFonts w:ascii="Times New Roman" w:eastAsia="Times New Roman" w:hAnsi="Times New Roman" w:cs="Times New Roman"/>
        </w:rPr>
        <w:fldChar w:fldCharType="begin" w:fldLock="1"/>
      </w:r>
      <w:r w:rsidR="005B1DC7">
        <w:rPr>
          <w:rFonts w:ascii="Times New Roman" w:eastAsia="Times New Roman" w:hAnsi="Times New Roman" w:cs="Times New Roman"/>
        </w:rPr>
        <w:instrText>ADDIN CSL_CITATION {"citationItems":[{"id":"ITEM-1","itemData":{"ISBN":"1111111111","abstract":"Smoking. Beside obesity, which counts for more than one-third (34.9% or 78.6 million) of US adults, high-fat diets also accounts for most of the leading causes of death e.g., heart disease, diabetes, and cancer. Recent finding also suggests that regularly eating high-fat diet could damage brain cells, however the knowledge on its causes and effects are limited. Objective: In this study we hypothesize that the whole transcriptome analysis of Drosophila melanogaster brain kept on high-fat diet would provide us with clues pertaining to metabolic disturbances that are potentially organ-specific. Method &amp; Results: Adult males and females, 1-3 days old, Drosophila melanogaster collected and kept the experimental group on high-fat diet (20% w/v coconut oil) and controls on regular diet for one week. Heads and body were collected on liquid N2 for RNA isolation. In this particular study, we compared the transcriptomic profile of the heads of flies kept on high-fat vs regular diet, both in males and females and used a Boolean method for mining specific genes and pathways. A considerable number of genes were differentially expressed in the head as a result of being on high-fat diet. Interestingly, these genes were gender specific, with only few that were common between male and female heads. The composite network analysis of these genes reveals that the male specific genes are involved in odorant, pheromone and chemical sensing. In the females the genes were limited to lipid metabolic processing. Conclusion Our results demonstrate, for the first time to our knowledge, that high-fat diet triggers the differential expression of genes in brain and these were gender-specific. It is worth speculating that such gender-specific variability in gene expression, particularly in the brain, could pave the way to understanding gender-specific metabolic disturbances as a result of high fat diet.","author":[{"dropping-particle":"","family":"Stobdan","given":"Tsering","non-dropping-particle":"","parse-names":false,"suffix":""},{"dropping-particle":"","family":"Azad","given":"Priti","non-dropping-particle":"","parse-names":false,"suffix":""},{"dropping-particle":"","family":"Heinrichsen","given":"Erilynn","non-dropping-particle":"","parse-names":false,"suffix":""},{"dropping-particle":"","family":"Sahoo","given":"Debashis","non-dropping-particle":"","parse-names":false,"suffix":""},{"dropping-particle":"","family":"Hartley","given":"Iain","non-dropping-particle":"","parse-names":false,"suffix":""},{"dropping-particle":"","family":"Zhou","given":"Dan","non-dropping-particle":"","parse-names":false,"suffix":""},{"dropping-particle":"","family":"Haddad","given":"Gabriel G","non-dropping-particle":"","parse-names":false,"suffix":""}],"container-title":"Faseb","id":"ITEM-1","issue":"Cvd","issued":{"date-parts":[["2017"]]},"page":"1-19","title":"High fat diet induces gender-specific differential gene expression in Drosophila melanogaster brain | The FASEB Journal","type":"article-journal"},"uris":["http://www.mendeley.com/documents/?uuid=42952435-7761-44b7-9423-92e505538559"]}],"mendeley":{"formattedCitation":"[15]","plainTextFormattedCitation":"[15]","previouslyFormattedCitation":"[13]"},"properties":{"noteIndex":0},"schema":"https://github.com/citation-style-language/schema/raw/master/csl-citation.json"}</w:instrText>
      </w:r>
      <w:r w:rsidR="0070004F">
        <w:rPr>
          <w:rFonts w:ascii="Times New Roman" w:eastAsia="Times New Roman" w:hAnsi="Times New Roman" w:cs="Times New Roman"/>
        </w:rPr>
        <w:fldChar w:fldCharType="separate"/>
      </w:r>
      <w:r w:rsidR="005B1DC7" w:rsidRPr="005B1DC7">
        <w:rPr>
          <w:rFonts w:ascii="Times New Roman" w:eastAsia="Times New Roman" w:hAnsi="Times New Roman" w:cs="Times New Roman"/>
          <w:noProof/>
        </w:rPr>
        <w:t>[15]</w:t>
      </w:r>
      <w:r w:rsidR="0070004F">
        <w:rPr>
          <w:rFonts w:ascii="Times New Roman" w:eastAsia="Times New Roman" w:hAnsi="Times New Roman" w:cs="Times New Roman"/>
        </w:rPr>
        <w:fldChar w:fldCharType="end"/>
      </w:r>
      <w:r w:rsidR="00725BD3">
        <w:rPr>
          <w:rFonts w:ascii="Times New Roman" w:eastAsia="Times New Roman" w:hAnsi="Times New Roman" w:cs="Times New Roman"/>
        </w:rPr>
        <w:t>.</w:t>
      </w:r>
      <w:r w:rsidR="00725BD3" w:rsidRPr="00725BD3">
        <w:rPr>
          <w:rFonts w:eastAsia="Times New Roman"/>
        </w:rPr>
        <w:t xml:space="preserve"> (**, p&lt;0.01; ***, p&lt;0.001) </w:t>
      </w:r>
    </w:p>
    <w:p w14:paraId="13E50D2B" w14:textId="2C3CAFC0" w:rsidR="00BD4AB8" w:rsidRDefault="00BD4AB8" w:rsidP="001B0E8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Application of the model to </w:t>
      </w:r>
      <w:r w:rsidR="007077D6">
        <w:rPr>
          <w:rFonts w:ascii="Times New Roman" w:eastAsia="Times New Roman" w:hAnsi="Times New Roman" w:cs="Times New Roman"/>
        </w:rPr>
        <w:t xml:space="preserve">pro-longevity mutant </w:t>
      </w:r>
    </w:p>
    <w:p w14:paraId="000FB078" w14:textId="3C75F281" w:rsidR="001B0E85" w:rsidRPr="001B0E85" w:rsidRDefault="001B0E85" w:rsidP="001B0E8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GO analysis of genes important for the progression model.</w:t>
      </w:r>
    </w:p>
    <w:p w14:paraId="0E9587EA" w14:textId="30E30039" w:rsidR="00CE46DC" w:rsidRDefault="00CE46DC">
      <w:pPr>
        <w:rPr>
          <w:rFonts w:ascii="Times New Roman" w:eastAsia="Times New Roman" w:hAnsi="Times New Roman" w:cs="Times New Roman"/>
        </w:rPr>
      </w:pPr>
      <w:r>
        <w:rPr>
          <w:rFonts w:ascii="Times New Roman" w:eastAsia="Times New Roman" w:hAnsi="Times New Roman" w:cs="Times New Roman"/>
        </w:rPr>
        <w:br w:type="page"/>
      </w:r>
    </w:p>
    <w:p w14:paraId="79FE2C2B" w14:textId="17C9DB19" w:rsidR="004B27CD" w:rsidRDefault="00CE46DC">
      <w:pPr>
        <w:rPr>
          <w:rFonts w:ascii="Times New Roman" w:eastAsia="Times New Roman" w:hAnsi="Times New Roman" w:cs="Times New Roman"/>
        </w:rPr>
      </w:pPr>
      <w:r>
        <w:rPr>
          <w:rFonts w:ascii="Times New Roman" w:eastAsia="Times New Roman" w:hAnsi="Times New Roman" w:cs="Times New Roman"/>
        </w:rPr>
        <w:t>References:</w:t>
      </w:r>
    </w:p>
    <w:p w14:paraId="4C8DF00B" w14:textId="2AE98EE2" w:rsidR="005B1DC7" w:rsidRPr="005B1DC7" w:rsidRDefault="00CE46DC" w:rsidP="005B1DC7">
      <w:pPr>
        <w:widowControl w:val="0"/>
        <w:autoSpaceDE w:val="0"/>
        <w:autoSpaceDN w:val="0"/>
        <w:adjustRightInd w:val="0"/>
        <w:rPr>
          <w:rFonts w:ascii="Times New Roman" w:hAnsi="Times New Roman" w:cs="Times New Roman"/>
          <w:noProof/>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ADDIN Mendeley Bibliography CSL_BIBLIOGRAPHY </w:instrText>
      </w:r>
      <w:r>
        <w:rPr>
          <w:rFonts w:ascii="Times New Roman" w:eastAsia="Times New Roman" w:hAnsi="Times New Roman" w:cs="Times New Roman"/>
        </w:rPr>
        <w:fldChar w:fldCharType="separate"/>
      </w:r>
      <w:r w:rsidR="005B1DC7" w:rsidRPr="005B1DC7">
        <w:rPr>
          <w:rFonts w:ascii="Times New Roman" w:hAnsi="Times New Roman" w:cs="Times New Roman"/>
          <w:noProof/>
        </w:rPr>
        <w:t xml:space="preserve">1. Horvath S, Raj K. DNA methylation-based biomarkers and the epigenetic clock theory of ageing. Nat. Rev. Genet. Springer US; 2018;19:371–84. </w:t>
      </w:r>
    </w:p>
    <w:p w14:paraId="7C3EBD3E"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2. Horvath S. DNA methylation age of human tissues and cell types. Genome Biol. 2015;16. </w:t>
      </w:r>
    </w:p>
    <w:p w14:paraId="0DEEFF45"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3. Engelhardt J, Scheer O, Stadler PF, Prohaska SJ. Evolution of DNA Methylation Across Ecdysozoa. J. Mol. Evol. Springer US; 2022;90:56–72. </w:t>
      </w:r>
    </w:p>
    <w:p w14:paraId="24C3A467"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4. Landis G, Shen J, Tower J. Gene expression changes in response to aging compared to heat stress, oxidative stress and ionizing radiation in Drosophila melanogaster. Aging (Albany. NY). 2012;4. </w:t>
      </w:r>
    </w:p>
    <w:p w14:paraId="0086CEF3"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5. He Y, Jasper H. Studying aging in Drosophila. Methods. 2014;68. </w:t>
      </w:r>
    </w:p>
    <w:p w14:paraId="4EBDF759"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6. Partridge L, Alic N, Bjedov I, Piper MDW. Ageing in Drosophila: the role of the insulin/Igf and TOR signalling network. Exp. Gerontol. Elsevier Inc.; 2011;46:376–81. </w:t>
      </w:r>
    </w:p>
    <w:p w14:paraId="68C6FE94"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7. Piper MDW, Partridge L. Drosophila as a model for ageing. Biochim. Biophys. Acta - Mol. Basis Dis. Elsevier; 2017;0–1. </w:t>
      </w:r>
    </w:p>
    <w:p w14:paraId="352152A0"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8. Landis GN, Abdueva D, Skvortsov D, Yang J, Rabin BE, Carrick J, et al. Similar gene expression patterns characterize aging and oxidative stress in Drosophila melanogaster. Proc. Natl. Acad. Sci. U. S. A. 2004;101:7663–8. </w:t>
      </w:r>
    </w:p>
    <w:p w14:paraId="5A6B9C50"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9. Felix TM, Hughes KA, Stone EA, Drnevich JM, Leips J. Age-specific variation in immune response in Drosophila melanogaster has a genetic basis. Genetics. 2012;191:989–1002. </w:t>
      </w:r>
    </w:p>
    <w:p w14:paraId="6D58A13F"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10. Arora S, Ligoxygakis P. Beyond Host Defense: Deregulation of Drosophila Immunity and Age-Dependent Neurodegeneration. Front. Immunol. 2020;11:1–13. </w:t>
      </w:r>
    </w:p>
    <w:p w14:paraId="7C2ED536"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11. Oxenkrug GF. The extended life span of Drosophila melanogaster eye-color (white and vermilion) mutants with impaired formation of kynurenine. J Neural Transm. 2010;117:23–6. </w:t>
      </w:r>
    </w:p>
    <w:p w14:paraId="2BB6650A"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12. Nicholson L, Singh GK, Osterwalder T, Roman GW, Davis RL, Keshishian H. Spatial and temporal control of gene expression in Drosophila using the inducible GeneSwitch GAL4 system. I. Screen for larval nervous system drivers. Genetics. 2008;178:215–34. </w:t>
      </w:r>
    </w:p>
    <w:p w14:paraId="0F4F042E"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13. Ford D, Hoe N, Landis GN, Tozer K, Luu A, Bhole D, et al. Alteration of Drosophila life span using conditional, tissue-specific expression of transgenes triggered by doxycyline or RU486/Mifepristone. Exp. Gerontol. 2007;42:483–97. </w:t>
      </w:r>
    </w:p>
    <w:p w14:paraId="6560207E"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14. Patro R, Duggal G, Love MI, Irizarry RA, Kingsford C. Salmon provides fast and bias-aware quantification of transcript expression. Nat. Methods. Nature Publishing Group; 2017;14:417–9. </w:t>
      </w:r>
    </w:p>
    <w:p w14:paraId="33CB5C10" w14:textId="77777777" w:rsidR="005B1DC7" w:rsidRPr="005B1DC7" w:rsidRDefault="005B1DC7" w:rsidP="005B1DC7">
      <w:pPr>
        <w:widowControl w:val="0"/>
        <w:autoSpaceDE w:val="0"/>
        <w:autoSpaceDN w:val="0"/>
        <w:adjustRightInd w:val="0"/>
        <w:rPr>
          <w:rFonts w:ascii="Times New Roman" w:hAnsi="Times New Roman" w:cs="Times New Roman"/>
          <w:noProof/>
        </w:rPr>
      </w:pPr>
      <w:r w:rsidRPr="005B1DC7">
        <w:rPr>
          <w:rFonts w:ascii="Times New Roman" w:hAnsi="Times New Roman" w:cs="Times New Roman"/>
          <w:noProof/>
        </w:rPr>
        <w:t xml:space="preserve">15. Stobdan T, Azad P, Heinrichsen E, Sahoo D, Hartley I, Zhou D, et al. High fat diet induces gender-specific differential gene expression in Drosophila melanogaster brain | The FASEB Journal. Faseb. 2017;1–19. </w:t>
      </w:r>
    </w:p>
    <w:p w14:paraId="35E71664" w14:textId="1B97A6EF" w:rsidR="00CE46DC" w:rsidRPr="004B27CD" w:rsidRDefault="00CE46DC" w:rsidP="005B1DC7">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fldChar w:fldCharType="end"/>
      </w:r>
    </w:p>
    <w:sectPr w:rsidR="00CE46DC" w:rsidRPr="004B27CD" w:rsidSect="00B6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Body)">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48E"/>
    <w:multiLevelType w:val="hybridMultilevel"/>
    <w:tmpl w:val="AD52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707CC"/>
    <w:multiLevelType w:val="hybridMultilevel"/>
    <w:tmpl w:val="EF2C250A"/>
    <w:lvl w:ilvl="0" w:tplc="E42ADFA2">
      <w:start w:val="1"/>
      <w:numFmt w:val="upp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50B3C"/>
    <w:multiLevelType w:val="multilevel"/>
    <w:tmpl w:val="77CA1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F265C"/>
    <w:multiLevelType w:val="hybridMultilevel"/>
    <w:tmpl w:val="88B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652B7"/>
    <w:multiLevelType w:val="multilevel"/>
    <w:tmpl w:val="D5DCE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8147025">
    <w:abstractNumId w:val="2"/>
  </w:num>
  <w:num w:numId="2" w16cid:durableId="213858867">
    <w:abstractNumId w:val="4"/>
  </w:num>
  <w:num w:numId="3" w16cid:durableId="1650094022">
    <w:abstractNumId w:val="3"/>
  </w:num>
  <w:num w:numId="4" w16cid:durableId="908610511">
    <w:abstractNumId w:val="0"/>
  </w:num>
  <w:num w:numId="5" w16cid:durableId="212634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2E"/>
    <w:rsid w:val="00004624"/>
    <w:rsid w:val="00013A49"/>
    <w:rsid w:val="00034149"/>
    <w:rsid w:val="000410CA"/>
    <w:rsid w:val="000A04A3"/>
    <w:rsid w:val="000A317C"/>
    <w:rsid w:val="000B229D"/>
    <w:rsid w:val="000C35E0"/>
    <w:rsid w:val="000D5150"/>
    <w:rsid w:val="000F0C0E"/>
    <w:rsid w:val="00104852"/>
    <w:rsid w:val="00107D55"/>
    <w:rsid w:val="001100E4"/>
    <w:rsid w:val="00137F5F"/>
    <w:rsid w:val="001564F4"/>
    <w:rsid w:val="00162204"/>
    <w:rsid w:val="001B0E85"/>
    <w:rsid w:val="001C6443"/>
    <w:rsid w:val="00217F2E"/>
    <w:rsid w:val="002303A4"/>
    <w:rsid w:val="00271590"/>
    <w:rsid w:val="00280198"/>
    <w:rsid w:val="002C1618"/>
    <w:rsid w:val="002F1FB0"/>
    <w:rsid w:val="0032220A"/>
    <w:rsid w:val="00352D7B"/>
    <w:rsid w:val="003F2374"/>
    <w:rsid w:val="004115A0"/>
    <w:rsid w:val="004520CB"/>
    <w:rsid w:val="00464448"/>
    <w:rsid w:val="004A7443"/>
    <w:rsid w:val="004B182A"/>
    <w:rsid w:val="004B27CD"/>
    <w:rsid w:val="00525893"/>
    <w:rsid w:val="005575A0"/>
    <w:rsid w:val="005B1DC7"/>
    <w:rsid w:val="005B46A0"/>
    <w:rsid w:val="006112BD"/>
    <w:rsid w:val="00613141"/>
    <w:rsid w:val="0070004F"/>
    <w:rsid w:val="00705C06"/>
    <w:rsid w:val="007077D6"/>
    <w:rsid w:val="00720DF4"/>
    <w:rsid w:val="00725BD3"/>
    <w:rsid w:val="007330A4"/>
    <w:rsid w:val="00775290"/>
    <w:rsid w:val="007F10E6"/>
    <w:rsid w:val="008132E5"/>
    <w:rsid w:val="008352EC"/>
    <w:rsid w:val="008448A1"/>
    <w:rsid w:val="00875AA8"/>
    <w:rsid w:val="00884F64"/>
    <w:rsid w:val="008B0958"/>
    <w:rsid w:val="008C03CE"/>
    <w:rsid w:val="008D7F83"/>
    <w:rsid w:val="008F46A2"/>
    <w:rsid w:val="00903074"/>
    <w:rsid w:val="00966CC9"/>
    <w:rsid w:val="009E1A69"/>
    <w:rsid w:val="00A16B3F"/>
    <w:rsid w:val="00A426EE"/>
    <w:rsid w:val="00A71C8E"/>
    <w:rsid w:val="00AF0450"/>
    <w:rsid w:val="00B10CAB"/>
    <w:rsid w:val="00B66929"/>
    <w:rsid w:val="00B76768"/>
    <w:rsid w:val="00BC1B23"/>
    <w:rsid w:val="00BD4AB8"/>
    <w:rsid w:val="00C0481B"/>
    <w:rsid w:val="00CA7982"/>
    <w:rsid w:val="00CE46DC"/>
    <w:rsid w:val="00D10AF1"/>
    <w:rsid w:val="00D16DDF"/>
    <w:rsid w:val="00D454C5"/>
    <w:rsid w:val="00D60BD2"/>
    <w:rsid w:val="00D831F5"/>
    <w:rsid w:val="00D861B0"/>
    <w:rsid w:val="00D8651C"/>
    <w:rsid w:val="00DB6087"/>
    <w:rsid w:val="00DC481D"/>
    <w:rsid w:val="00DC54A8"/>
    <w:rsid w:val="00E12619"/>
    <w:rsid w:val="00E220C5"/>
    <w:rsid w:val="00E26136"/>
    <w:rsid w:val="00E5072F"/>
    <w:rsid w:val="00E66976"/>
    <w:rsid w:val="00EB7754"/>
    <w:rsid w:val="00ED5853"/>
    <w:rsid w:val="00ED608E"/>
    <w:rsid w:val="00F100DD"/>
    <w:rsid w:val="00F179EA"/>
    <w:rsid w:val="00F36003"/>
    <w:rsid w:val="00F608D4"/>
    <w:rsid w:val="00F727AC"/>
    <w:rsid w:val="00F87DD8"/>
    <w:rsid w:val="00F97B6E"/>
    <w:rsid w:val="00FD5BC9"/>
    <w:rsid w:val="00FE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69CB"/>
  <w15:chartTrackingRefBased/>
  <w15:docId w15:val="{5947E3B4-4695-DD45-9FE0-941F9479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7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7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7CD"/>
    <w:rPr>
      <w:color w:val="0563C1" w:themeColor="hyperlink"/>
      <w:u w:val="single"/>
    </w:rPr>
  </w:style>
  <w:style w:type="character" w:styleId="UnresolvedMention">
    <w:name w:val="Unresolved Mention"/>
    <w:basedOn w:val="DefaultParagraphFont"/>
    <w:uiPriority w:val="99"/>
    <w:semiHidden/>
    <w:unhideWhenUsed/>
    <w:rsid w:val="004B27CD"/>
    <w:rPr>
      <w:color w:val="605E5C"/>
      <w:shd w:val="clear" w:color="auto" w:fill="E1DFDD"/>
    </w:rPr>
  </w:style>
  <w:style w:type="character" w:customStyle="1" w:styleId="Heading2Char">
    <w:name w:val="Heading 2 Char"/>
    <w:basedOn w:val="DefaultParagraphFont"/>
    <w:link w:val="Heading2"/>
    <w:uiPriority w:val="9"/>
    <w:rsid w:val="004B27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7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27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27CD"/>
    <w:rPr>
      <w:i/>
      <w:iCs/>
    </w:rPr>
  </w:style>
  <w:style w:type="paragraph" w:styleId="ListParagraph">
    <w:name w:val="List Paragraph"/>
    <w:basedOn w:val="Normal"/>
    <w:uiPriority w:val="34"/>
    <w:qFormat/>
    <w:rsid w:val="000D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0821">
      <w:bodyDiv w:val="1"/>
      <w:marLeft w:val="0"/>
      <w:marRight w:val="0"/>
      <w:marTop w:val="0"/>
      <w:marBottom w:val="0"/>
      <w:divBdr>
        <w:top w:val="none" w:sz="0" w:space="0" w:color="auto"/>
        <w:left w:val="none" w:sz="0" w:space="0" w:color="auto"/>
        <w:bottom w:val="none" w:sz="0" w:space="0" w:color="auto"/>
        <w:right w:val="none" w:sz="0" w:space="0" w:color="auto"/>
      </w:divBdr>
      <w:divsChild>
        <w:div w:id="605697914">
          <w:marLeft w:val="0"/>
          <w:marRight w:val="0"/>
          <w:marTop w:val="0"/>
          <w:marBottom w:val="0"/>
          <w:divBdr>
            <w:top w:val="none" w:sz="0" w:space="0" w:color="auto"/>
            <w:left w:val="none" w:sz="0" w:space="0" w:color="auto"/>
            <w:bottom w:val="none" w:sz="0" w:space="0" w:color="auto"/>
            <w:right w:val="none" w:sz="0" w:space="0" w:color="auto"/>
          </w:divBdr>
          <w:divsChild>
            <w:div w:id="711224195">
              <w:marLeft w:val="0"/>
              <w:marRight w:val="0"/>
              <w:marTop w:val="0"/>
              <w:marBottom w:val="0"/>
              <w:divBdr>
                <w:top w:val="none" w:sz="0" w:space="0" w:color="auto"/>
                <w:left w:val="none" w:sz="0" w:space="0" w:color="auto"/>
                <w:bottom w:val="none" w:sz="0" w:space="0" w:color="auto"/>
                <w:right w:val="none" w:sz="0" w:space="0" w:color="auto"/>
              </w:divBdr>
            </w:div>
          </w:divsChild>
        </w:div>
        <w:div w:id="1706632613">
          <w:marLeft w:val="0"/>
          <w:marRight w:val="0"/>
          <w:marTop w:val="360"/>
          <w:marBottom w:val="0"/>
          <w:divBdr>
            <w:top w:val="single" w:sz="6" w:space="18" w:color="CCCCCC"/>
            <w:left w:val="none" w:sz="0" w:space="0" w:color="auto"/>
            <w:bottom w:val="none" w:sz="0" w:space="0" w:color="auto"/>
            <w:right w:val="none" w:sz="0" w:space="0" w:color="auto"/>
          </w:divBdr>
          <w:divsChild>
            <w:div w:id="1524201369">
              <w:marLeft w:val="0"/>
              <w:marRight w:val="0"/>
              <w:marTop w:val="0"/>
              <w:marBottom w:val="0"/>
              <w:divBdr>
                <w:top w:val="none" w:sz="0" w:space="0" w:color="auto"/>
                <w:left w:val="none" w:sz="0" w:space="0" w:color="auto"/>
                <w:bottom w:val="none" w:sz="0" w:space="0" w:color="auto"/>
                <w:right w:val="none" w:sz="0" w:space="0" w:color="auto"/>
              </w:divBdr>
            </w:div>
          </w:divsChild>
        </w:div>
        <w:div w:id="141391610">
          <w:marLeft w:val="0"/>
          <w:marRight w:val="0"/>
          <w:marTop w:val="360"/>
          <w:marBottom w:val="0"/>
          <w:divBdr>
            <w:top w:val="single" w:sz="6" w:space="18" w:color="CCCCCC"/>
            <w:left w:val="none" w:sz="0" w:space="0" w:color="auto"/>
            <w:bottom w:val="none" w:sz="0" w:space="0" w:color="auto"/>
            <w:right w:val="none" w:sz="0" w:space="0" w:color="auto"/>
          </w:divBdr>
          <w:divsChild>
            <w:div w:id="755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653">
      <w:bodyDiv w:val="1"/>
      <w:marLeft w:val="0"/>
      <w:marRight w:val="0"/>
      <w:marTop w:val="0"/>
      <w:marBottom w:val="0"/>
      <w:divBdr>
        <w:top w:val="none" w:sz="0" w:space="0" w:color="auto"/>
        <w:left w:val="none" w:sz="0" w:space="0" w:color="auto"/>
        <w:bottom w:val="none" w:sz="0" w:space="0" w:color="auto"/>
        <w:right w:val="none" w:sz="0" w:space="0" w:color="auto"/>
      </w:divBdr>
    </w:div>
    <w:div w:id="18895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nomebiology.biomedcentral.com/submission-guidelines/preparing-your-manuscript/short-re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izhou@uf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DC1C-5BC5-D046-887C-4EA6FFA5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6690</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Zhou,Lei</dc:creator>
  <cp:keywords/>
  <dc:description/>
  <cp:lastModifiedBy>Zhou,Lei</cp:lastModifiedBy>
  <cp:revision>13</cp:revision>
  <cp:lastPrinted>2022-07-20T19:28:00Z</cp:lastPrinted>
  <dcterms:created xsi:type="dcterms:W3CDTF">2024-11-25T23:16:00Z</dcterms:created>
  <dcterms:modified xsi:type="dcterms:W3CDTF">2024-11-25T23:26:00Z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http://www.zotero.org/styles/american-institute-of-physics</vt:lpwstr>
  </property>
  <property fmtid="{D5CDD505-2E9C-101B-9397-08002B2CF9AE}" pid="3" name="Mendeley Recent Style Name 0_1">
    <vt:lpwstr>American Institute of Physics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http://www.zotero.org/styles/bmc-genomics</vt:lpwstr>
  </property>
  <property fmtid="{D5CDD505-2E9C-101B-9397-08002B2CF9AE}" pid="7" name="Mendeley Recent Style Name 2_1">
    <vt:lpwstr>BMC Genomics</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http://www.zotero.org/styles/elsevier-harvard2</vt:lpwstr>
  </property>
  <property fmtid="{D5CDD505-2E9C-101B-9397-08002B2CF9AE}" pid="13" name="Mendeley Recent Style Name 5_1">
    <vt:lpwstr>Elsevier Harvard 2</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http://www.zotero.org/styles/national-library-of-medicine-brackets-no-et-al</vt:lpwstr>
  </property>
  <property fmtid="{D5CDD505-2E9C-101B-9397-08002B2CF9AE}" pid="17" name="Mendeley Recent Style Name 7_1">
    <vt:lpwstr>National Library of Medicine (brackets, no "et al.")</vt:lpwstr>
  </property>
  <property fmtid="{D5CDD505-2E9C-101B-9397-08002B2CF9AE}" pid="18" name="Mendeley Recent Style Id 8_1">
    <vt:lpwstr>http://www.zotero.org/styles/national-library-of-medicine-grant-proposals</vt:lpwstr>
  </property>
  <property fmtid="{D5CDD505-2E9C-101B-9397-08002B2CF9AE}" pid="19" name="Mendeley Recent Style Name 8_1">
    <vt:lpwstr>National Library of Medicine (grant proposals with PMCID/PMID)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1497662c-3049-3dbd-afb3-d5418761503d</vt:lpwstr>
  </property>
  <property fmtid="{D5CDD505-2E9C-101B-9397-08002B2CF9AE}" pid="24" name="Mendeley Citation Style_1">
    <vt:lpwstr>http://www.zotero.org/styles/bmc-genomics</vt:lpwstr>
  </property>
</Properties>
</file>