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TALLER DE INVESTIGACIÓN DE MERCADOS</w:t>
        <w:br/>
        <w:t>MERCADO FLUIDO</w:t>
      </w:r>
    </w:p>
    <w:p>
      <w:pPr>
        <w:spacing w:line="480" w:lineRule="auto"/>
        <w:jc w:val="center"/>
      </w:pPr>
      <w:r>
        <w:rPr>
          <w:sz w:val="24"/>
        </w:rPr>
        <w:t>Leonardo Bastidas</w:t>
      </w:r>
    </w:p>
    <w:p>
      <w:pPr>
        <w:spacing w:line="480" w:lineRule="auto"/>
        <w:jc w:val="center"/>
      </w:pPr>
      <w:r>
        <w:rPr>
          <w:sz w:val="24"/>
        </w:rPr>
        <w:t>Jesús Martínez</w:t>
      </w:r>
    </w:p>
    <w:p>
      <w:pPr>
        <w:spacing w:line="480" w:lineRule="auto"/>
        <w:jc w:val="center"/>
      </w:pPr>
      <w:r>
        <w:rPr>
          <w:sz w:val="24"/>
        </w:rPr>
        <w:t>Brayan Simales</w:t>
      </w:r>
    </w:p>
    <w:p>
      <w:pPr>
        <w:spacing w:line="480" w:lineRule="auto"/>
        <w:jc w:val="center"/>
      </w:pPr>
      <w:r>
        <w:rPr>
          <w:sz w:val="24"/>
        </w:rPr>
        <w:t>Fundamentos de Mercadeo – Tutoría 2</w:t>
      </w:r>
    </w:p>
    <w:p>
      <w:pPr>
        <w:spacing w:line="480" w:lineRule="auto"/>
        <w:jc w:val="center"/>
      </w:pPr>
      <w:r>
        <w:rPr>
          <w:sz w:val="24"/>
        </w:rPr>
        <w:t>Docente: PhD. Harold León Ruiz Correa</w:t>
      </w:r>
    </w:p>
    <w:p>
      <w:pPr>
        <w:spacing w:line="480" w:lineRule="auto"/>
        <w:jc w:val="center"/>
      </w:pPr>
      <w:r>
        <w:rPr>
          <w:sz w:val="24"/>
        </w:rPr>
        <w:t>Programa de Administración Financiera</w:t>
      </w:r>
    </w:p>
    <w:p>
      <w:pPr>
        <w:spacing w:line="480" w:lineRule="auto"/>
        <w:jc w:val="center"/>
      </w:pPr>
      <w:r>
        <w:rPr>
          <w:sz w:val="24"/>
        </w:rPr>
        <w:t>Universidad del Tolima – CAT Popayán</w:t>
      </w:r>
    </w:p>
    <w:p>
      <w:pPr>
        <w:spacing w:line="480" w:lineRule="auto"/>
        <w:jc w:val="center"/>
      </w:pPr>
      <w:r>
        <w:rPr>
          <w:sz w:val="24"/>
        </w:rPr>
        <w:t>2026</w:t>
      </w:r>
    </w:p>
    <w:p>
      <w:pPr>
        <w:pStyle w:val="Heading1"/>
      </w:pPr>
      <w:r>
        <w:t>1. Planteamiento del problema</w:t>
      </w:r>
    </w:p>
    <w:p>
      <w:pPr>
        <w:pStyle w:val="Heading2"/>
      </w:pPr>
      <w:r>
        <w:t>1.1 Presentación de la idea</w:t>
      </w:r>
    </w:p>
    <w:p>
      <w:r>
        <w:t>Mercado Fluido es una propuesta de plataforma digital orientada a pequeños emprendimientos, artesanos y micronegocios que necesitan encontrar nuevas formas de comercializar sus productos y servicios. La propuesta combina venta directa con intercambio o trueque, de manera que un usuario pueda publicar lo que ofrece, indicar lo que necesita y encontrar posibles coincidencias con otros participantes. La idea parte de una situación sencilla: un negocio puede tener productos, servicios o capacidades disponibles y, al mismo tiempo, necesitar otros bienes o servicios sin contar siempre con suficiente liquidez para adquirirlos.</w:t>
      </w:r>
    </w:p>
    <w:p>
      <w:r>
        <w:t>El proyecto se plantea inicialmente para Popayán y puede apoyarse en una aplicación web progresiva (PWA), con un catálogo sencillo y mecanismos de contacto directo. El prototipo técnico se encuentra en el repositorio del proyecto: https://github.com/lejabamo/fluid-marketplace.</w:t>
      </w:r>
    </w:p>
    <w:p>
      <w:pPr>
        <w:pStyle w:val="Heading2"/>
      </w:pPr>
      <w:r>
        <w:t>1.2 Descripción del problema o necesidad</w:t>
      </w:r>
    </w:p>
    <w:p>
      <w:r>
        <w:t>Los micronegocios constituyen una parte importante de la actividad económica urbana. DANE reportó 2.434.942 micronegocios en las 24 ciudades y áreas metropolitanas en 2025, con $51,3 billones de valor agregado y $106,5 billones de ingresos nominales. Estos datos muestran que existe un mercado amplio de pequeñas unidades productivas, aunque no significan que todas sean clientes potenciales de Mercado Fluido.</w:t>
      </w:r>
    </w:p>
    <w:p>
      <w:r>
        <w:t>En el componente digital aparece una oportunidad concreta. En EMICRON 2025, el 65,9% de los micronegocios registrados en la base tiene acceso o utiliza internet. Entre los micronegocios con internet, el 97,6% reporta uso de mensajería instantánea o chat, mientras que el 4,6% reporta ventas por internet mediante una plataforma electrónica. El contraste permite identificar una posible brecha entre comunicarse digitalmente y utilizar canales estructurados de comercio electrónico.</w:t>
      </w:r>
    </w:p>
    <w:p>
      <w:r>
        <w:t>Por ello, el problema de investigación no consiste en demostrar que los emprendedores quieren usar Mercado Fluido —esa aceptación todavía debe validarse—, sino en determinar si las condiciones del mercado permiten desarrollar una plataforma que facilite la visibilidad de ofertas, la búsqueda de coincidencias y la comercialización mediante intercambio o venta.</w:t>
      </w:r>
    </w:p>
    <w:p>
      <w:pPr>
        <w:pStyle w:val="Heading2"/>
      </w:pPr>
      <w:r>
        <w:t>1.3 Justificación</w:t>
      </w:r>
    </w:p>
    <w:p>
      <w:r>
        <w:t>La investigación se justifica porque Mercado Fluido requiere conocer el entorno antes de definir su modelo comercial. Los datos de DANE muestran que existe una base importante de micronegocios y que el uso de internet ya hace parte de la actividad de una proporción significativa. A su vez, la Cámara Colombiana de Comercio Electrónico reportó $145,4 billones en ventas en línea y 684,6 millones de compras durante 2025, lo que confirma el crecimiento del comercio digital en Colombia.</w:t>
      </w:r>
    </w:p>
    <w:p>
      <w:r>
        <w:t>Sin embargo, estos datos no prueban por sí solos la viabilidad de una plataforma de trueque en Popayán. La investigación sirve precisamente para separar lo que ya se conoce del mercado de lo que todavía debe comprobarse mediante un piloto. De esta manera, la propuesta evita asumir resultados de encuestas que no fueron realizadas y concentra el análisis en evidencia disponible y en hipótesis que pueden ser verificadas posteriormente.</w:t>
      </w:r>
    </w:p>
    <w:p>
      <w:pPr>
        <w:pStyle w:val="Heading2"/>
      </w:pPr>
      <w:r>
        <w:t>1.4 Objetivos de la investigación</w:t>
      </w:r>
    </w:p>
    <w:p>
      <w:r>
        <w:rPr>
          <w:b/>
        </w:rPr>
        <w:t>Objetivo general</w:t>
      </w:r>
    </w:p>
    <w:p>
      <w:r>
        <w:t>Evaluar las condiciones de mercado para una plataforma digital de venta e intercambio dirigida a micronegocios y pequeños emprendimientos de Popayán, utilizando información secundaria verificable y definiendo las variables que deberán validarse mediante un piloto.</w:t>
      </w:r>
    </w:p>
    <w:p>
      <w:r>
        <w:rPr>
          <w:b/>
        </w:rPr>
        <w:t>Objetivos específicos</w:t>
      </w:r>
    </w:p>
    <w:p>
      <w:pPr>
        <w:pStyle w:val="ListBullet"/>
        <w:ind w:firstLine="0"/>
      </w:pPr>
      <w:r>
        <w:t>Caracterizar el contexto de los micronegocios y su relación con el uso de internet y canales digitales.</w:t>
      </w:r>
    </w:p>
    <w:p>
      <w:pPr>
        <w:pStyle w:val="ListBullet"/>
        <w:ind w:firstLine="0"/>
      </w:pPr>
      <w:r>
        <w:t>Identificar oportunidades y limitaciones del mercado para una plataforma de venta e intercambio.</w:t>
      </w:r>
    </w:p>
    <w:p>
      <w:pPr>
        <w:pStyle w:val="ListBullet"/>
        <w:ind w:firstLine="0"/>
      </w:pPr>
      <w:r>
        <w:t>Analizar alternativas y competidores relacionados con el trueque y la comercialización digital.</w:t>
      </w:r>
    </w:p>
    <w:p>
      <w:pPr>
        <w:pStyle w:val="ListBullet"/>
        <w:ind w:firstLine="0"/>
      </w:pPr>
      <w:r>
        <w:t>Definir el segmento inicial de clientes y sus principales necesidades.</w:t>
      </w:r>
    </w:p>
    <w:p>
      <w:pPr>
        <w:pStyle w:val="ListBullet"/>
        <w:ind w:firstLine="0"/>
      </w:pPr>
      <w:r>
        <w:t>Proponer un modelo preliminar de comercialización y un escenario financiero que pueda ser validado en un piloto.</w:t>
      </w:r>
    </w:p>
    <w:p>
      <w:pPr>
        <w:pStyle w:val="Heading1"/>
      </w:pPr>
      <w:r>
        <w:t>2. Marco metodológico</w:t>
      </w:r>
    </w:p>
    <w:p>
      <w:pPr>
        <w:pStyle w:val="Heading2"/>
      </w:pPr>
      <w:r>
        <w:t>2.1 Tipo de investigación</w:t>
      </w:r>
    </w:p>
    <w:p>
      <w:r>
        <w:t>La investigación es exploratoria y descriptiva. Es exploratoria porque Mercado Fluido es una propuesta que todavía necesita validar su aceptación, funcionamiento comercial y modelo de ingresos. Es descriptiva porque utiliza información estadística disponible para caracterizar el contexto de los micronegocios, la digitalización y el comercio electrónico.</w:t>
      </w:r>
    </w:p>
    <w:p>
      <w:pPr>
        <w:pStyle w:val="Heading2"/>
      </w:pPr>
      <w:r>
        <w:t>2.2 Fuentes primarias y secundarias</w:t>
      </w:r>
    </w:p>
    <w:p>
      <w:r>
        <w:t>En esta versión del taller no se presentan encuestas ni entrevistas como resultados realizados por el grupo. La evidencia utilizada es principalmente secundaria: DANE, Cámara Colombiana de Comercio Electrónico, Ministerio TIC y fuentes sobre plataformas de intercambio. Una siguiente fase deberá incorporar información primaria mediante entrevistas o encuestas a emprendedores de Popayán.</w:t>
      </w:r>
    </w:p>
    <w:p>
      <w:pPr>
        <w:pStyle w:val="Heading2"/>
      </w:pPr>
      <w:r>
        <w:t>2.3 Técnicas e instrumentos</w:t>
      </w:r>
    </w:p>
    <w:p>
      <w:r>
        <w:t>Para la fase documental se aplicó revisión de fuentes estadísticas y análisis comparativo. Para la fase de validación propuesta se plantea una encuesta estructurada y entrevistas semiestructuradas a emprendedores. El instrumento deberá medir: uso de canales digitales, frecuencia de publicación, formas de venta, interés en intercambio, categorías de bienes y servicios, disposición a pagar y barreras de adopción.</w:t>
      </w:r>
    </w:p>
    <w:p>
      <w:pPr>
        <w:pStyle w:val="Heading2"/>
      </w:pPr>
      <w:r>
        <w:t>2.4 Población y muestra</w:t>
      </w:r>
    </w:p>
    <w:p>
      <w:r>
        <w:t>La población objetivo está constituida por micronegocios y pequeños emprendimientos de Popayán que comercialicen bienes o servicios y que puedan beneficiarse de un canal digital. EMICRON 2025 identifica 1.713 casos de Popayán dentro de su archivo de datos. DANE advierte expresamente que ese número corresponde a casos encontrados en el archivo y no debe interpretarse como el tamaño estadístico del universo. Por tanto, en este trabajo se utiliza como referencia de la base de datos y no como tamaño de mercado.</w:t>
      </w:r>
    </w:p>
    <w:p>
      <w:r>
        <w:rPr>
          <w:i/>
          <w:sz w:val="18"/>
        </w:rPr>
        <w:t>Fuente: DANE, EMICRON 2025.</w:t>
      </w:r>
    </w:p>
    <w:p>
      <w:pPr>
        <w:pStyle w:val="Heading1"/>
      </w:pPr>
      <w:r>
        <w:t>3. Análisis del entorno macro y micro</w:t>
      </w:r>
    </w:p>
    <w:p>
      <w:pPr>
        <w:pStyle w:val="Heading2"/>
      </w:pPr>
      <w:r>
        <w:t>3.1 PESTEL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vAlign w:val="center"/>
          </w:tcPr>
          <w:p>
            <w:r/>
            <w:r>
              <w:rPr>
                <w:rFonts w:ascii="Times New Roman" w:hAnsi="Times New Roman"/>
                <w:b/>
                <w:sz w:val="20"/>
              </w:rPr>
              <w:t>Factor</w:t>
            </w:r>
          </w:p>
        </w:tc>
        <w:tc>
          <w:tcPr>
            <w:tcW w:type="dxa" w:w="3120"/>
            <w:shd w:fill="D9EAF7"/>
            <w:vAlign w:val="center"/>
          </w:tcPr>
          <w:p>
            <w:r/>
            <w:r>
              <w:rPr>
                <w:rFonts w:ascii="Times New Roman" w:hAnsi="Times New Roman"/>
                <w:b/>
                <w:sz w:val="20"/>
              </w:rPr>
              <w:t>Situación observada</w:t>
            </w:r>
          </w:p>
        </w:tc>
        <w:tc>
          <w:tcPr>
            <w:tcW w:type="dxa" w:w="3120"/>
            <w:shd w:fill="D9EAF7"/>
            <w:vAlign w:val="center"/>
          </w:tcPr>
          <w:p>
            <w:r/>
            <w:r>
              <w:rPr>
                <w:rFonts w:ascii="Times New Roman" w:hAnsi="Times New Roman"/>
                <w:b/>
                <w:sz w:val="20"/>
              </w:rPr>
              <w:t>Implicación para Mercado Fluido</w:t>
            </w:r>
          </w:p>
        </w:tc>
      </w:tr>
      <w:tr>
        <w:tc>
          <w:tcPr>
            <w:tcW w:type="dxa" w:w="3120"/>
            <w:vAlign w:val="center"/>
          </w:tcPr>
          <w:p>
            <w:r/>
            <w:r>
              <w:rPr>
                <w:rFonts w:ascii="Times New Roman" w:hAnsi="Times New Roman"/>
                <w:b w:val="0"/>
                <w:sz w:val="20"/>
              </w:rPr>
              <w:t>Político</w:t>
            </w:r>
          </w:p>
        </w:tc>
        <w:tc>
          <w:tcPr>
            <w:tcW w:type="dxa" w:w="3120"/>
            <w:vAlign w:val="center"/>
          </w:tcPr>
          <w:p>
            <w:r/>
            <w:r>
              <w:rPr>
                <w:rFonts w:ascii="Times New Roman" w:hAnsi="Times New Roman"/>
                <w:b w:val="0"/>
                <w:sz w:val="20"/>
              </w:rPr>
              <w:t>Existen programas públicos de transformación digital para pequeños negocios.</w:t>
            </w:r>
          </w:p>
        </w:tc>
        <w:tc>
          <w:tcPr>
            <w:tcW w:type="dxa" w:w="3120"/>
            <w:vAlign w:val="center"/>
          </w:tcPr>
          <w:p>
            <w:r/>
            <w:r>
              <w:rPr>
                <w:rFonts w:ascii="Times New Roman" w:hAnsi="Times New Roman"/>
                <w:b w:val="0"/>
                <w:sz w:val="20"/>
              </w:rPr>
              <w:t>Puede facilitar alianzas y acceso a capacitación.</w:t>
            </w:r>
          </w:p>
        </w:tc>
      </w:tr>
      <w:tr>
        <w:tc>
          <w:tcPr>
            <w:tcW w:type="dxa" w:w="3120"/>
            <w:vAlign w:val="center"/>
          </w:tcPr>
          <w:p>
            <w:r/>
            <w:r>
              <w:rPr>
                <w:rFonts w:ascii="Times New Roman" w:hAnsi="Times New Roman"/>
                <w:b w:val="0"/>
                <w:sz w:val="20"/>
              </w:rPr>
              <w:t>Económico</w:t>
            </w:r>
          </w:p>
        </w:tc>
        <w:tc>
          <w:tcPr>
            <w:tcW w:type="dxa" w:w="3120"/>
            <w:vAlign w:val="center"/>
          </w:tcPr>
          <w:p>
            <w:r/>
            <w:r>
              <w:rPr>
                <w:rFonts w:ascii="Times New Roman" w:hAnsi="Times New Roman"/>
                <w:b w:val="0"/>
                <w:sz w:val="20"/>
              </w:rPr>
              <w:t>Los micronegocios representan una parte importante de la actividad urbana; el comercio electrónico mantiene crecimiento.</w:t>
            </w:r>
          </w:p>
        </w:tc>
        <w:tc>
          <w:tcPr>
            <w:tcW w:type="dxa" w:w="3120"/>
            <w:vAlign w:val="center"/>
          </w:tcPr>
          <w:p>
            <w:r/>
            <w:r>
              <w:rPr>
                <w:rFonts w:ascii="Times New Roman" w:hAnsi="Times New Roman"/>
                <w:b w:val="0"/>
                <w:sz w:val="20"/>
              </w:rPr>
              <w:t>Existe un mercado potencial, pero el modelo debe demostrar generación de valor.</w:t>
            </w:r>
          </w:p>
        </w:tc>
      </w:tr>
      <w:tr>
        <w:tc>
          <w:tcPr>
            <w:tcW w:type="dxa" w:w="3120"/>
            <w:vAlign w:val="center"/>
          </w:tcPr>
          <w:p>
            <w:r/>
            <w:r>
              <w:rPr>
                <w:rFonts w:ascii="Times New Roman" w:hAnsi="Times New Roman"/>
                <w:b w:val="0"/>
                <w:sz w:val="20"/>
              </w:rPr>
              <w:t>Social</w:t>
            </w:r>
          </w:p>
        </w:tc>
        <w:tc>
          <w:tcPr>
            <w:tcW w:type="dxa" w:w="3120"/>
            <w:vAlign w:val="center"/>
          </w:tcPr>
          <w:p>
            <w:r/>
            <w:r>
              <w:rPr>
                <w:rFonts w:ascii="Times New Roman" w:hAnsi="Times New Roman"/>
                <w:b w:val="0"/>
                <w:sz w:val="20"/>
              </w:rPr>
              <w:t>El emprendimiento y el intercambio de bienes y servicios forman parte de las prácticas comerciales y comunitarias.</w:t>
            </w:r>
          </w:p>
        </w:tc>
        <w:tc>
          <w:tcPr>
            <w:tcW w:type="dxa" w:w="3120"/>
            <w:vAlign w:val="center"/>
          </w:tcPr>
          <w:p>
            <w:r/>
            <w:r>
              <w:rPr>
                <w:rFonts w:ascii="Times New Roman" w:hAnsi="Times New Roman"/>
                <w:b w:val="0"/>
                <w:sz w:val="20"/>
              </w:rPr>
              <w:t>La propuesta debe ser sencilla y adaptada al comportamiento real del usuario.</w:t>
            </w:r>
          </w:p>
        </w:tc>
      </w:tr>
      <w:tr>
        <w:tc>
          <w:tcPr>
            <w:tcW w:type="dxa" w:w="3120"/>
            <w:vAlign w:val="center"/>
          </w:tcPr>
          <w:p>
            <w:r/>
            <w:r>
              <w:rPr>
                <w:rFonts w:ascii="Times New Roman" w:hAnsi="Times New Roman"/>
                <w:b w:val="0"/>
                <w:sz w:val="20"/>
              </w:rPr>
              <w:t>Tecnológico</w:t>
            </w:r>
          </w:p>
        </w:tc>
        <w:tc>
          <w:tcPr>
            <w:tcW w:type="dxa" w:w="3120"/>
            <w:vAlign w:val="center"/>
          </w:tcPr>
          <w:p>
            <w:r/>
            <w:r>
              <w:rPr>
                <w:rFonts w:ascii="Times New Roman" w:hAnsi="Times New Roman"/>
                <w:b w:val="0"/>
                <w:sz w:val="20"/>
              </w:rPr>
              <w:t>65,9% de los micronegocios de EMICRON 2025 reporta acceso/uso de internet; la mensajería tiene alta presencia entre los conectados.</w:t>
            </w:r>
          </w:p>
        </w:tc>
        <w:tc>
          <w:tcPr>
            <w:tcW w:type="dxa" w:w="3120"/>
            <w:vAlign w:val="center"/>
          </w:tcPr>
          <w:p>
            <w:r/>
            <w:r>
              <w:rPr>
                <w:rFonts w:ascii="Times New Roman" w:hAnsi="Times New Roman"/>
                <w:b w:val="0"/>
                <w:sz w:val="20"/>
              </w:rPr>
              <w:t>Una solución web liviana y móvil resulta coherente con el contexto.</w:t>
            </w:r>
          </w:p>
        </w:tc>
      </w:tr>
      <w:tr>
        <w:tc>
          <w:tcPr>
            <w:tcW w:type="dxa" w:w="3120"/>
            <w:vAlign w:val="center"/>
          </w:tcPr>
          <w:p>
            <w:r/>
            <w:r>
              <w:rPr>
                <w:rFonts w:ascii="Times New Roman" w:hAnsi="Times New Roman"/>
                <w:b w:val="0"/>
                <w:sz w:val="20"/>
              </w:rPr>
              <w:t>Ecológico</w:t>
            </w:r>
          </w:p>
        </w:tc>
        <w:tc>
          <w:tcPr>
            <w:tcW w:type="dxa" w:w="3120"/>
            <w:vAlign w:val="center"/>
          </w:tcPr>
          <w:p>
            <w:r/>
            <w:r>
              <w:rPr>
                <w:rFonts w:ascii="Times New Roman" w:hAnsi="Times New Roman"/>
                <w:b w:val="0"/>
                <w:sz w:val="20"/>
              </w:rPr>
              <w:t>El intercambio puede favorecer la reutilización de bienes y reducir desperdicio cuando se prolonga su uso.</w:t>
            </w:r>
          </w:p>
        </w:tc>
        <w:tc>
          <w:tcPr>
            <w:tcW w:type="dxa" w:w="3120"/>
            <w:vAlign w:val="center"/>
          </w:tcPr>
          <w:p>
            <w:r/>
            <w:r>
              <w:rPr>
                <w:rFonts w:ascii="Times New Roman" w:hAnsi="Times New Roman"/>
                <w:b w:val="0"/>
                <w:sz w:val="20"/>
              </w:rPr>
              <w:t>Existe una oportunidad de posicionamiento asociada al aprovechamiento de recursos.</w:t>
            </w:r>
          </w:p>
        </w:tc>
      </w:tr>
      <w:tr>
        <w:tc>
          <w:tcPr>
            <w:tcW w:type="dxa" w:w="3120"/>
            <w:vAlign w:val="center"/>
          </w:tcPr>
          <w:p>
            <w:r/>
            <w:r>
              <w:rPr>
                <w:rFonts w:ascii="Times New Roman" w:hAnsi="Times New Roman"/>
                <w:b w:val="0"/>
                <w:sz w:val="20"/>
              </w:rPr>
              <w:t>Legal</w:t>
            </w:r>
          </w:p>
        </w:tc>
        <w:tc>
          <w:tcPr>
            <w:tcW w:type="dxa" w:w="3120"/>
            <w:vAlign w:val="center"/>
          </w:tcPr>
          <w:p>
            <w:r/>
            <w:r>
              <w:rPr>
                <w:rFonts w:ascii="Times New Roman" w:hAnsi="Times New Roman"/>
                <w:b w:val="0"/>
                <w:sz w:val="20"/>
              </w:rPr>
              <w:t>La plataforma deberá definir términos de uso, tratamiento de datos, condiciones de publicación y reglas de intercambio.</w:t>
            </w:r>
          </w:p>
        </w:tc>
        <w:tc>
          <w:tcPr>
            <w:tcW w:type="dxa" w:w="3120"/>
            <w:vAlign w:val="center"/>
          </w:tcPr>
          <w:p>
            <w:r/>
            <w:r>
              <w:rPr>
                <w:rFonts w:ascii="Times New Roman" w:hAnsi="Times New Roman"/>
                <w:b w:val="0"/>
                <w:sz w:val="20"/>
              </w:rPr>
              <w:t>El piloto debe incluir revisión legal y de protección de datos.</w:t>
            </w:r>
          </w:p>
        </w:tc>
      </w:tr>
    </w:tbl>
    <w:p>
      <w:r>
        <w:t>Como referencia de política pública, el programa Tu Negocio en Línea del Ministerio TIC reportó 9.503 emprendedores seleccionados en 859 municipios para su ciclo 2026, orientado a llevar productos y servicios al entorno digital. Esto muestra que la digitalización de pequeños negocios es también una línea de intervención pública.</w:t>
      </w:r>
    </w:p>
    <w:p>
      <w:pPr>
        <w:pStyle w:val="Heading2"/>
      </w:pPr>
      <w:r>
        <w:t>3.2 Sector e industria</w:t>
      </w:r>
    </w:p>
    <w:p>
      <w:r>
        <w:t>Mercado Fluido se ubica en la intersección entre comercio electrónico, plataformas digitales y economía colaborativa. El mercado nacional es amplio: en 2025 el comercio electrónico colombiano registró $145,4 billones en ventas en línea y 684,6 millones de compras. Para el proyecto, el reto no es competir con todo el comercio electrónico, sino concentrarse en un problema específico: facilitar el encuentro entre lo que un micronegocio ofrece y lo que necesita.</w:t>
      </w:r>
    </w:p>
    <w:p>
      <w:pPr>
        <w:pStyle w:val="Heading2"/>
      </w:pPr>
      <w:r>
        <w:t>3.3 Competencia y alternativas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vAlign w:val="center"/>
          </w:tcPr>
          <w:p>
            <w:r/>
            <w:r>
              <w:rPr>
                <w:rFonts w:ascii="Times New Roman" w:hAnsi="Times New Roman"/>
                <w:b/>
                <w:sz w:val="20"/>
              </w:rPr>
              <w:t>Alternativa</w:t>
            </w:r>
          </w:p>
        </w:tc>
        <w:tc>
          <w:tcPr>
            <w:tcW w:type="dxa" w:w="3120"/>
            <w:shd w:fill="D9EAF7"/>
            <w:vAlign w:val="center"/>
          </w:tcPr>
          <w:p>
            <w:r/>
            <w:r>
              <w:rPr>
                <w:rFonts w:ascii="Times New Roman" w:hAnsi="Times New Roman"/>
                <w:b/>
                <w:sz w:val="20"/>
              </w:rPr>
              <w:t>Qué ofrece</w:t>
            </w:r>
          </w:p>
        </w:tc>
        <w:tc>
          <w:tcPr>
            <w:tcW w:type="dxa" w:w="3120"/>
            <w:shd w:fill="D9EAF7"/>
            <w:vAlign w:val="center"/>
          </w:tcPr>
          <w:p>
            <w:r/>
            <w:r>
              <w:rPr>
                <w:rFonts w:ascii="Times New Roman" w:hAnsi="Times New Roman"/>
                <w:b/>
                <w:sz w:val="20"/>
              </w:rPr>
              <w:t>Lectura para Mercado Fluido</w:t>
            </w:r>
          </w:p>
        </w:tc>
      </w:tr>
      <w:tr>
        <w:tc>
          <w:tcPr>
            <w:tcW w:type="dxa" w:w="3120"/>
            <w:vAlign w:val="center"/>
          </w:tcPr>
          <w:p>
            <w:r/>
            <w:r>
              <w:rPr>
                <w:rFonts w:ascii="Times New Roman" w:hAnsi="Times New Roman"/>
                <w:b w:val="0"/>
                <w:sz w:val="20"/>
              </w:rPr>
              <w:t>Dondo</w:t>
            </w:r>
          </w:p>
        </w:tc>
        <w:tc>
          <w:tcPr>
            <w:tcW w:type="dxa" w:w="3120"/>
            <w:vAlign w:val="center"/>
          </w:tcPr>
          <w:p>
            <w:r/>
            <w:r>
              <w:rPr>
                <w:rFonts w:ascii="Times New Roman" w:hAnsi="Times New Roman"/>
                <w:b w:val="0"/>
                <w:sz w:val="20"/>
              </w:rPr>
              <w:t>Trueque digital con coincidencias entre usuarios.</w:t>
            </w:r>
          </w:p>
        </w:tc>
        <w:tc>
          <w:tcPr>
            <w:tcW w:type="dxa" w:w="3120"/>
            <w:vAlign w:val="center"/>
          </w:tcPr>
          <w:p>
            <w:r/>
            <w:r>
              <w:rPr>
                <w:rFonts w:ascii="Times New Roman" w:hAnsi="Times New Roman"/>
                <w:b w:val="0"/>
                <w:sz w:val="20"/>
              </w:rPr>
              <w:t>Demuestra que el intercambio digital puede estructurarse mediante coincidencias y reputación.</w:t>
            </w:r>
          </w:p>
        </w:tc>
      </w:tr>
      <w:tr>
        <w:tc>
          <w:tcPr>
            <w:tcW w:type="dxa" w:w="3120"/>
            <w:vAlign w:val="center"/>
          </w:tcPr>
          <w:p>
            <w:r/>
            <w:r>
              <w:rPr>
                <w:rFonts w:ascii="Times New Roman" w:hAnsi="Times New Roman"/>
                <w:b w:val="0"/>
                <w:sz w:val="20"/>
              </w:rPr>
              <w:t>Me Sirve</w:t>
            </w:r>
          </w:p>
        </w:tc>
        <w:tc>
          <w:tcPr>
            <w:tcW w:type="dxa" w:w="3120"/>
            <w:vAlign w:val="center"/>
          </w:tcPr>
          <w:p>
            <w:r/>
            <w:r>
              <w:rPr>
                <w:rFonts w:ascii="Times New Roman" w:hAnsi="Times New Roman"/>
                <w:b w:val="0"/>
                <w:sz w:val="20"/>
              </w:rPr>
              <w:t>Canjes de bienes con chat para concretar el intercambio.</w:t>
            </w:r>
          </w:p>
        </w:tc>
        <w:tc>
          <w:tcPr>
            <w:tcW w:type="dxa" w:w="3120"/>
            <w:vAlign w:val="center"/>
          </w:tcPr>
          <w:p>
            <w:r/>
            <w:r>
              <w:rPr>
                <w:rFonts w:ascii="Times New Roman" w:hAnsi="Times New Roman"/>
                <w:b w:val="0"/>
                <w:sz w:val="20"/>
              </w:rPr>
              <w:t>Muestra una experiencia centrada en publicación, coincidencia y conversación.</w:t>
            </w:r>
          </w:p>
        </w:tc>
      </w:tr>
      <w:tr>
        <w:tc>
          <w:tcPr>
            <w:tcW w:type="dxa" w:w="3120"/>
            <w:vAlign w:val="center"/>
          </w:tcPr>
          <w:p>
            <w:r/>
            <w:r>
              <w:rPr>
                <w:rFonts w:ascii="Times New Roman" w:hAnsi="Times New Roman"/>
                <w:b w:val="0"/>
                <w:sz w:val="20"/>
              </w:rPr>
              <w:t>Crowdswap</w:t>
            </w:r>
          </w:p>
        </w:tc>
        <w:tc>
          <w:tcPr>
            <w:tcW w:type="dxa" w:w="3120"/>
            <w:vAlign w:val="center"/>
          </w:tcPr>
          <w:p>
            <w:r/>
            <w:r>
              <w:rPr>
                <w:rFonts w:ascii="Times New Roman" w:hAnsi="Times New Roman"/>
                <w:b w:val="0"/>
                <w:sz w:val="20"/>
              </w:rPr>
              <w:t>Alternativa de intercambio directo de objetos.</w:t>
            </w:r>
          </w:p>
        </w:tc>
        <w:tc>
          <w:tcPr>
            <w:tcW w:type="dxa" w:w="3120"/>
            <w:vAlign w:val="center"/>
          </w:tcPr>
          <w:p>
            <w:r/>
            <w:r>
              <w:rPr>
                <w:rFonts w:ascii="Times New Roman" w:hAnsi="Times New Roman"/>
                <w:b w:val="0"/>
                <w:sz w:val="20"/>
              </w:rPr>
              <w:t>Representa competencia/sustitución en el trueque digital.</w:t>
            </w:r>
          </w:p>
        </w:tc>
      </w:tr>
      <w:tr>
        <w:tc>
          <w:tcPr>
            <w:tcW w:type="dxa" w:w="3120"/>
            <w:vAlign w:val="center"/>
          </w:tcPr>
          <w:p>
            <w:r/>
            <w:r>
              <w:rPr>
                <w:rFonts w:ascii="Times New Roman" w:hAnsi="Times New Roman"/>
                <w:b w:val="0"/>
                <w:sz w:val="20"/>
              </w:rPr>
              <w:t>Redes sociales y grupos</w:t>
            </w:r>
          </w:p>
        </w:tc>
        <w:tc>
          <w:tcPr>
            <w:tcW w:type="dxa" w:w="3120"/>
            <w:vAlign w:val="center"/>
          </w:tcPr>
          <w:p>
            <w:r/>
            <w:r>
              <w:rPr>
                <w:rFonts w:ascii="Times New Roman" w:hAnsi="Times New Roman"/>
                <w:b w:val="0"/>
                <w:sz w:val="20"/>
              </w:rPr>
              <w:t>Publicación informal de productos y solicitudes.</w:t>
            </w:r>
          </w:p>
        </w:tc>
        <w:tc>
          <w:tcPr>
            <w:tcW w:type="dxa" w:w="3120"/>
            <w:vAlign w:val="center"/>
          </w:tcPr>
          <w:p>
            <w:r/>
            <w:r>
              <w:rPr>
                <w:rFonts w:ascii="Times New Roman" w:hAnsi="Times New Roman"/>
                <w:b w:val="0"/>
                <w:sz w:val="20"/>
              </w:rPr>
              <w:t>Son sustitutos importantes por su facilidad y bajo costo.</w:t>
            </w:r>
          </w:p>
        </w:tc>
      </w:tr>
      <w:tr>
        <w:tc>
          <w:tcPr>
            <w:tcW w:type="dxa" w:w="3120"/>
            <w:vAlign w:val="center"/>
          </w:tcPr>
          <w:p>
            <w:r/>
            <w:r>
              <w:rPr>
                <w:rFonts w:ascii="Times New Roman" w:hAnsi="Times New Roman"/>
                <w:b w:val="0"/>
                <w:sz w:val="20"/>
              </w:rPr>
              <w:t>Mercados digitales</w:t>
            </w:r>
          </w:p>
        </w:tc>
        <w:tc>
          <w:tcPr>
            <w:tcW w:type="dxa" w:w="3120"/>
            <w:vAlign w:val="center"/>
          </w:tcPr>
          <w:p>
            <w:r/>
            <w:r>
              <w:rPr>
                <w:rFonts w:ascii="Times New Roman" w:hAnsi="Times New Roman"/>
                <w:b w:val="0"/>
                <w:sz w:val="20"/>
              </w:rPr>
              <w:t>Venta convencional de productos y servicios.</w:t>
            </w:r>
          </w:p>
        </w:tc>
        <w:tc>
          <w:tcPr>
            <w:tcW w:type="dxa" w:w="3120"/>
            <w:vAlign w:val="center"/>
          </w:tcPr>
          <w:p>
            <w:r/>
            <w:r>
              <w:rPr>
                <w:rFonts w:ascii="Times New Roman" w:hAnsi="Times New Roman"/>
                <w:b w:val="0"/>
                <w:sz w:val="20"/>
              </w:rPr>
              <w:t>Compiten por la atención y por el mismo presupuesto del consumidor.</w:t>
            </w:r>
          </w:p>
        </w:tc>
      </w:tr>
    </w:tbl>
    <w:p>
      <w:r>
        <w:t>El análisis muestra que Mercado Fluido no puede diferenciarse solamente por permitir trueques. Su propuesta debe enfocarse en pequeños negocios, combinar intercambio con venta y facilitar el proceso de publicación, búsqueda y contacto.</w:t>
      </w:r>
    </w:p>
    <w:p>
      <w:pPr>
        <w:pStyle w:val="Heading1"/>
      </w:pPr>
      <w:r>
        <w:t>4. Mercado consumidor</w:t>
      </w:r>
    </w:p>
    <w:p>
      <w:pPr>
        <w:pStyle w:val="Heading2"/>
      </w:pPr>
      <w:r>
        <w:t>4.1 Cliente ideal</w:t>
      </w:r>
    </w:p>
    <w:p>
      <w:r>
        <w:t>El cliente inicial sería un microempresario o emprendedor de Popayán que comercializa productos o servicios, utiliza al menos un canal digital y tiene interés en conseguir clientes, proveedores, insumos o servicios sin depender exclusivamente del pago en efectivo.</w:t>
      </w:r>
    </w:p>
    <w:p>
      <w:pPr>
        <w:pStyle w:val="Heading2"/>
      </w:pPr>
      <w:r>
        <w:t>4.2 Segmentación</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
              <w:rPr>
                <w:rFonts w:ascii="Times New Roman" w:hAnsi="Times New Roman"/>
                <w:b/>
                <w:sz w:val="20"/>
              </w:rPr>
              <w:t>Criterio</w:t>
            </w:r>
          </w:p>
        </w:tc>
        <w:tc>
          <w:tcPr>
            <w:tcW w:type="dxa" w:w="4680"/>
            <w:shd w:fill="D9EAF7"/>
            <w:vAlign w:val="center"/>
          </w:tcPr>
          <w:p>
            <w:r/>
            <w:r>
              <w:rPr>
                <w:rFonts w:ascii="Times New Roman" w:hAnsi="Times New Roman"/>
                <w:b/>
                <w:sz w:val="20"/>
              </w:rPr>
              <w:t>Segmento propuesto</w:t>
            </w:r>
          </w:p>
        </w:tc>
      </w:tr>
      <w:tr>
        <w:tc>
          <w:tcPr>
            <w:tcW w:type="dxa" w:w="4680"/>
            <w:vAlign w:val="center"/>
          </w:tcPr>
          <w:p>
            <w:r/>
            <w:r>
              <w:rPr>
                <w:rFonts w:ascii="Times New Roman" w:hAnsi="Times New Roman"/>
                <w:b w:val="0"/>
                <w:sz w:val="20"/>
              </w:rPr>
              <w:t>Geográfico</w:t>
            </w:r>
          </w:p>
        </w:tc>
        <w:tc>
          <w:tcPr>
            <w:tcW w:type="dxa" w:w="4680"/>
            <w:vAlign w:val="center"/>
          </w:tcPr>
          <w:p>
            <w:r/>
            <w:r>
              <w:rPr>
                <w:rFonts w:ascii="Times New Roman" w:hAnsi="Times New Roman"/>
                <w:b w:val="0"/>
                <w:sz w:val="20"/>
              </w:rPr>
              <w:t>Popayán, con posibilidad de expansión posterior al Cauca.</w:t>
            </w:r>
          </w:p>
        </w:tc>
      </w:tr>
      <w:tr>
        <w:tc>
          <w:tcPr>
            <w:tcW w:type="dxa" w:w="4680"/>
            <w:vAlign w:val="center"/>
          </w:tcPr>
          <w:p>
            <w:r/>
            <w:r>
              <w:rPr>
                <w:rFonts w:ascii="Times New Roman" w:hAnsi="Times New Roman"/>
                <w:b w:val="0"/>
                <w:sz w:val="20"/>
              </w:rPr>
              <w:t>Demográfico/empresarial</w:t>
            </w:r>
          </w:p>
        </w:tc>
        <w:tc>
          <w:tcPr>
            <w:tcW w:type="dxa" w:w="4680"/>
            <w:vAlign w:val="center"/>
          </w:tcPr>
          <w:p>
            <w:r/>
            <w:r>
              <w:rPr>
                <w:rFonts w:ascii="Times New Roman" w:hAnsi="Times New Roman"/>
                <w:b w:val="0"/>
                <w:sz w:val="20"/>
              </w:rPr>
              <w:t>Propietarios de micronegocios y pequeños emprendimientos.</w:t>
            </w:r>
          </w:p>
        </w:tc>
      </w:tr>
      <w:tr>
        <w:tc>
          <w:tcPr>
            <w:tcW w:type="dxa" w:w="4680"/>
            <w:vAlign w:val="center"/>
          </w:tcPr>
          <w:p>
            <w:r/>
            <w:r>
              <w:rPr>
                <w:rFonts w:ascii="Times New Roman" w:hAnsi="Times New Roman"/>
                <w:b w:val="0"/>
                <w:sz w:val="20"/>
              </w:rPr>
              <w:t>Psicográfico</w:t>
            </w:r>
          </w:p>
        </w:tc>
        <w:tc>
          <w:tcPr>
            <w:tcW w:type="dxa" w:w="4680"/>
            <w:vAlign w:val="center"/>
          </w:tcPr>
          <w:p>
            <w:r/>
            <w:r>
              <w:rPr>
                <w:rFonts w:ascii="Times New Roman" w:hAnsi="Times New Roman"/>
                <w:b w:val="0"/>
                <w:sz w:val="20"/>
              </w:rPr>
              <w:t>Personas orientadas a buscar alternativas de ahorro, visibilidad y aprovechamiento de recursos.</w:t>
            </w:r>
          </w:p>
        </w:tc>
      </w:tr>
      <w:tr>
        <w:tc>
          <w:tcPr>
            <w:tcW w:type="dxa" w:w="4680"/>
            <w:vAlign w:val="center"/>
          </w:tcPr>
          <w:p>
            <w:r/>
            <w:r>
              <w:rPr>
                <w:rFonts w:ascii="Times New Roman" w:hAnsi="Times New Roman"/>
                <w:b w:val="0"/>
                <w:sz w:val="20"/>
              </w:rPr>
              <w:t>Conductual</w:t>
            </w:r>
          </w:p>
        </w:tc>
        <w:tc>
          <w:tcPr>
            <w:tcW w:type="dxa" w:w="4680"/>
            <w:vAlign w:val="center"/>
          </w:tcPr>
          <w:p>
            <w:r/>
            <w:r>
              <w:rPr>
                <w:rFonts w:ascii="Times New Roman" w:hAnsi="Times New Roman"/>
                <w:b w:val="0"/>
                <w:sz w:val="20"/>
              </w:rPr>
              <w:t>Usuarios que ya publican, venden, compran o se comunican mediante canales digitales.</w:t>
            </w:r>
          </w:p>
        </w:tc>
      </w:tr>
      <w:tr>
        <w:tc>
          <w:tcPr>
            <w:tcW w:type="dxa" w:w="4680"/>
            <w:vAlign w:val="center"/>
          </w:tcPr>
          <w:p>
            <w:r/>
            <w:r>
              <w:rPr>
                <w:rFonts w:ascii="Times New Roman" w:hAnsi="Times New Roman"/>
                <w:b w:val="0"/>
                <w:sz w:val="20"/>
              </w:rPr>
              <w:t>Necesidad</w:t>
            </w:r>
          </w:p>
        </w:tc>
        <w:tc>
          <w:tcPr>
            <w:tcW w:type="dxa" w:w="4680"/>
            <w:vAlign w:val="center"/>
          </w:tcPr>
          <w:p>
            <w:r/>
            <w:r>
              <w:rPr>
                <w:rFonts w:ascii="Times New Roman" w:hAnsi="Times New Roman"/>
                <w:b w:val="0"/>
                <w:sz w:val="20"/>
              </w:rPr>
              <w:t>Generar ventas, encontrar recursos, reducir inventario inmovilizado o intercambiar capacidades.</w:t>
            </w:r>
          </w:p>
        </w:tc>
      </w:tr>
    </w:tbl>
    <w:p>
      <w:pPr>
        <w:pStyle w:val="Heading2"/>
      </w:pPr>
      <w:r>
        <w:t>4.3 Hábitos, preferencias y necesidades</w:t>
      </w:r>
    </w:p>
    <w:p>
      <w:r>
        <w:t>EMICRON 2025 permite observar que la comunicación digital tiene un peso importante entre los micronegocios con acceso a internet: 97,6% reporta utilizar mensajería instantánea o chat. En contraste, 4,6% reporta ventas por internet mediante una plataforma electrónica. El dato no significa que el 97,6% venda por WhatsApp, pero sí muestra que la mensajería es una herramienta digital ampliamente utilizada y que existe una diferencia entre comunicarse digitalmente y operar ventas mediante plataformas.</w:t>
      </w:r>
    </w:p>
    <w:p>
      <w:pPr>
        <w:pStyle w:val="Heading1"/>
      </w:pPr>
      <w:r>
        <w:t>5. Oferta y comercialización</w:t>
      </w:r>
    </w:p>
    <w:p>
      <w:pPr>
        <w:pStyle w:val="Heading2"/>
      </w:pPr>
      <w:r>
        <w:t>5.1 Producto y ciclo de vida</w:t>
      </w:r>
    </w:p>
    <w:p>
      <w:r>
        <w:t>Mercado Fluido se encuentra en etapa de introducción, porque se trata de una propuesta que debe validar su producto, usuarios y modelo de ingresos. El producto inicial sería una PWA con registro, perfil, catálogo, publicación de bienes o servicios, búsqueda, coincidencias y contacto directo.</w:t>
      </w:r>
    </w:p>
    <w:p>
      <w:pPr>
        <w:pStyle w:val="Heading2"/>
      </w:pPr>
      <w:r>
        <w:t>5.2 Propuesta de valor</w:t>
      </w:r>
    </w:p>
    <w:p>
      <w:r>
        <w:t>“Conectar lo que un pequeño negocio tiene con lo que necesita, mediante venta o intercambio, en una plataforma sencilla y enfocada en el mercado local.”</w:t>
      </w:r>
    </w:p>
    <w:p>
      <w:pPr>
        <w:pStyle w:val="Heading2"/>
      </w:pPr>
      <w:r>
        <w:t>5.3 Precio</w:t>
      </w:r>
    </w:p>
    <w:p>
      <w:r>
        <w:t>No existe todavía evidencia primaria para afirmar cuánto está dispuesto a pagar el mercado. Por ello se plantean dos escenarios de suscripción premium para el piloto: $15.000 y $20.000 mensuales. Son hipótesis financieras, no resultados de investigación.</w:t>
      </w:r>
    </w:p>
    <w:p>
      <w:pPr>
        <w:pStyle w:val="Heading2"/>
      </w:pPr>
      <w:r>
        <w:t>5.4 Distribución y comercialización</w:t>
      </w:r>
    </w:p>
    <w:p>
      <w:r>
        <w:t>La estrategia inicial sería digital y local: captación mediante asociaciones de emprendedores, ferias, redes sociales, instituciones de apoyo y contacto directo con micronegocios. La plataforma funcionaría como catálogo y punto de coincidencia, mientras que la negociación concreta podría realizarse directamente entre las partes.</w:t>
      </w:r>
    </w:p>
    <w:p>
      <w:pPr>
        <w:pStyle w:val="Heading1"/>
      </w:pPr>
      <w:r>
        <w:t>6. Resultados y hallazgos de la investigación secundaria</w:t>
      </w:r>
    </w:p>
    <w:p>
      <w:pPr>
        <w:pStyle w:val="Heading2"/>
      </w:pPr>
      <w:r>
        <w:t>6.1 Hallazgo 1: existe una base amplia de micronegocios</w:t>
      </w:r>
    </w:p>
    <w:p>
      <w:r>
        <w:t>Los 2,43 millones de micronegocios reportados por DANE en las 24 ciudades y áreas metropolitanas representan un contexto favorable para estudiar soluciones dirigidas a pequeñas unidades productivas. El dato es nacional urbano y no debe interpretarse como número de clientes de Mercado Fluido.</w:t>
      </w:r>
    </w:p>
    <w:p>
      <w:r>
        <w:drawing>
          <wp:inline xmlns:a="http://schemas.openxmlformats.org/drawingml/2006/main" xmlns:pic="http://schemas.openxmlformats.org/drawingml/2006/picture">
            <wp:extent cx="5852160" cy="3400579"/>
            <wp:docPr id="1" name="Picture 1"/>
            <wp:cNvGraphicFramePr>
              <a:graphicFrameLocks noChangeAspect="1"/>
            </wp:cNvGraphicFramePr>
            <a:graphic>
              <a:graphicData uri="http://schemas.openxmlformats.org/drawingml/2006/picture">
                <pic:pic>
                  <pic:nvPicPr>
                    <pic:cNvPr id="0" name="grafica_brecha.png"/>
                    <pic:cNvPicPr/>
                  </pic:nvPicPr>
                  <pic:blipFill>
                    <a:blip r:embed="rId10"/>
                    <a:stretch>
                      <a:fillRect/>
                    </a:stretch>
                  </pic:blipFill>
                  <pic:spPr>
                    <a:xfrm>
                      <a:off x="0" y="0"/>
                      <a:ext cx="5852160" cy="3400579"/>
                    </a:xfrm>
                    <a:prstGeom prst="rect"/>
                  </pic:spPr>
                </pic:pic>
              </a:graphicData>
            </a:graphic>
          </wp:inline>
        </w:drawing>
      </w:r>
    </w:p>
    <w:p>
      <w:pPr>
        <w:jc w:val="center"/>
      </w:pPr>
      <w:r>
        <w:t>Figura 1. Acceso o uso de internet en micronegocios, EMICRON 2025.</w:t>
      </w:r>
    </w:p>
    <w:p>
      <w:r>
        <w:rPr>
          <w:i/>
          <w:sz w:val="18"/>
        </w:rPr>
        <w:t>Fuente: elaboración propia con datos DANE, EMICRON 2025.</w:t>
      </w:r>
    </w:p>
    <w:p>
      <w:pPr>
        <w:pStyle w:val="Heading2"/>
      </w:pPr>
      <w:r>
        <w:t>6.2 Hallazgo 2: la comunicación digital está más extendida que el comercio electrónico estructurado</w:t>
      </w:r>
    </w:p>
    <w:p>
      <w:r>
        <w:drawing>
          <wp:inline xmlns:a="http://schemas.openxmlformats.org/drawingml/2006/main" xmlns:pic="http://schemas.openxmlformats.org/drawingml/2006/picture">
            <wp:extent cx="5852160" cy="3400579"/>
            <wp:docPr id="2" name="Picture 2"/>
            <wp:cNvGraphicFramePr>
              <a:graphicFrameLocks noChangeAspect="1"/>
            </wp:cNvGraphicFramePr>
            <a:graphic>
              <a:graphicData uri="http://schemas.openxmlformats.org/drawingml/2006/picture">
                <pic:pic>
                  <pic:nvPicPr>
                    <pic:cNvPr id="0" name="grafica_digitalizacion.png"/>
                    <pic:cNvPicPr/>
                  </pic:nvPicPr>
                  <pic:blipFill>
                    <a:blip r:embed="rId11"/>
                    <a:stretch>
                      <a:fillRect/>
                    </a:stretch>
                  </pic:blipFill>
                  <pic:spPr>
                    <a:xfrm>
                      <a:off x="0" y="0"/>
                      <a:ext cx="5852160" cy="3400579"/>
                    </a:xfrm>
                    <a:prstGeom prst="rect"/>
                  </pic:spPr>
                </pic:pic>
              </a:graphicData>
            </a:graphic>
          </wp:inline>
        </w:drawing>
      </w:r>
    </w:p>
    <w:p>
      <w:pPr>
        <w:jc w:val="center"/>
      </w:pPr>
      <w:r>
        <w:t>Figura 2. Indicadores seleccionados de digitalización de micronegocios, EMICRON 2025.</w:t>
      </w:r>
    </w:p>
    <w:p>
      <w:r>
        <w:rPr>
          <w:i/>
          <w:sz w:val="18"/>
        </w:rPr>
        <w:t>Fuente: elaboración propia con datos DANE, EMICRON 2025. Los porcentajes de mensajería y venta por plataforma tienen como denominador los micronegocios que usan/tienen internet.</w:t>
      </w:r>
    </w:p>
    <w:p>
      <w:r>
        <w:t>Este hallazgo es central para la propuesta. Mercado Fluido no debería exigir un proceso complejo de comercio electrónico desde el primer contacto. El diseño puede partir de una experiencia sencilla y aprovechar hábitos digitales existentes, pero la integración con aplicaciones específicas de mensajería debe considerarse una decisión técnica a validar.</w:t>
      </w:r>
    </w:p>
    <w:p>
      <w:pPr>
        <w:pStyle w:val="Heading2"/>
      </w:pPr>
      <w:r>
        <w:t>6.3 Hallazgo 3: el comercio electrónico colombiano tiene una escala significativa</w:t>
      </w:r>
    </w:p>
    <w:p>
      <w:r>
        <w:drawing>
          <wp:inline xmlns:a="http://schemas.openxmlformats.org/drawingml/2006/main" xmlns:pic="http://schemas.openxmlformats.org/drawingml/2006/picture">
            <wp:extent cx="5852160" cy="3400579"/>
            <wp:docPr id="3" name="Picture 3"/>
            <wp:cNvGraphicFramePr>
              <a:graphicFrameLocks noChangeAspect="1"/>
            </wp:cNvGraphicFramePr>
            <a:graphic>
              <a:graphicData uri="http://schemas.openxmlformats.org/drawingml/2006/picture">
                <pic:pic>
                  <pic:nvPicPr>
                    <pic:cNvPr id="0" name="grafica_ecommerce.png"/>
                    <pic:cNvPicPr/>
                  </pic:nvPicPr>
                  <pic:blipFill>
                    <a:blip r:embed="rId12"/>
                    <a:stretch>
                      <a:fillRect/>
                    </a:stretch>
                  </pic:blipFill>
                  <pic:spPr>
                    <a:xfrm>
                      <a:off x="0" y="0"/>
                      <a:ext cx="5852160" cy="3400579"/>
                    </a:xfrm>
                    <a:prstGeom prst="rect"/>
                  </pic:spPr>
                </pic:pic>
              </a:graphicData>
            </a:graphic>
          </wp:inline>
        </w:drawing>
      </w:r>
    </w:p>
    <w:p>
      <w:pPr>
        <w:jc w:val="center"/>
      </w:pPr>
      <w:r>
        <w:t>Figura 3. Magnitud del comercio electrónico colombiano en 2025.</w:t>
      </w:r>
    </w:p>
    <w:p>
      <w:r>
        <w:rPr>
          <w:i/>
          <w:sz w:val="18"/>
        </w:rPr>
        <w:t>Fuente: elaboración propia con datos CCCE, Informe de cierre eCommerce 2025.</w:t>
      </w:r>
    </w:p>
    <w:p>
      <w:pPr>
        <w:pStyle w:val="Heading2"/>
      </w:pPr>
      <w:r>
        <w:t>6.4 Hallazgo 4: existen antecedentes de plataformas de trueque</w:t>
      </w:r>
    </w:p>
    <w:p>
      <w:r>
        <w:t>Dondo constituye un antecedente relevante porque estructuró el trueque mediante coincidencias entre usuarios y llegó a reportar más de 140.000 usuarios activos en 2021. Me Sirve también muestra una lógica de publicación, coincidencia y conversación para concretar canjes. Estos antecedentes no prueban la viabilidad de Mercado Fluido en Popayán, pero sí muestran que el problema puede ser abordado mediante plataformas digitales.</w:t>
      </w:r>
    </w:p>
    <w:p>
      <w:pPr>
        <w:pStyle w:val="Heading1"/>
      </w:pPr>
      <w:r>
        <w:t>7. Diagnóstico estratégico</w:t>
      </w:r>
    </w:p>
    <w:p>
      <w:pPr>
        <w:pStyle w:val="Heading2"/>
      </w:pPr>
      <w:r>
        <w:t>7.1 FODA</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
              <w:rPr>
                <w:rFonts w:ascii="Times New Roman" w:hAnsi="Times New Roman"/>
                <w:b/>
                <w:sz w:val="20"/>
              </w:rPr>
              <w:t>Fortalezas</w:t>
            </w:r>
          </w:p>
        </w:tc>
        <w:tc>
          <w:tcPr>
            <w:tcW w:type="dxa" w:w="4680"/>
            <w:shd w:fill="D9EAF7"/>
            <w:vAlign w:val="center"/>
          </w:tcPr>
          <w:p>
            <w:r/>
            <w:r>
              <w:rPr>
                <w:rFonts w:ascii="Times New Roman" w:hAnsi="Times New Roman"/>
                <w:b/>
                <w:sz w:val="20"/>
              </w:rPr>
              <w:t>Oportunidades</w:t>
            </w:r>
          </w:p>
        </w:tc>
      </w:tr>
      <w:tr>
        <w:tc>
          <w:tcPr>
            <w:tcW w:type="dxa" w:w="4680"/>
            <w:vAlign w:val="center"/>
          </w:tcPr>
          <w:p>
            <w:r/>
            <w:r>
              <w:rPr>
                <w:rFonts w:ascii="Times New Roman" w:hAnsi="Times New Roman"/>
                <w:b w:val="0"/>
                <w:sz w:val="20"/>
              </w:rPr>
              <w:t>PWA y modelo digital liviano.</w:t>
            </w:r>
          </w:p>
        </w:tc>
        <w:tc>
          <w:tcPr>
            <w:tcW w:type="dxa" w:w="4680"/>
            <w:vAlign w:val="center"/>
          </w:tcPr>
          <w:p>
            <w:r/>
            <w:r>
              <w:rPr>
                <w:rFonts w:ascii="Times New Roman" w:hAnsi="Times New Roman"/>
                <w:b w:val="0"/>
                <w:sz w:val="20"/>
              </w:rPr>
              <w:t>Crecimiento del comercio electrónico.</w:t>
            </w:r>
          </w:p>
        </w:tc>
      </w:tr>
      <w:tr>
        <w:tc>
          <w:tcPr>
            <w:tcW w:type="dxa" w:w="4680"/>
            <w:vAlign w:val="center"/>
          </w:tcPr>
          <w:p>
            <w:r/>
            <w:r>
              <w:rPr>
                <w:rFonts w:ascii="Times New Roman" w:hAnsi="Times New Roman"/>
                <w:b w:val="0"/>
                <w:sz w:val="20"/>
              </w:rPr>
              <w:t>Enfoque específico en micronegocios.</w:t>
            </w:r>
          </w:p>
        </w:tc>
        <w:tc>
          <w:tcPr>
            <w:tcW w:type="dxa" w:w="4680"/>
            <w:vAlign w:val="center"/>
          </w:tcPr>
          <w:p>
            <w:r/>
            <w:r>
              <w:rPr>
                <w:rFonts w:ascii="Times New Roman" w:hAnsi="Times New Roman"/>
                <w:b w:val="0"/>
                <w:sz w:val="20"/>
              </w:rPr>
              <w:t>Digitalización de pequeños negocios mediante programas públicos.</w:t>
            </w:r>
          </w:p>
        </w:tc>
      </w:tr>
      <w:tr>
        <w:tc>
          <w:tcPr>
            <w:tcW w:type="dxa" w:w="4680"/>
            <w:vAlign w:val="center"/>
          </w:tcPr>
          <w:p>
            <w:r/>
            <w:r>
              <w:rPr>
                <w:rFonts w:ascii="Times New Roman" w:hAnsi="Times New Roman"/>
                <w:b w:val="0"/>
                <w:sz w:val="20"/>
              </w:rPr>
              <w:t>Combina venta e intercambio.</w:t>
            </w:r>
          </w:p>
        </w:tc>
        <w:tc>
          <w:tcPr>
            <w:tcW w:type="dxa" w:w="4680"/>
            <w:vAlign w:val="center"/>
          </w:tcPr>
          <w:p>
            <w:r/>
            <w:r>
              <w:rPr>
                <w:rFonts w:ascii="Times New Roman" w:hAnsi="Times New Roman"/>
                <w:b w:val="0"/>
                <w:sz w:val="20"/>
              </w:rPr>
              <w:t>Posibilidad de aprovechar inventarios, servicios y capacidades disponibles.</w:t>
            </w:r>
          </w:p>
        </w:tc>
      </w:tr>
      <w:tr>
        <w:tc>
          <w:tcPr>
            <w:tcW w:type="dxa" w:w="4680"/>
            <w:vAlign w:val="center"/>
          </w:tcPr>
          <w:p>
            <w:r/>
            <w:r>
              <w:rPr>
                <w:rFonts w:ascii="Times New Roman" w:hAnsi="Times New Roman"/>
                <w:b w:val="0"/>
                <w:sz w:val="20"/>
              </w:rPr>
              <w:t>Propuesta local para iniciar en Popayán.</w:t>
            </w:r>
          </w:p>
        </w:tc>
        <w:tc>
          <w:tcPr>
            <w:tcW w:type="dxa" w:w="4680"/>
            <w:vAlign w:val="center"/>
          </w:tcPr>
          <w:p>
            <w:r/>
            <w:r>
              <w:rPr>
                <w:rFonts w:ascii="Times New Roman" w:hAnsi="Times New Roman"/>
                <w:b w:val="0"/>
                <w:sz w:val="20"/>
              </w:rPr>
              <w:t>Interés creciente por reutilización y economía colaborativa.</w:t>
            </w:r>
          </w:p>
        </w:tc>
      </w:tr>
    </w:tbl>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
              <w:rPr>
                <w:rFonts w:ascii="Times New Roman" w:hAnsi="Times New Roman"/>
                <w:b/>
                <w:sz w:val="20"/>
              </w:rPr>
              <w:t>Debilidades</w:t>
            </w:r>
          </w:p>
        </w:tc>
        <w:tc>
          <w:tcPr>
            <w:tcW w:type="dxa" w:w="4680"/>
            <w:shd w:fill="D9EAF7"/>
            <w:vAlign w:val="center"/>
          </w:tcPr>
          <w:p>
            <w:r/>
            <w:r>
              <w:rPr>
                <w:rFonts w:ascii="Times New Roman" w:hAnsi="Times New Roman"/>
                <w:b/>
                <w:sz w:val="20"/>
              </w:rPr>
              <w:t>Amenazas</w:t>
            </w:r>
          </w:p>
        </w:tc>
      </w:tr>
      <w:tr>
        <w:tc>
          <w:tcPr>
            <w:tcW w:type="dxa" w:w="4680"/>
            <w:vAlign w:val="center"/>
          </w:tcPr>
          <w:p>
            <w:r/>
            <w:r>
              <w:rPr>
                <w:rFonts w:ascii="Times New Roman" w:hAnsi="Times New Roman"/>
                <w:b w:val="0"/>
                <w:sz w:val="20"/>
              </w:rPr>
              <w:t>Marca nueva y sin base de usuarios.</w:t>
            </w:r>
          </w:p>
        </w:tc>
        <w:tc>
          <w:tcPr>
            <w:tcW w:type="dxa" w:w="4680"/>
            <w:vAlign w:val="center"/>
          </w:tcPr>
          <w:p>
            <w:r/>
            <w:r>
              <w:rPr>
                <w:rFonts w:ascii="Times New Roman" w:hAnsi="Times New Roman"/>
                <w:b w:val="0"/>
                <w:sz w:val="20"/>
              </w:rPr>
              <w:t>Competencia de redes sociales y marketplaces.</w:t>
            </w:r>
          </w:p>
        </w:tc>
      </w:tr>
      <w:tr>
        <w:tc>
          <w:tcPr>
            <w:tcW w:type="dxa" w:w="4680"/>
            <w:vAlign w:val="center"/>
          </w:tcPr>
          <w:p>
            <w:r/>
            <w:r>
              <w:rPr>
                <w:rFonts w:ascii="Times New Roman" w:hAnsi="Times New Roman"/>
                <w:b w:val="0"/>
                <w:sz w:val="20"/>
              </w:rPr>
              <w:t>Necesidad de lograr masa crítica.</w:t>
            </w:r>
          </w:p>
        </w:tc>
        <w:tc>
          <w:tcPr>
            <w:tcW w:type="dxa" w:w="4680"/>
            <w:vAlign w:val="center"/>
          </w:tcPr>
          <w:p>
            <w:r/>
            <w:r>
              <w:rPr>
                <w:rFonts w:ascii="Times New Roman" w:hAnsi="Times New Roman"/>
                <w:b w:val="0"/>
                <w:sz w:val="20"/>
              </w:rPr>
              <w:t>Dificultad para generar coincidencias si hay pocos usuarios.</w:t>
            </w:r>
          </w:p>
        </w:tc>
      </w:tr>
      <w:tr>
        <w:tc>
          <w:tcPr>
            <w:tcW w:type="dxa" w:w="4680"/>
            <w:vAlign w:val="center"/>
          </w:tcPr>
          <w:p>
            <w:r/>
            <w:r>
              <w:rPr>
                <w:rFonts w:ascii="Times New Roman" w:hAnsi="Times New Roman"/>
                <w:b w:val="0"/>
                <w:sz w:val="20"/>
              </w:rPr>
              <w:t>Modelo de ingresos aún por validar.</w:t>
            </w:r>
          </w:p>
        </w:tc>
        <w:tc>
          <w:tcPr>
            <w:tcW w:type="dxa" w:w="4680"/>
            <w:vAlign w:val="center"/>
          </w:tcPr>
          <w:p>
            <w:r/>
            <w:r>
              <w:rPr>
                <w:rFonts w:ascii="Times New Roman" w:hAnsi="Times New Roman"/>
                <w:b w:val="0"/>
                <w:sz w:val="20"/>
              </w:rPr>
              <w:t>Desconfianza o conflictos propios de intercambios entre particulares.</w:t>
            </w:r>
          </w:p>
        </w:tc>
      </w:tr>
      <w:tr>
        <w:tc>
          <w:tcPr>
            <w:tcW w:type="dxa" w:w="4680"/>
            <w:vAlign w:val="center"/>
          </w:tcPr>
          <w:p>
            <w:r/>
            <w:r>
              <w:rPr>
                <w:rFonts w:ascii="Times New Roman" w:hAnsi="Times New Roman"/>
                <w:b w:val="0"/>
                <w:sz w:val="20"/>
              </w:rPr>
              <w:t>Costos reales de operación aún no definidos.</w:t>
            </w:r>
          </w:p>
        </w:tc>
        <w:tc>
          <w:tcPr>
            <w:tcW w:type="dxa" w:w="4680"/>
            <w:vAlign w:val="center"/>
          </w:tcPr>
          <w:p>
            <w:r/>
            <w:r>
              <w:rPr>
                <w:rFonts w:ascii="Times New Roman" w:hAnsi="Times New Roman"/>
                <w:b w:val="0"/>
                <w:sz w:val="20"/>
              </w:rPr>
              <w:t>Cambios tecnológicos y hábitos de uso.</w:t>
            </w:r>
          </w:p>
        </w:tc>
      </w:tr>
    </w:tbl>
    <w:p>
      <w:pPr>
        <w:pStyle w:val="Heading2"/>
      </w:pPr>
      <w:r>
        <w:t>7.2 Matriz ERIC</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AF7"/>
            <w:vAlign w:val="center"/>
          </w:tcPr>
          <w:p>
            <w:r/>
            <w:r>
              <w:rPr>
                <w:rFonts w:ascii="Times New Roman" w:hAnsi="Times New Roman"/>
                <w:b/>
                <w:sz w:val="20"/>
              </w:rPr>
              <w:t>Eliminar</w:t>
            </w:r>
          </w:p>
        </w:tc>
        <w:tc>
          <w:tcPr>
            <w:tcW w:type="dxa" w:w="2340"/>
            <w:shd w:fill="D9EAF7"/>
            <w:vAlign w:val="center"/>
          </w:tcPr>
          <w:p>
            <w:r/>
            <w:r>
              <w:rPr>
                <w:rFonts w:ascii="Times New Roman" w:hAnsi="Times New Roman"/>
                <w:b/>
                <w:sz w:val="20"/>
              </w:rPr>
              <w:t>Reducir</w:t>
            </w:r>
          </w:p>
        </w:tc>
        <w:tc>
          <w:tcPr>
            <w:tcW w:type="dxa" w:w="2340"/>
            <w:shd w:fill="D9EAF7"/>
            <w:vAlign w:val="center"/>
          </w:tcPr>
          <w:p>
            <w:r/>
            <w:r>
              <w:rPr>
                <w:rFonts w:ascii="Times New Roman" w:hAnsi="Times New Roman"/>
                <w:b/>
                <w:sz w:val="20"/>
              </w:rPr>
              <w:t>Incrementar</w:t>
            </w:r>
          </w:p>
        </w:tc>
        <w:tc>
          <w:tcPr>
            <w:tcW w:type="dxa" w:w="2340"/>
            <w:shd w:fill="D9EAF7"/>
            <w:vAlign w:val="center"/>
          </w:tcPr>
          <w:p>
            <w:r/>
            <w:r>
              <w:rPr>
                <w:rFonts w:ascii="Times New Roman" w:hAnsi="Times New Roman"/>
                <w:b/>
                <w:sz w:val="20"/>
              </w:rPr>
              <w:t>Crear</w:t>
            </w:r>
          </w:p>
        </w:tc>
      </w:tr>
      <w:tr>
        <w:tc>
          <w:tcPr>
            <w:tcW w:type="dxa" w:w="2340"/>
            <w:vAlign w:val="center"/>
          </w:tcPr>
          <w:p>
            <w:r/>
            <w:r>
              <w:rPr>
                <w:rFonts w:ascii="Times New Roman" w:hAnsi="Times New Roman"/>
                <w:b w:val="0"/>
                <w:sz w:val="20"/>
              </w:rPr>
              <w:t>Procesos innecesarios para publicar una oferta.</w:t>
            </w:r>
          </w:p>
        </w:tc>
        <w:tc>
          <w:tcPr>
            <w:tcW w:type="dxa" w:w="2340"/>
            <w:vAlign w:val="center"/>
          </w:tcPr>
          <w:p>
            <w:r/>
            <w:r>
              <w:rPr>
                <w:rFonts w:ascii="Times New Roman" w:hAnsi="Times New Roman"/>
                <w:b w:val="0"/>
                <w:sz w:val="20"/>
              </w:rPr>
              <w:t>Dependencia exclusiva del dinero para concretar valor.</w:t>
            </w:r>
          </w:p>
        </w:tc>
        <w:tc>
          <w:tcPr>
            <w:tcW w:type="dxa" w:w="2340"/>
            <w:vAlign w:val="center"/>
          </w:tcPr>
          <w:p>
            <w:r/>
            <w:r>
              <w:rPr>
                <w:rFonts w:ascii="Times New Roman" w:hAnsi="Times New Roman"/>
                <w:b w:val="0"/>
                <w:sz w:val="20"/>
              </w:rPr>
              <w:t>Facilidad de búsqueda y coincidencia.</w:t>
            </w:r>
          </w:p>
        </w:tc>
        <w:tc>
          <w:tcPr>
            <w:tcW w:type="dxa" w:w="2340"/>
            <w:vAlign w:val="center"/>
          </w:tcPr>
          <w:p>
            <w:r/>
            <w:r>
              <w:rPr>
                <w:rFonts w:ascii="Times New Roman" w:hAnsi="Times New Roman"/>
                <w:b w:val="0"/>
                <w:sz w:val="20"/>
              </w:rPr>
              <w:t>Un espacio especializado para intercambio entre pequeños negocios.</w:t>
            </w:r>
          </w:p>
        </w:tc>
      </w:tr>
      <w:tr>
        <w:tc>
          <w:tcPr>
            <w:tcW w:type="dxa" w:w="2340"/>
            <w:vAlign w:val="center"/>
          </w:tcPr>
          <w:p>
            <w:r/>
            <w:r>
              <w:rPr>
                <w:rFonts w:ascii="Times New Roman" w:hAnsi="Times New Roman"/>
                <w:b w:val="0"/>
                <w:sz w:val="20"/>
              </w:rPr>
              <w:t>Fricción en la publicación inicial.</w:t>
            </w:r>
          </w:p>
        </w:tc>
        <w:tc>
          <w:tcPr>
            <w:tcW w:type="dxa" w:w="2340"/>
            <w:vAlign w:val="center"/>
          </w:tcPr>
          <w:p>
            <w:r/>
            <w:r>
              <w:rPr>
                <w:rFonts w:ascii="Times New Roman" w:hAnsi="Times New Roman"/>
                <w:b w:val="0"/>
                <w:sz w:val="20"/>
              </w:rPr>
              <w:t>Fricción entre oferta y necesidad.</w:t>
            </w:r>
          </w:p>
        </w:tc>
        <w:tc>
          <w:tcPr>
            <w:tcW w:type="dxa" w:w="2340"/>
            <w:vAlign w:val="center"/>
          </w:tcPr>
          <w:p>
            <w:r/>
            <w:r>
              <w:rPr>
                <w:rFonts w:ascii="Times New Roman" w:hAnsi="Times New Roman"/>
                <w:b w:val="0"/>
                <w:sz w:val="20"/>
              </w:rPr>
              <w:t>Información del perfil y trazabilidad básica.</w:t>
            </w:r>
          </w:p>
        </w:tc>
        <w:tc>
          <w:tcPr>
            <w:tcW w:type="dxa" w:w="2340"/>
            <w:vAlign w:val="center"/>
          </w:tcPr>
          <w:p>
            <w:r/>
            <w:r>
              <w:rPr>
                <w:rFonts w:ascii="Times New Roman" w:hAnsi="Times New Roman"/>
                <w:b w:val="0"/>
                <w:sz w:val="20"/>
              </w:rPr>
              <w:t>Modelo híbrido de trueque + venta.</w:t>
            </w:r>
          </w:p>
        </w:tc>
      </w:tr>
    </w:tbl>
    <w:p>
      <w:r>
        <w:t>La matriz ERIC se utiliza como propuesta estratégica, no como resultado de una encuesta. Su función es mostrar cómo Mercado Fluido podría diferenciarse frente a canales tradicionales.</w:t>
      </w:r>
    </w:p>
    <w:p>
      <w:pPr>
        <w:pStyle w:val="Heading1"/>
      </w:pPr>
      <w:r>
        <w:t>8. Empresa y producto</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
              <w:rPr>
                <w:rFonts w:ascii="Times New Roman" w:hAnsi="Times New Roman"/>
                <w:b/>
                <w:sz w:val="20"/>
              </w:rPr>
              <w:t>Elemento</w:t>
            </w:r>
          </w:p>
        </w:tc>
        <w:tc>
          <w:tcPr>
            <w:tcW w:type="dxa" w:w="4680"/>
            <w:shd w:fill="D9EAF7"/>
            <w:vAlign w:val="center"/>
          </w:tcPr>
          <w:p>
            <w:r/>
            <w:r>
              <w:rPr>
                <w:rFonts w:ascii="Times New Roman" w:hAnsi="Times New Roman"/>
                <w:b/>
                <w:sz w:val="20"/>
              </w:rPr>
              <w:t>Propuesta</w:t>
            </w:r>
          </w:p>
        </w:tc>
      </w:tr>
      <w:tr>
        <w:tc>
          <w:tcPr>
            <w:tcW w:type="dxa" w:w="4680"/>
            <w:vAlign w:val="center"/>
          </w:tcPr>
          <w:p>
            <w:r/>
            <w:r>
              <w:rPr>
                <w:rFonts w:ascii="Times New Roman" w:hAnsi="Times New Roman"/>
                <w:b w:val="0"/>
                <w:sz w:val="20"/>
              </w:rPr>
              <w:t>Nombre</w:t>
            </w:r>
          </w:p>
        </w:tc>
        <w:tc>
          <w:tcPr>
            <w:tcW w:type="dxa" w:w="4680"/>
            <w:vAlign w:val="center"/>
          </w:tcPr>
          <w:p>
            <w:r/>
            <w:r>
              <w:rPr>
                <w:rFonts w:ascii="Times New Roman" w:hAnsi="Times New Roman"/>
                <w:b w:val="0"/>
                <w:sz w:val="20"/>
              </w:rPr>
              <w:t>Mercado Fluido S.A.S. (propuesta académica).</w:t>
            </w:r>
          </w:p>
        </w:tc>
      </w:tr>
      <w:tr>
        <w:tc>
          <w:tcPr>
            <w:tcW w:type="dxa" w:w="4680"/>
            <w:vAlign w:val="center"/>
          </w:tcPr>
          <w:p>
            <w:r/>
            <w:r>
              <w:rPr>
                <w:rFonts w:ascii="Times New Roman" w:hAnsi="Times New Roman"/>
                <w:b w:val="0"/>
                <w:sz w:val="20"/>
              </w:rPr>
              <w:t>Tipo</w:t>
            </w:r>
          </w:p>
        </w:tc>
        <w:tc>
          <w:tcPr>
            <w:tcW w:type="dxa" w:w="4680"/>
            <w:vAlign w:val="center"/>
          </w:tcPr>
          <w:p>
            <w:r/>
            <w:r>
              <w:rPr>
                <w:rFonts w:ascii="Times New Roman" w:hAnsi="Times New Roman"/>
                <w:b w:val="0"/>
                <w:sz w:val="20"/>
              </w:rPr>
              <w:t>Empresa de servicios tecnológicos / plataforma digital.</w:t>
            </w:r>
          </w:p>
        </w:tc>
      </w:tr>
      <w:tr>
        <w:tc>
          <w:tcPr>
            <w:tcW w:type="dxa" w:w="4680"/>
            <w:vAlign w:val="center"/>
          </w:tcPr>
          <w:p>
            <w:r/>
            <w:r>
              <w:rPr>
                <w:rFonts w:ascii="Times New Roman" w:hAnsi="Times New Roman"/>
                <w:b w:val="0"/>
                <w:sz w:val="20"/>
              </w:rPr>
              <w:t>Slogan</w:t>
            </w:r>
          </w:p>
        </w:tc>
        <w:tc>
          <w:tcPr>
            <w:tcW w:type="dxa" w:w="4680"/>
            <w:vAlign w:val="center"/>
          </w:tcPr>
          <w:p>
            <w:r/>
            <w:r>
              <w:rPr>
                <w:rFonts w:ascii="Times New Roman" w:hAnsi="Times New Roman"/>
                <w:b w:val="0"/>
                <w:sz w:val="20"/>
              </w:rPr>
              <w:t>Conectando valor, multiplicando oportunidades.</w:t>
            </w:r>
          </w:p>
        </w:tc>
      </w:tr>
      <w:tr>
        <w:tc>
          <w:tcPr>
            <w:tcW w:type="dxa" w:w="4680"/>
            <w:vAlign w:val="center"/>
          </w:tcPr>
          <w:p>
            <w:r/>
            <w:r>
              <w:rPr>
                <w:rFonts w:ascii="Times New Roman" w:hAnsi="Times New Roman"/>
                <w:b w:val="0"/>
                <w:sz w:val="20"/>
              </w:rPr>
              <w:t>Producto</w:t>
            </w:r>
          </w:p>
        </w:tc>
        <w:tc>
          <w:tcPr>
            <w:tcW w:type="dxa" w:w="4680"/>
            <w:vAlign w:val="center"/>
          </w:tcPr>
          <w:p>
            <w:r/>
            <w:r>
              <w:rPr>
                <w:rFonts w:ascii="Times New Roman" w:hAnsi="Times New Roman"/>
                <w:b w:val="0"/>
                <w:sz w:val="20"/>
              </w:rPr>
              <w:t>Plataforma Mercado Fluido.</w:t>
            </w:r>
          </w:p>
        </w:tc>
      </w:tr>
      <w:tr>
        <w:tc>
          <w:tcPr>
            <w:tcW w:type="dxa" w:w="4680"/>
            <w:vAlign w:val="center"/>
          </w:tcPr>
          <w:p>
            <w:r/>
            <w:r>
              <w:rPr>
                <w:rFonts w:ascii="Times New Roman" w:hAnsi="Times New Roman"/>
                <w:b w:val="0"/>
                <w:sz w:val="20"/>
              </w:rPr>
              <w:t>Misión</w:t>
            </w:r>
          </w:p>
        </w:tc>
        <w:tc>
          <w:tcPr>
            <w:tcW w:type="dxa" w:w="4680"/>
            <w:vAlign w:val="center"/>
          </w:tcPr>
          <w:p>
            <w:r/>
            <w:r>
              <w:rPr>
                <w:rFonts w:ascii="Times New Roman" w:hAnsi="Times New Roman"/>
                <w:b w:val="0"/>
                <w:sz w:val="20"/>
              </w:rPr>
              <w:t>Facilitar a pequeños negocios nuevas formas de comercializar, intercambiar y aprovechar sus recursos mediante herramientas digitales sencillas.</w:t>
            </w:r>
          </w:p>
        </w:tc>
      </w:tr>
      <w:tr>
        <w:tc>
          <w:tcPr>
            <w:tcW w:type="dxa" w:w="4680"/>
            <w:vAlign w:val="center"/>
          </w:tcPr>
          <w:p>
            <w:r/>
            <w:r>
              <w:rPr>
                <w:rFonts w:ascii="Times New Roman" w:hAnsi="Times New Roman"/>
                <w:b w:val="0"/>
                <w:sz w:val="20"/>
              </w:rPr>
              <w:t>Visión</w:t>
            </w:r>
          </w:p>
        </w:tc>
        <w:tc>
          <w:tcPr>
            <w:tcW w:type="dxa" w:w="4680"/>
            <w:vAlign w:val="center"/>
          </w:tcPr>
          <w:p>
            <w:r/>
            <w:r>
              <w:rPr>
                <w:rFonts w:ascii="Times New Roman" w:hAnsi="Times New Roman"/>
                <w:b w:val="0"/>
                <w:sz w:val="20"/>
              </w:rPr>
              <w:t>Ser una plataforma reconocida inicialmente en Popayán y posteriormente en el Cauca por facilitar intercambios y oportunidades comerciales entre pequeños negocios.</w:t>
            </w:r>
          </w:p>
        </w:tc>
      </w:tr>
      <w:tr>
        <w:tc>
          <w:tcPr>
            <w:tcW w:type="dxa" w:w="4680"/>
            <w:vAlign w:val="center"/>
          </w:tcPr>
          <w:p>
            <w:r/>
            <w:r>
              <w:rPr>
                <w:rFonts w:ascii="Times New Roman" w:hAnsi="Times New Roman"/>
                <w:b w:val="0"/>
                <w:sz w:val="20"/>
              </w:rPr>
              <w:t>Valores</w:t>
            </w:r>
          </w:p>
        </w:tc>
        <w:tc>
          <w:tcPr>
            <w:tcW w:type="dxa" w:w="4680"/>
            <w:vAlign w:val="center"/>
          </w:tcPr>
          <w:p>
            <w:r/>
            <w:r>
              <w:rPr>
                <w:rFonts w:ascii="Times New Roman" w:hAnsi="Times New Roman"/>
                <w:b w:val="0"/>
                <w:sz w:val="20"/>
              </w:rPr>
              <w:t>Confianza, simplicidad, colaboración, transparencia y aprovechamiento responsable de recursos.</w:t>
            </w:r>
          </w:p>
        </w:tc>
      </w:tr>
    </w:tbl>
    <w:p>
      <w:pPr>
        <w:pStyle w:val="Heading2"/>
      </w:pPr>
      <w:r>
        <w:t>8.1 Modelo preliminar</w:t>
      </w:r>
    </w:p>
    <w:p>
      <w:r>
        <w:t>Se propone un esquema freemium: publicación y funciones básicas sin costo, con servicios premium para mayor visibilidad, herramientas adicionales o funcionalidades comerciales. Esta estructura debe validarse mediante un piloto antes de definir el precio definitivo.</w:t>
      </w:r>
    </w:p>
    <w:p>
      <w:pPr>
        <w:pStyle w:val="Heading1"/>
      </w:pPr>
      <w:r>
        <w:t>9. Presupuesto, costos y punto de equilibrio</w:t>
      </w:r>
    </w:p>
    <w:p>
      <w:r>
        <w:t>Para el ejercicio académico se conserva un costo fijo mensual estimado de $1.200.000 como supuesto preliminar. Este valor no corresponde a una cotización real y deberá reemplazarse por costos efectivamente presupuestados cuando se prepare el piloto.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AF7"/>
            <w:vAlign w:val="center"/>
          </w:tcPr>
          <w:p>
            <w:r/>
            <w:r>
              <w:rPr>
                <w:rFonts w:ascii="Times New Roman" w:hAnsi="Times New Roman"/>
                <w:b/>
                <w:sz w:val="20"/>
              </w:rPr>
              <w:t>Escenario</w:t>
            </w:r>
          </w:p>
        </w:tc>
        <w:tc>
          <w:tcPr>
            <w:tcW w:type="dxa" w:w="2340"/>
            <w:shd w:fill="D9EAF7"/>
            <w:vAlign w:val="center"/>
          </w:tcPr>
          <w:p>
            <w:r/>
            <w:r>
              <w:rPr>
                <w:rFonts w:ascii="Times New Roman" w:hAnsi="Times New Roman"/>
                <w:b/>
                <w:sz w:val="20"/>
              </w:rPr>
              <w:t>Precio mensual</w:t>
            </w:r>
          </w:p>
        </w:tc>
        <w:tc>
          <w:tcPr>
            <w:tcW w:type="dxa" w:w="2340"/>
            <w:shd w:fill="D9EAF7"/>
            <w:vAlign w:val="center"/>
          </w:tcPr>
          <w:p>
            <w:r/>
            <w:r>
              <w:rPr>
                <w:rFonts w:ascii="Times New Roman" w:hAnsi="Times New Roman"/>
                <w:b/>
                <w:sz w:val="20"/>
              </w:rPr>
              <w:t>Costos fijos supuestos</w:t>
            </w:r>
          </w:p>
        </w:tc>
        <w:tc>
          <w:tcPr>
            <w:tcW w:type="dxa" w:w="2340"/>
            <w:shd w:fill="D9EAF7"/>
            <w:vAlign w:val="center"/>
          </w:tcPr>
          <w:p>
            <w:r/>
            <w:r>
              <w:rPr>
                <w:rFonts w:ascii="Times New Roman" w:hAnsi="Times New Roman"/>
                <w:b/>
                <w:sz w:val="20"/>
              </w:rPr>
              <w:t>Punto de equilibrio</w:t>
            </w:r>
          </w:p>
        </w:tc>
      </w:tr>
      <w:tr>
        <w:tc>
          <w:tcPr>
            <w:tcW w:type="dxa" w:w="2340"/>
            <w:vAlign w:val="center"/>
          </w:tcPr>
          <w:p>
            <w:r/>
            <w:r>
              <w:rPr>
                <w:rFonts w:ascii="Times New Roman" w:hAnsi="Times New Roman"/>
                <w:b w:val="0"/>
                <w:sz w:val="20"/>
              </w:rPr>
              <w:t>A</w:t>
            </w:r>
          </w:p>
        </w:tc>
        <w:tc>
          <w:tcPr>
            <w:tcW w:type="dxa" w:w="2340"/>
            <w:vAlign w:val="center"/>
          </w:tcPr>
          <w:p>
            <w:r/>
            <w:r>
              <w:rPr>
                <w:rFonts w:ascii="Times New Roman" w:hAnsi="Times New Roman"/>
                <w:b w:val="0"/>
                <w:sz w:val="20"/>
              </w:rPr>
              <w:t>$15.000</w:t>
            </w:r>
          </w:p>
        </w:tc>
        <w:tc>
          <w:tcPr>
            <w:tcW w:type="dxa" w:w="2340"/>
            <w:vAlign w:val="center"/>
          </w:tcPr>
          <w:p>
            <w:r/>
            <w:r>
              <w:rPr>
                <w:rFonts w:ascii="Times New Roman" w:hAnsi="Times New Roman"/>
                <w:b w:val="0"/>
                <w:sz w:val="20"/>
              </w:rPr>
              <w:t>$1.200.000</w:t>
            </w:r>
          </w:p>
        </w:tc>
        <w:tc>
          <w:tcPr>
            <w:tcW w:type="dxa" w:w="2340"/>
            <w:vAlign w:val="center"/>
          </w:tcPr>
          <w:p>
            <w:r/>
            <w:r>
              <w:rPr>
                <w:rFonts w:ascii="Times New Roman" w:hAnsi="Times New Roman"/>
                <w:b w:val="0"/>
                <w:sz w:val="20"/>
              </w:rPr>
              <w:t>80 suscriptores</w:t>
            </w:r>
          </w:p>
        </w:tc>
      </w:tr>
      <w:tr>
        <w:tc>
          <w:tcPr>
            <w:tcW w:type="dxa" w:w="2340"/>
            <w:vAlign w:val="center"/>
          </w:tcPr>
          <w:p>
            <w:r/>
            <w:r>
              <w:rPr>
                <w:rFonts w:ascii="Times New Roman" w:hAnsi="Times New Roman"/>
                <w:b w:val="0"/>
                <w:sz w:val="20"/>
              </w:rPr>
              <w:t>B</w:t>
            </w:r>
          </w:p>
        </w:tc>
        <w:tc>
          <w:tcPr>
            <w:tcW w:type="dxa" w:w="2340"/>
            <w:vAlign w:val="center"/>
          </w:tcPr>
          <w:p>
            <w:r/>
            <w:r>
              <w:rPr>
                <w:rFonts w:ascii="Times New Roman" w:hAnsi="Times New Roman"/>
                <w:b w:val="0"/>
                <w:sz w:val="20"/>
              </w:rPr>
              <w:t>$20.000</w:t>
            </w:r>
          </w:p>
        </w:tc>
        <w:tc>
          <w:tcPr>
            <w:tcW w:type="dxa" w:w="2340"/>
            <w:vAlign w:val="center"/>
          </w:tcPr>
          <w:p>
            <w:r/>
            <w:r>
              <w:rPr>
                <w:rFonts w:ascii="Times New Roman" w:hAnsi="Times New Roman"/>
                <w:b w:val="0"/>
                <w:sz w:val="20"/>
              </w:rPr>
              <w:t>$1.200.000</w:t>
            </w:r>
          </w:p>
        </w:tc>
        <w:tc>
          <w:tcPr>
            <w:tcW w:type="dxa" w:w="2340"/>
            <w:vAlign w:val="center"/>
          </w:tcPr>
          <w:p>
            <w:r/>
            <w:r>
              <w:rPr>
                <w:rFonts w:ascii="Times New Roman" w:hAnsi="Times New Roman"/>
                <w:b w:val="0"/>
                <w:sz w:val="20"/>
              </w:rPr>
              <w:t>60 suscriptores</w:t>
            </w:r>
          </w:p>
        </w:tc>
      </w:tr>
    </w:tbl>
    <w:p>
      <w:r>
        <w:drawing>
          <wp:inline xmlns:a="http://schemas.openxmlformats.org/drawingml/2006/main" xmlns:pic="http://schemas.openxmlformats.org/drawingml/2006/picture">
            <wp:extent cx="5852160" cy="3400579"/>
            <wp:docPr id="4" name="Picture 4"/>
            <wp:cNvGraphicFramePr>
              <a:graphicFrameLocks noChangeAspect="1"/>
            </wp:cNvGraphicFramePr>
            <a:graphic>
              <a:graphicData uri="http://schemas.openxmlformats.org/drawingml/2006/picture">
                <pic:pic>
                  <pic:nvPicPr>
                    <pic:cNvPr id="0" name="grafica_equilibrio.png"/>
                    <pic:cNvPicPr/>
                  </pic:nvPicPr>
                  <pic:blipFill>
                    <a:blip r:embed="rId13"/>
                    <a:stretch>
                      <a:fillRect/>
                    </a:stretch>
                  </pic:blipFill>
                  <pic:spPr>
                    <a:xfrm>
                      <a:off x="0" y="0"/>
                      <a:ext cx="5852160" cy="3400579"/>
                    </a:xfrm>
                    <a:prstGeom prst="rect"/>
                  </pic:spPr>
                </pic:pic>
              </a:graphicData>
            </a:graphic>
          </wp:inline>
        </w:drawing>
      </w:r>
    </w:p>
    <w:p>
      <w:pPr>
        <w:jc w:val="center"/>
      </w:pPr>
      <w:r>
        <w:t>Figura 4. Punto de equilibrio bajo dos escenarios de precio.</w:t>
      </w:r>
    </w:p>
    <w:p>
      <w:r>
        <w:rPr>
          <w:i/>
          <w:sz w:val="18"/>
        </w:rPr>
        <w:t>Fuente: elaboración propia. Ejercicio financiero con supuestos; no representa una tarifa validada por el mercado.</w:t>
      </w:r>
    </w:p>
    <w:p>
      <w:r>
        <w:t>Fórmula utilizada: punto de equilibrio = costos fijos / precio mensual. El cálculo no incorpora costos variables, impuestos, comisiones de pago, adquisición de clientes ni otros costos que deberían incluirse en un modelo financiero real. Por tanto, sirve únicamente para observar la sensibilidad del número de suscriptores frente al precio.</w:t>
      </w:r>
    </w:p>
    <w:p>
      <w:pPr>
        <w:pStyle w:val="Heading1"/>
      </w:pPr>
      <w:r>
        <w:t>10. Plan de validación y recomendaciones</w:t>
      </w:r>
    </w:p>
    <w:p>
      <w:pPr>
        <w:pStyle w:val="Heading2"/>
      </w:pPr>
      <w:r>
        <w:t>10.1 Piloto de 90 días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vAlign w:val="center"/>
          </w:tcPr>
          <w:p>
            <w:r/>
            <w:r>
              <w:rPr>
                <w:rFonts w:ascii="Times New Roman" w:hAnsi="Times New Roman"/>
                <w:b/>
                <w:sz w:val="20"/>
              </w:rPr>
              <w:t>Fase</w:t>
            </w:r>
          </w:p>
        </w:tc>
        <w:tc>
          <w:tcPr>
            <w:tcW w:type="dxa" w:w="3120"/>
            <w:shd w:fill="D9EAF7"/>
            <w:vAlign w:val="center"/>
          </w:tcPr>
          <w:p>
            <w:r/>
            <w:r>
              <w:rPr>
                <w:rFonts w:ascii="Times New Roman" w:hAnsi="Times New Roman"/>
                <w:b/>
                <w:sz w:val="20"/>
              </w:rPr>
              <w:t>Actividad</w:t>
            </w:r>
          </w:p>
        </w:tc>
        <w:tc>
          <w:tcPr>
            <w:tcW w:type="dxa" w:w="3120"/>
            <w:shd w:fill="D9EAF7"/>
            <w:vAlign w:val="center"/>
          </w:tcPr>
          <w:p>
            <w:r/>
            <w:r>
              <w:rPr>
                <w:rFonts w:ascii="Times New Roman" w:hAnsi="Times New Roman"/>
                <w:b/>
                <w:sz w:val="20"/>
              </w:rPr>
              <w:t>Indicador a validar</w:t>
            </w:r>
          </w:p>
        </w:tc>
      </w:tr>
      <w:tr>
        <w:tc>
          <w:tcPr>
            <w:tcW w:type="dxa" w:w="3120"/>
            <w:vAlign w:val="center"/>
          </w:tcPr>
          <w:p>
            <w:r/>
            <w:r>
              <w:rPr>
                <w:rFonts w:ascii="Times New Roman" w:hAnsi="Times New Roman"/>
                <w:b w:val="0"/>
                <w:sz w:val="20"/>
              </w:rPr>
              <w:t>Días 1–30</w:t>
            </w:r>
          </w:p>
        </w:tc>
        <w:tc>
          <w:tcPr>
            <w:tcW w:type="dxa" w:w="3120"/>
            <w:vAlign w:val="center"/>
          </w:tcPr>
          <w:p>
            <w:r/>
            <w:r>
              <w:rPr>
                <w:rFonts w:ascii="Times New Roman" w:hAnsi="Times New Roman"/>
                <w:b w:val="0"/>
                <w:sz w:val="20"/>
              </w:rPr>
              <w:t>Captar un grupo inicial de emprendedores y probar publicación/coincidencias.</w:t>
            </w:r>
          </w:p>
        </w:tc>
        <w:tc>
          <w:tcPr>
            <w:tcW w:type="dxa" w:w="3120"/>
            <w:vAlign w:val="center"/>
          </w:tcPr>
          <w:p>
            <w:r/>
            <w:r>
              <w:rPr>
                <w:rFonts w:ascii="Times New Roman" w:hAnsi="Times New Roman"/>
                <w:b w:val="0"/>
                <w:sz w:val="20"/>
              </w:rPr>
              <w:t>Usuarios registrados y publicaciones activas.</w:t>
            </w:r>
          </w:p>
        </w:tc>
      </w:tr>
      <w:tr>
        <w:tc>
          <w:tcPr>
            <w:tcW w:type="dxa" w:w="3120"/>
            <w:vAlign w:val="center"/>
          </w:tcPr>
          <w:p>
            <w:r/>
            <w:r>
              <w:rPr>
                <w:rFonts w:ascii="Times New Roman" w:hAnsi="Times New Roman"/>
                <w:b w:val="0"/>
                <w:sz w:val="20"/>
              </w:rPr>
              <w:t>Días 31–60</w:t>
            </w:r>
          </w:p>
        </w:tc>
        <w:tc>
          <w:tcPr>
            <w:tcW w:type="dxa" w:w="3120"/>
            <w:vAlign w:val="center"/>
          </w:tcPr>
          <w:p>
            <w:r/>
            <w:r>
              <w:rPr>
                <w:rFonts w:ascii="Times New Roman" w:hAnsi="Times New Roman"/>
                <w:b w:val="0"/>
                <w:sz w:val="20"/>
              </w:rPr>
              <w:t>Probar intercambios y ventas reales.</w:t>
            </w:r>
          </w:p>
        </w:tc>
        <w:tc>
          <w:tcPr>
            <w:tcW w:type="dxa" w:w="3120"/>
            <w:vAlign w:val="center"/>
          </w:tcPr>
          <w:p>
            <w:r/>
            <w:r>
              <w:rPr>
                <w:rFonts w:ascii="Times New Roman" w:hAnsi="Times New Roman"/>
                <w:b w:val="0"/>
                <w:sz w:val="20"/>
              </w:rPr>
              <w:t>Número de coincidencias, conversaciones y operaciones.</w:t>
            </w:r>
          </w:p>
        </w:tc>
      </w:tr>
      <w:tr>
        <w:tc>
          <w:tcPr>
            <w:tcW w:type="dxa" w:w="3120"/>
            <w:vAlign w:val="center"/>
          </w:tcPr>
          <w:p>
            <w:r/>
            <w:r>
              <w:rPr>
                <w:rFonts w:ascii="Times New Roman" w:hAnsi="Times New Roman"/>
                <w:b w:val="0"/>
                <w:sz w:val="20"/>
              </w:rPr>
              <w:t>Días 61–90</w:t>
            </w:r>
          </w:p>
        </w:tc>
        <w:tc>
          <w:tcPr>
            <w:tcW w:type="dxa" w:w="3120"/>
            <w:vAlign w:val="center"/>
          </w:tcPr>
          <w:p>
            <w:r/>
            <w:r>
              <w:rPr>
                <w:rFonts w:ascii="Times New Roman" w:hAnsi="Times New Roman"/>
                <w:b w:val="0"/>
                <w:sz w:val="20"/>
              </w:rPr>
              <w:t>Probar funciones premium y diferentes precios.</w:t>
            </w:r>
          </w:p>
        </w:tc>
        <w:tc>
          <w:tcPr>
            <w:tcW w:type="dxa" w:w="3120"/>
            <w:vAlign w:val="center"/>
          </w:tcPr>
          <w:p>
            <w:r/>
            <w:r>
              <w:rPr>
                <w:rFonts w:ascii="Times New Roman" w:hAnsi="Times New Roman"/>
                <w:b w:val="0"/>
                <w:sz w:val="20"/>
              </w:rPr>
              <w:t>Conversión a pago, permanencia y disposición a pagar.</w:t>
            </w:r>
          </w:p>
        </w:tc>
      </w:tr>
    </w:tbl>
    <w:p>
      <w:r>
        <w:t>Los indicadores anteriores son metas de validación y no resultados obtenidos. La prioridad del piloto debe ser comprobar si existe suficiente actividad entre oferta y demanda para que la plataforma genere valor.</w:t>
      </w:r>
    </w:p>
    <w:p>
      <w:pPr>
        <w:pStyle w:val="Heading2"/>
      </w:pPr>
      <w:r>
        <w:t>10.2 Recomendaciones estratégicas</w:t>
      </w:r>
    </w:p>
    <w:p>
      <w:pPr>
        <w:pStyle w:val="ListBullet"/>
        <w:ind w:firstLine="0"/>
      </w:pPr>
      <w:r>
        <w:t>Comenzar en un segmento concreto de emprendedores de Popayán en lugar de intentar cubrir todo el mercado.</w:t>
      </w:r>
    </w:p>
    <w:p>
      <w:pPr>
        <w:pStyle w:val="ListBullet"/>
        <w:ind w:firstLine="0"/>
      </w:pPr>
      <w:r>
        <w:t>Priorizar una experiencia móvil sencilla, con publicación rápida y búsqueda clara.</w:t>
      </w:r>
    </w:p>
    <w:p>
      <w:pPr>
        <w:pStyle w:val="ListBullet"/>
        <w:ind w:firstLine="0"/>
      </w:pPr>
      <w:r>
        <w:t>Validar primero la frecuencia real de intercambios antes de invertir en funciones avanzadas.</w:t>
      </w:r>
    </w:p>
    <w:p>
      <w:pPr>
        <w:pStyle w:val="ListBullet"/>
        <w:ind w:firstLine="0"/>
      </w:pPr>
      <w:r>
        <w:t>No fijar el precio definitivo sin realizar una prueba de disposición a pagar.</w:t>
      </w:r>
    </w:p>
    <w:p>
      <w:pPr>
        <w:pStyle w:val="ListBullet"/>
        <w:ind w:firstLine="0"/>
      </w:pPr>
      <w:r>
        <w:t>Construir reglas claras de publicación, reputación, contacto y manejo de conflictos.</w:t>
      </w:r>
    </w:p>
    <w:p>
      <w:pPr>
        <w:pStyle w:val="ListBullet"/>
        <w:ind w:firstLine="0"/>
      </w:pPr>
      <w:r>
        <w:t>Buscar alianzas con organizaciones de emprendedores, ferias y programas de transformación digital.</w:t>
      </w:r>
    </w:p>
    <w:p>
      <w:pPr>
        <w:pStyle w:val="ListBullet"/>
        <w:ind w:firstLine="0"/>
      </w:pPr>
      <w:r>
        <w:t>Medir el costo de adquisición de usuarios y la actividad por usuario antes de escalar.</w:t>
      </w:r>
    </w:p>
    <w:p>
      <w:pPr>
        <w:pStyle w:val="Heading1"/>
      </w:pPr>
      <w:r>
        <w:t>11. Conclusiones</w:t>
      </w:r>
    </w:p>
    <w:p>
      <w:r>
        <w:t>La investigación permite identificar una oportunidad de mercado para estudiar una plataforma como Mercado Fluido, pero no permite afirmar todavía que el negocio sea comercialmente viable. La oportunidad se sustenta en tres condiciones observables: la existencia de un número importante de micronegocios, el avance del uso de internet y la expansión del comercio electrónico.</w:t>
      </w:r>
    </w:p>
    <w:p>
      <w:r>
        <w:t>El dato más relevante para la propuesta es la diferencia entre comunicación digital y comercio electrónico estructurado. DANE reporta un uso muy alto de mensajería entre los micronegocios que utilizan internet, mientras que una proporción mucho menor reporta ventas mediante plataformas electrónicas. Esto sugiere un espacio que puede investigarse, especialmente si la solución es sencilla y está dirigida a las necesidades de pequeños negocios.</w:t>
      </w:r>
    </w:p>
    <w:p>
      <w:r>
        <w:t>También se identificó que el trueque digital no es una idea completamente nueva. Existen antecedentes como Dondo y Me Sirve, por lo que la ventaja de Mercado Fluido no debe ser simplemente permitir intercambios. La diferenciación propuesta está en concentrarse en micronegocios de un mercado local y combinar intercambio con venta.</w:t>
      </w:r>
    </w:p>
    <w:p>
      <w:r>
        <w:t>Finalmente, el proyecto debe pasar de la hipótesis a la validación. El siguiente paso recomendado es realizar un piloto en Popayán, medir publicaciones, coincidencias, operaciones, retención y disposición a pagar y, con esos resultados, ajustar el modelo comercial y financiero.</w:t>
      </w:r>
    </w:p>
    <w:p>
      <w:pPr>
        <w:pStyle w:val="Heading1"/>
      </w:pPr>
      <w:r>
        <w:t>Referencias</w:t>
      </w:r>
    </w:p>
    <w:p>
      <w:pPr>
        <w:spacing w:line="480" w:lineRule="auto"/>
        <w:ind w:left="720" w:hanging="720"/>
      </w:pPr>
      <w:r>
        <w:t>Cámara Colombiana de Comercio Electrónico. (2026). Informe de cierre eCommerce 2025. https://ccce.org.co/noticias/informe-de-cierre-ecommerce-2025-version-publica/</w:t>
      </w:r>
    </w:p>
    <w:p>
      <w:pPr>
        <w:spacing w:line="480" w:lineRule="auto"/>
        <w:ind w:left="720" w:hanging="720"/>
      </w:pPr>
      <w:r>
        <w:t>DANE. (2026). Encuesta de Micronegocios (EMICRON) 2025. https://www.dane.gov.co/index.php/estadisticas-por-tema/mercado-laboral/micronegocios</w:t>
      </w:r>
    </w:p>
    <w:p>
      <w:pPr>
        <w:spacing w:line="480" w:lineRule="auto"/>
        <w:ind w:left="720" w:hanging="720"/>
      </w:pPr>
      <w:r>
        <w:t>DANE. (2026). Encuesta de Micronegocios – EMICRON 2025: microdatos y documentación. https://microdatos.dane.gov.co/index.php/catalog/914/</w:t>
      </w:r>
    </w:p>
    <w:p>
      <w:pPr>
        <w:spacing w:line="480" w:lineRule="auto"/>
        <w:ind w:left="720" w:hanging="720"/>
      </w:pPr>
      <w:r>
        <w:t>DANE. (2026). EMICRON 2025, variable P2524: acceso o uso de internet. https://microdatos.dane.gov.co/index.php/catalog/914/variable/F8/V118?name=P2524</w:t>
      </w:r>
    </w:p>
    <w:p>
      <w:pPr>
        <w:spacing w:line="480" w:lineRule="auto"/>
        <w:ind w:left="720" w:hanging="720"/>
      </w:pPr>
      <w:r>
        <w:t>DANE. (2026). EMICRON 2025, variable P1006_13: mensajería instantánea o chat. https://microdatos.dane.gov.co/index.php/catalog/914/variable/F8/V135?name=P1006_13</w:t>
      </w:r>
    </w:p>
    <w:p>
      <w:pPr>
        <w:spacing w:line="480" w:lineRule="auto"/>
        <w:ind w:left="720" w:hanging="720"/>
      </w:pPr>
      <w:r>
        <w:t>DANE. (2026). EMICRON 2025, variable P1559: presencia en redes sociales. https://microdatos.dane.gov.co/index.php/catalog/914/variable/F8/V117?name=P1559</w:t>
      </w:r>
    </w:p>
    <w:p>
      <w:pPr>
        <w:spacing w:line="480" w:lineRule="auto"/>
        <w:ind w:left="720" w:hanging="720"/>
      </w:pPr>
      <w:r>
        <w:t>DANE. (2026). EMICRON 2025, variable P1006_7: ventas mediante plataforma electrónica. https://microdatos.dane.gov.co/index.php/catalog/914/variable/F8/V129?name=P1006_7</w:t>
      </w:r>
    </w:p>
    <w:p>
      <w:pPr>
        <w:spacing w:line="480" w:lineRule="auto"/>
        <w:ind w:left="720" w:hanging="720"/>
      </w:pPr>
      <w:r>
        <w:t>La República. (2021, 20 de febrero). La aplicación de trueque digital Dondo ya tiene más de 140.000 usuarios activos. https://www.larepublica.co/internet-economy/la-aplicacion-de-trueque-digital-dondo-ya-tiene-mas-de-140-000-usuarios-activos-3128382</w:t>
      </w:r>
    </w:p>
    <w:p>
      <w:pPr>
        <w:spacing w:line="480" w:lineRule="auto"/>
        <w:ind w:left="720" w:hanging="720"/>
      </w:pPr>
      <w:r>
        <w:t>Me Sirve. (2022). Me Sirve [Aplicación móvil]. Google Play. https://play.google.com/store/apps/details?id=com.nosmk.mesirve</w:t>
      </w:r>
    </w:p>
    <w:p>
      <w:pPr>
        <w:spacing w:line="480" w:lineRule="auto"/>
        <w:ind w:left="720" w:hanging="720"/>
      </w:pPr>
      <w:r>
        <w:t>Ministerio de Tecnologías de la Información y las Comunicaciones. (2026). Tu Negocio en Línea impulsa a 9.503 emprendedores hacia el comercio electrónico en 859 municipios. https://mintic.gov.co/portal/inicio/Sala-de-prensa/Noticias/439455:Tu-Negocio-en-Linea-impulsa-a-9-503-emprendedores-hacia-el-comercio-electronico-en-859-municipios</w:t>
      </w:r>
    </w:p>
    <w:p>
      <w:pPr>
        <w:pStyle w:val="Heading1"/>
      </w:pPr>
      <w:r>
        <w:t>Anexos</w:t>
      </w:r>
    </w:p>
    <w:p>
      <w:pPr>
        <w:pStyle w:val="Heading2"/>
      </w:pPr>
      <w:r>
        <w:t>Anexo 1. Instrumento propuesto para la validación primaria</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
              <w:rPr>
                <w:rFonts w:ascii="Times New Roman" w:hAnsi="Times New Roman"/>
                <w:b/>
                <w:sz w:val="20"/>
              </w:rPr>
              <w:t>Variable</w:t>
            </w:r>
          </w:p>
        </w:tc>
        <w:tc>
          <w:tcPr>
            <w:tcW w:type="dxa" w:w="4680"/>
            <w:shd w:fill="D9EAF7"/>
            <w:vAlign w:val="center"/>
          </w:tcPr>
          <w:p>
            <w:r/>
            <w:r>
              <w:rPr>
                <w:rFonts w:ascii="Times New Roman" w:hAnsi="Times New Roman"/>
                <w:b/>
                <w:sz w:val="20"/>
              </w:rPr>
              <w:t>Pregunta propuesta</w:t>
            </w:r>
          </w:p>
        </w:tc>
      </w:tr>
      <w:tr>
        <w:tc>
          <w:tcPr>
            <w:tcW w:type="dxa" w:w="4680"/>
            <w:vAlign w:val="center"/>
          </w:tcPr>
          <w:p>
            <w:r/>
            <w:r>
              <w:rPr>
                <w:rFonts w:ascii="Times New Roman" w:hAnsi="Times New Roman"/>
                <w:b w:val="0"/>
                <w:sz w:val="20"/>
              </w:rPr>
              <w:t>Perfil</w:t>
            </w:r>
          </w:p>
        </w:tc>
        <w:tc>
          <w:tcPr>
            <w:tcW w:type="dxa" w:w="4680"/>
            <w:vAlign w:val="center"/>
          </w:tcPr>
          <w:p>
            <w:r/>
            <w:r>
              <w:rPr>
                <w:rFonts w:ascii="Times New Roman" w:hAnsi="Times New Roman"/>
                <w:b w:val="0"/>
                <w:sz w:val="20"/>
              </w:rPr>
              <w:t>¿Cuál es la actividad principal de su negocio?</w:t>
            </w:r>
          </w:p>
        </w:tc>
      </w:tr>
      <w:tr>
        <w:tc>
          <w:tcPr>
            <w:tcW w:type="dxa" w:w="4680"/>
            <w:vAlign w:val="center"/>
          </w:tcPr>
          <w:p>
            <w:r/>
            <w:r>
              <w:rPr>
                <w:rFonts w:ascii="Times New Roman" w:hAnsi="Times New Roman"/>
                <w:b w:val="0"/>
                <w:sz w:val="20"/>
              </w:rPr>
              <w:t>Digitalización</w:t>
            </w:r>
          </w:p>
        </w:tc>
        <w:tc>
          <w:tcPr>
            <w:tcW w:type="dxa" w:w="4680"/>
            <w:vAlign w:val="center"/>
          </w:tcPr>
          <w:p>
            <w:r/>
            <w:r>
              <w:rPr>
                <w:rFonts w:ascii="Times New Roman" w:hAnsi="Times New Roman"/>
                <w:b w:val="0"/>
                <w:sz w:val="20"/>
              </w:rPr>
              <w:t>¿Qué canales digitales utiliza actualmente para promocionar o vender?</w:t>
            </w:r>
          </w:p>
        </w:tc>
      </w:tr>
      <w:tr>
        <w:tc>
          <w:tcPr>
            <w:tcW w:type="dxa" w:w="4680"/>
            <w:vAlign w:val="center"/>
          </w:tcPr>
          <w:p>
            <w:r/>
            <w:r>
              <w:rPr>
                <w:rFonts w:ascii="Times New Roman" w:hAnsi="Times New Roman"/>
                <w:b w:val="0"/>
                <w:sz w:val="20"/>
              </w:rPr>
              <w:t>Comercialización</w:t>
            </w:r>
          </w:p>
        </w:tc>
        <w:tc>
          <w:tcPr>
            <w:tcW w:type="dxa" w:w="4680"/>
            <w:vAlign w:val="center"/>
          </w:tcPr>
          <w:p>
            <w:r/>
            <w:r>
              <w:rPr>
                <w:rFonts w:ascii="Times New Roman" w:hAnsi="Times New Roman"/>
                <w:b w:val="0"/>
                <w:sz w:val="20"/>
              </w:rPr>
              <w:t>¿Con qué frecuencia realiza ventas por medios digitales?</w:t>
            </w:r>
          </w:p>
        </w:tc>
      </w:tr>
      <w:tr>
        <w:tc>
          <w:tcPr>
            <w:tcW w:type="dxa" w:w="4680"/>
            <w:vAlign w:val="center"/>
          </w:tcPr>
          <w:p>
            <w:r/>
            <w:r>
              <w:rPr>
                <w:rFonts w:ascii="Times New Roman" w:hAnsi="Times New Roman"/>
                <w:b w:val="0"/>
                <w:sz w:val="20"/>
              </w:rPr>
              <w:t>Intercambio</w:t>
            </w:r>
          </w:p>
        </w:tc>
        <w:tc>
          <w:tcPr>
            <w:tcW w:type="dxa" w:w="4680"/>
            <w:vAlign w:val="center"/>
          </w:tcPr>
          <w:p>
            <w:r/>
            <w:r>
              <w:rPr>
                <w:rFonts w:ascii="Times New Roman" w:hAnsi="Times New Roman"/>
                <w:b w:val="0"/>
                <w:sz w:val="20"/>
              </w:rPr>
              <w:t>¿Ha realizado alguna vez un intercambio de bienes o servicios como parte de su actividad?</w:t>
            </w:r>
          </w:p>
        </w:tc>
      </w:tr>
      <w:tr>
        <w:tc>
          <w:tcPr>
            <w:tcW w:type="dxa" w:w="4680"/>
            <w:vAlign w:val="center"/>
          </w:tcPr>
          <w:p>
            <w:r/>
            <w:r>
              <w:rPr>
                <w:rFonts w:ascii="Times New Roman" w:hAnsi="Times New Roman"/>
                <w:b w:val="0"/>
                <w:sz w:val="20"/>
              </w:rPr>
              <w:t>Necesidad</w:t>
            </w:r>
          </w:p>
        </w:tc>
        <w:tc>
          <w:tcPr>
            <w:tcW w:type="dxa" w:w="4680"/>
            <w:vAlign w:val="center"/>
          </w:tcPr>
          <w:p>
            <w:r/>
            <w:r>
              <w:rPr>
                <w:rFonts w:ascii="Times New Roman" w:hAnsi="Times New Roman"/>
                <w:b w:val="0"/>
                <w:sz w:val="20"/>
              </w:rPr>
              <w:t>¿Qué tipo de producto, insumo o servicio estaría dispuesto a obtener mediante intercambio?</w:t>
            </w:r>
          </w:p>
        </w:tc>
      </w:tr>
      <w:tr>
        <w:tc>
          <w:tcPr>
            <w:tcW w:type="dxa" w:w="4680"/>
            <w:vAlign w:val="center"/>
          </w:tcPr>
          <w:p>
            <w:r/>
            <w:r>
              <w:rPr>
                <w:rFonts w:ascii="Times New Roman" w:hAnsi="Times New Roman"/>
                <w:b w:val="0"/>
                <w:sz w:val="20"/>
              </w:rPr>
              <w:t>Precio</w:t>
            </w:r>
          </w:p>
        </w:tc>
        <w:tc>
          <w:tcPr>
            <w:tcW w:type="dxa" w:w="4680"/>
            <w:vAlign w:val="center"/>
          </w:tcPr>
          <w:p>
            <w:r/>
            <w:r>
              <w:rPr>
                <w:rFonts w:ascii="Times New Roman" w:hAnsi="Times New Roman"/>
                <w:b w:val="0"/>
                <w:sz w:val="20"/>
              </w:rPr>
              <w:t>¿Cuál de estas opciones pagaría por funciones premium de una plataforma de este tipo?</w:t>
            </w:r>
          </w:p>
        </w:tc>
      </w:tr>
      <w:tr>
        <w:tc>
          <w:tcPr>
            <w:tcW w:type="dxa" w:w="4680"/>
            <w:vAlign w:val="center"/>
          </w:tcPr>
          <w:p>
            <w:r/>
            <w:r>
              <w:rPr>
                <w:rFonts w:ascii="Times New Roman" w:hAnsi="Times New Roman"/>
                <w:b w:val="0"/>
                <w:sz w:val="20"/>
              </w:rPr>
              <w:t>Validación</w:t>
            </w:r>
          </w:p>
        </w:tc>
        <w:tc>
          <w:tcPr>
            <w:tcW w:type="dxa" w:w="4680"/>
            <w:vAlign w:val="center"/>
          </w:tcPr>
          <w:p>
            <w:r/>
            <w:r>
              <w:rPr>
                <w:rFonts w:ascii="Times New Roman" w:hAnsi="Times New Roman"/>
                <w:b w:val="0"/>
                <w:sz w:val="20"/>
              </w:rPr>
              <w:t>¿Participaría en un piloto de 90 días?</w:t>
            </w:r>
          </w:p>
        </w:tc>
      </w:tr>
    </w:tbl>
    <w:p>
      <w:r>
        <w:t>Nota: este instrumento se propone para una fase posterior y no constituye evidencia primaria utilizada en los resultados de esta versión.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