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0679" w:rsidRPr="00BA375C" w:rsidTr="003A0679"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</w:t>
            </w:r>
          </w:p>
        </w:tc>
        <w:tc>
          <w:tcPr>
            <w:tcW w:w="4675" w:type="dxa"/>
          </w:tcPr>
          <w:p w:rsidR="003A0679" w:rsidRPr="00BA375C" w:rsidRDefault="003A0679" w:rsidP="00BA375C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BA375C">
              <w:rPr>
                <w:color w:val="000000"/>
                <w:sz w:val="26"/>
                <w:szCs w:val="26"/>
              </w:rPr>
              <w:t>CS504070 - Service-Oriented Architecture</w:t>
            </w:r>
          </w:p>
          <w:p w:rsidR="003A0679" w:rsidRPr="00BA375C" w:rsidRDefault="003A0679" w:rsidP="00BA375C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BA375C">
              <w:rPr>
                <w:color w:val="000000"/>
                <w:sz w:val="26"/>
                <w:szCs w:val="26"/>
              </w:rPr>
              <w:t>(HK2/2023-2024</w:t>
            </w:r>
          </w:p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A0679" w:rsidRPr="00BA375C" w:rsidTr="003A0679"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A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Fullname</w:t>
            </w:r>
            <w:proofErr w:type="spellEnd"/>
          </w:p>
        </w:tc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375C">
              <w:rPr>
                <w:rFonts w:ascii="Times New Roman" w:hAnsi="Times New Roman" w:cs="Times New Roman"/>
                <w:sz w:val="26"/>
                <w:szCs w:val="26"/>
              </w:rPr>
              <w:t>Lê Hữu Lợi</w:t>
            </w:r>
          </w:p>
        </w:tc>
      </w:tr>
      <w:tr w:rsidR="003A0679" w:rsidRPr="00BA375C" w:rsidTr="003A0679"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A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StudentID</w:t>
            </w:r>
            <w:proofErr w:type="spellEnd"/>
          </w:p>
        </w:tc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375C">
              <w:rPr>
                <w:rFonts w:ascii="Times New Roman" w:hAnsi="Times New Roman" w:cs="Times New Roman"/>
                <w:sz w:val="26"/>
                <w:szCs w:val="26"/>
              </w:rPr>
              <w:t>52100819</w:t>
            </w:r>
          </w:p>
        </w:tc>
      </w:tr>
      <w:tr w:rsidR="003A0679" w:rsidRPr="00BA375C" w:rsidTr="003A0679"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37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Homework</w:t>
            </w:r>
          </w:p>
        </w:tc>
        <w:tc>
          <w:tcPr>
            <w:tcW w:w="4675" w:type="dxa"/>
          </w:tcPr>
          <w:p w:rsidR="003A0679" w:rsidRPr="00BA375C" w:rsidRDefault="003A0679" w:rsidP="00BA375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375C">
              <w:rPr>
                <w:rFonts w:ascii="Times New Roman" w:hAnsi="Times New Roman" w:cs="Times New Roman"/>
                <w:sz w:val="26"/>
                <w:szCs w:val="26"/>
              </w:rPr>
              <w:t>HW1</w:t>
            </w:r>
          </w:p>
        </w:tc>
      </w:tr>
    </w:tbl>
    <w:p w:rsidR="003A0679" w:rsidRPr="00BA375C" w:rsidRDefault="003A0679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375C">
        <w:rPr>
          <w:rFonts w:ascii="Times New Roman" w:hAnsi="Times New Roman" w:cs="Times New Roman"/>
          <w:b/>
          <w:bCs/>
          <w:sz w:val="26"/>
          <w:szCs w:val="26"/>
        </w:rPr>
        <w:t>a. Domain-Driven Design (DDD)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375C">
        <w:rPr>
          <w:rFonts w:ascii="Times New Roman" w:hAnsi="Times New Roman" w:cs="Times New Roman"/>
          <w:sz w:val="26"/>
          <w:szCs w:val="26"/>
        </w:rPr>
        <w:t xml:space="preserve">Domain-Driven Design (DDD)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DDD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b. Các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DDD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375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DDD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: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(Domain):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(Domain Model):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(DSL</w:t>
      </w:r>
      <w:proofErr w:type="gramStart"/>
      <w:r w:rsidRPr="00BA375C">
        <w:rPr>
          <w:rFonts w:ascii="Times New Roman" w:hAnsi="Times New Roman" w:cs="Times New Roman"/>
          <w:sz w:val="26"/>
          <w:szCs w:val="26"/>
        </w:rPr>
        <w:t>):*</w:t>
      </w:r>
      <w:proofErr w:type="gramEnd"/>
      <w:r w:rsidRPr="00BA375C">
        <w:rPr>
          <w:rFonts w:ascii="Times New Roman" w:hAnsi="Times New Roman" w:cs="Times New Roman"/>
          <w:sz w:val="26"/>
          <w:szCs w:val="26"/>
        </w:rPr>
        <w:t xml:space="preserve">* DSL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DSL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(Domain-Driven Design</w:t>
      </w:r>
      <w:proofErr w:type="gramStart"/>
      <w:r w:rsidRPr="00BA375C">
        <w:rPr>
          <w:rFonts w:ascii="Times New Roman" w:hAnsi="Times New Roman" w:cs="Times New Roman"/>
          <w:sz w:val="26"/>
          <w:szCs w:val="26"/>
        </w:rPr>
        <w:t>):*</w:t>
      </w:r>
      <w:proofErr w:type="gramEnd"/>
      <w:r w:rsidRPr="00BA375C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375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c.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DDD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DDD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v.v. Các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v.v. Các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, v.v.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375C">
        <w:rPr>
          <w:rFonts w:ascii="Times New Roman" w:hAnsi="Times New Roman" w:cs="Times New Roman"/>
          <w:sz w:val="26"/>
          <w:szCs w:val="26"/>
        </w:rPr>
        <w:t xml:space="preserve">DSL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", v.v.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375C">
        <w:rPr>
          <w:rFonts w:ascii="Times New Roman" w:hAnsi="Times New Roman" w:cs="Times New Roman"/>
          <w:sz w:val="26"/>
          <w:szCs w:val="26"/>
        </w:rPr>
        <w:t xml:space="preserve">DDD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A375C">
        <w:rPr>
          <w:rFonts w:ascii="Times New Roman" w:hAnsi="Times New Roman" w:cs="Times New Roman"/>
          <w:sz w:val="26"/>
          <w:szCs w:val="26"/>
        </w:rPr>
        <w:t>.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Coupling </w:t>
      </w: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Cohesion</w:t>
      </w:r>
    </w:p>
    <w:p w:rsidR="00BA45A7" w:rsidRPr="00BA375C" w:rsidRDefault="00BA45A7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375C">
        <w:rPr>
          <w:rFonts w:ascii="Times New Roman" w:hAnsi="Times New Roman" w:cs="Times New Roman"/>
          <w:b/>
          <w:bCs/>
          <w:sz w:val="26"/>
          <w:szCs w:val="26"/>
        </w:rPr>
        <w:t>Coupling</w:t>
      </w:r>
    </w:p>
    <w:p w:rsidR="00BA45A7" w:rsidRPr="00BA375C" w:rsidRDefault="00BA45A7" w:rsidP="00BA375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Coupling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Coupling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cao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Coupling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ít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Cohesion</w:t>
      </w:r>
    </w:p>
    <w:p w:rsidR="00BA45A7" w:rsidRPr="00BA375C" w:rsidRDefault="00BA45A7" w:rsidP="00BA37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Cohesion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Cohesion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cao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chặt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Cohesion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lỏng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lẻo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coupling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cohesion</w:t>
      </w:r>
    </w:p>
    <w:p w:rsidR="00BA45A7" w:rsidRPr="00BA375C" w:rsidRDefault="00BA45A7" w:rsidP="00BA375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Coupling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cohesion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mức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giữa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mô-đun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BA45A7" w:rsidP="00BA375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Coupling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cao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dẫn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trì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cohesion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cao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dẫn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dễ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trì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45A7" w:rsidRPr="00BA375C" w:rsidRDefault="00132998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:rsidR="00132998" w:rsidRPr="00BA375C" w:rsidRDefault="00132998" w:rsidP="00BA37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(Service):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Mỗi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microservice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đại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diện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cụ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như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quản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lý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đăng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nhập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xử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lý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thanh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toán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gửi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email.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Mỗi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triển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khai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hoạt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động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độc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lập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với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khác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Cơ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sở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dữ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liệu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(Database):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Mỗi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microservice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cơ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sở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dữ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liệu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riêng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để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lưu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trữ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dữ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liệu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đến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chức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năng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nó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.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cơ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sở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dữ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liệu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riêng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biệt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giúp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tách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biệt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dữ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liệu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đảm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bảo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tính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riêng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tư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mỗi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Giao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tiếp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cân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nhắc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(Communication and Coordination): Các microservices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cần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giao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tiếlịnh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tương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tác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với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để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hoạt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động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như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.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này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thường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thực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hiện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thông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qua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giao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thức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chuẩn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như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RESTful API,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giao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thức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message queue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giao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thức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gRPC</w:t>
      </w:r>
      <w:proofErr w:type="spellEnd"/>
      <w:r w:rsidRPr="00BA375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Thành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cuối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:rsidR="00132998" w:rsidRPr="00BA375C" w:rsidRDefault="00132998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Thành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cuối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tiêu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Tuy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tố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xét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:rsidR="00132998" w:rsidRPr="00BA375C" w:rsidRDefault="00132998" w:rsidP="00BA37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Độ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phức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tạp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phức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thì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việc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Khả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lớn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thì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API gateway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dịch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vụ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gram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An</w:t>
      </w:r>
      <w:proofErr w:type="gram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ninh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nhạy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cảm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thì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cổng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API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Nói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chung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tôi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nói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cuối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do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chịu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trách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nhiệm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vòng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microservices.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rất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microservices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cậy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Đối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với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cuối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đang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thương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mại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điện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tử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microservices. </w:t>
      </w:r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</w:t>
      </w:r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thành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vì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nó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</w:t>
      </w:r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</w:t>
      </w:r>
      <w:proofErr w:type="spellEnd"/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vòng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đời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giao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tiếp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microservice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giúp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BA375C"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em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xây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rộng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cậy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xử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lượng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lớn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132998" w:rsidRPr="00BA375C" w:rsidRDefault="00132998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690AC1" w:rsidRPr="00BA375C" w:rsidRDefault="00690AC1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375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</w:p>
    <w:p w:rsidR="00690AC1" w:rsidRPr="00BA375C" w:rsidRDefault="00690AC1" w:rsidP="00BA375C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6"/>
          <w:szCs w:val="26"/>
        </w:rPr>
      </w:pPr>
      <w:r w:rsidRPr="00BA375C">
        <w:rPr>
          <w:rFonts w:ascii="Times New Roman" w:hAnsi="Times New Roman" w:cs="Times New Roman"/>
          <w:b/>
          <w:bCs/>
          <w:sz w:val="26"/>
          <w:szCs w:val="26"/>
        </w:rPr>
        <w:t xml:space="preserve">Link- git: </w:t>
      </w:r>
      <w:hyperlink r:id="rId5" w:history="1">
        <w:r w:rsidRPr="00BA375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https://github.com/lejame/kientrucdichvu_52100819.git</w:t>
        </w:r>
      </w:hyperlink>
    </w:p>
    <w:p w:rsidR="00BA375C" w:rsidRPr="00BA375C" w:rsidRDefault="00BA375C" w:rsidP="00BA37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Apache 2.0</w:t>
      </w:r>
    </w:p>
    <w:p w:rsidR="00BA375C" w:rsidRPr="00BA375C" w:rsidRDefault="00BA375C" w:rsidP="00BA375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Cho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bất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xin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Cấp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góp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giới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miễn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Công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cộng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GNU v3.0 (GPL-3.0)</w:t>
      </w:r>
    </w:p>
    <w:p w:rsidR="00BA375C" w:rsidRPr="00BA375C" w:rsidRDefault="00BA375C" w:rsidP="00BA375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copyleft: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bao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mọi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góp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giới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miễn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MIT</w:t>
      </w:r>
    </w:p>
    <w:p w:rsidR="00BA375C" w:rsidRPr="00BA375C" w:rsidRDefault="00BA375C" w:rsidP="00BA375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Cho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bất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xin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Công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cộng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Mozilla 2.0 (MPL-2.0)</w:t>
      </w:r>
    </w:p>
    <w:p w:rsidR="00BA375C" w:rsidRPr="00BA375C" w:rsidRDefault="00BA375C" w:rsidP="00BA375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copyleft: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bao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mọi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Cấp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góp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án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giới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miễn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3.0 (OSL-3.0)</w:t>
      </w:r>
    </w:p>
    <w:p w:rsidR="00BA375C" w:rsidRPr="00BA375C" w:rsidRDefault="00BA375C" w:rsidP="00BA375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Cho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bất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nào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đổi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hoặc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xin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quyền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giấy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phải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bao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gồm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tất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cả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bản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sao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cấp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bằng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sáng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chế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.</w:t>
      </w:r>
    </w:p>
    <w:p w:rsidR="00BA375C" w:rsidRPr="00BA375C" w:rsidRDefault="00BA375C" w:rsidP="00BA375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so </w:t>
      </w:r>
      <w:proofErr w:type="spellStart"/>
      <w:r w:rsidRPr="00BA375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sánh</w:t>
      </w:r>
      <w:proofErr w:type="spellEnd"/>
    </w:p>
    <w:p w:rsidR="00BA375C" w:rsidRPr="00BA375C" w:rsidRDefault="00BA375C" w:rsidP="00BA375C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10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022"/>
        <w:gridCol w:w="1821"/>
        <w:gridCol w:w="1461"/>
        <w:gridCol w:w="1821"/>
        <w:gridCol w:w="1663"/>
      </w:tblGrid>
      <w:tr w:rsidR="00BA375C" w:rsidRPr="00BA375C" w:rsidTr="00BA375C">
        <w:trPr>
          <w:trHeight w:val="85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Apache 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Công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cộng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GNU v3.0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Công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cộng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Mozilla 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3.0</w:t>
            </w:r>
          </w:p>
        </w:tc>
      </w:tr>
      <w:tr w:rsidR="00BA375C" w:rsidRPr="00BA375C" w:rsidTr="00BA375C">
        <w:trPr>
          <w:trHeight w:val="5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Permissive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Copyleft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Permissive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Copyleft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Permissive</w:t>
            </w:r>
          </w:p>
        </w:tc>
      </w:tr>
      <w:tr w:rsidR="00BA375C" w:rsidRPr="00BA375C" w:rsidTr="00BA375C">
        <w:trPr>
          <w:trHeight w:val="11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Thông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</w:p>
        </w:tc>
      </w:tr>
      <w:tr w:rsidR="00BA375C" w:rsidRPr="00BA375C" w:rsidTr="00BA375C">
        <w:trPr>
          <w:trHeight w:val="11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Cấp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bằng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sáng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thế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thế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thế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miễn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ai</w:t>
            </w:r>
          </w:p>
        </w:tc>
      </w:tr>
      <w:tr w:rsidR="00BA375C" w:rsidRPr="00BA375C" w:rsidTr="00BA375C">
        <w:trPr>
          <w:trHeight w:val="2044"/>
        </w:trPr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Các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phiên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phối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một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giấy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375C" w:rsidRPr="00BA375C" w:rsidRDefault="00BA375C" w:rsidP="00BA375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A37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</w:p>
        </w:tc>
      </w:tr>
    </w:tbl>
    <w:p w:rsidR="00BA375C" w:rsidRPr="00BA375C" w:rsidRDefault="00BA375C" w:rsidP="00BA375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A375C" w:rsidRPr="00BA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AD8"/>
    <w:multiLevelType w:val="multilevel"/>
    <w:tmpl w:val="57AE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B98"/>
    <w:multiLevelType w:val="multilevel"/>
    <w:tmpl w:val="A6C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773C8"/>
    <w:multiLevelType w:val="multilevel"/>
    <w:tmpl w:val="431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B3E49"/>
    <w:multiLevelType w:val="multilevel"/>
    <w:tmpl w:val="93E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2796C"/>
    <w:multiLevelType w:val="multilevel"/>
    <w:tmpl w:val="CFB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219FB"/>
    <w:multiLevelType w:val="multilevel"/>
    <w:tmpl w:val="BF1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91F69"/>
    <w:multiLevelType w:val="multilevel"/>
    <w:tmpl w:val="7D2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5F1F"/>
    <w:multiLevelType w:val="multilevel"/>
    <w:tmpl w:val="C76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E5F76"/>
    <w:multiLevelType w:val="multilevel"/>
    <w:tmpl w:val="E27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2DFD"/>
    <w:multiLevelType w:val="multilevel"/>
    <w:tmpl w:val="EAF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436743">
    <w:abstractNumId w:val="0"/>
  </w:num>
  <w:num w:numId="2" w16cid:durableId="616176976">
    <w:abstractNumId w:val="6"/>
  </w:num>
  <w:num w:numId="3" w16cid:durableId="1398286599">
    <w:abstractNumId w:val="9"/>
  </w:num>
  <w:num w:numId="4" w16cid:durableId="1852140094">
    <w:abstractNumId w:val="5"/>
  </w:num>
  <w:num w:numId="5" w16cid:durableId="428427352">
    <w:abstractNumId w:val="2"/>
  </w:num>
  <w:num w:numId="6" w16cid:durableId="1174077941">
    <w:abstractNumId w:val="8"/>
  </w:num>
  <w:num w:numId="7" w16cid:durableId="1949238698">
    <w:abstractNumId w:val="4"/>
  </w:num>
  <w:num w:numId="8" w16cid:durableId="2119138669">
    <w:abstractNumId w:val="7"/>
  </w:num>
  <w:num w:numId="9" w16cid:durableId="1461803007">
    <w:abstractNumId w:val="1"/>
  </w:num>
  <w:num w:numId="10" w16cid:durableId="82184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A7"/>
    <w:rsid w:val="00132998"/>
    <w:rsid w:val="003A0679"/>
    <w:rsid w:val="00690AC1"/>
    <w:rsid w:val="00BA375C"/>
    <w:rsid w:val="00B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45E"/>
  <w15:chartTrackingRefBased/>
  <w15:docId w15:val="{352B32E0-3E5F-4D2D-A1C1-46867137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45A7"/>
    <w:rPr>
      <w:b/>
      <w:bCs/>
    </w:rPr>
  </w:style>
  <w:style w:type="table" w:styleId="TableGrid">
    <w:name w:val="Table Grid"/>
    <w:basedOn w:val="TableNormal"/>
    <w:uiPriority w:val="39"/>
    <w:rsid w:val="003A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jame/kientrucdichvu_5210081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4</cp:revision>
  <dcterms:created xsi:type="dcterms:W3CDTF">2024-01-23T06:46:00Z</dcterms:created>
  <dcterms:modified xsi:type="dcterms:W3CDTF">2024-01-25T15:42:00Z</dcterms:modified>
</cp:coreProperties>
</file>