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0A8A" w:rsidRPr="005B0A8A" w:rsidRDefault="005B0A8A" w:rsidP="005B0A8A"/>
    <w:p w:rsidR="005B0A8A" w:rsidRDefault="005B0A8A" w:rsidP="005B0A8A"/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  <w:r w:rsidRPr="003C2229">
        <w:rPr>
          <w:b/>
          <w:bCs/>
          <w:color w:val="000000" w:themeColor="text1"/>
          <w:sz w:val="24"/>
          <w:szCs w:val="24"/>
        </w:rPr>
        <w:t>MANUAL TÉCNICO DEL SOFTWARE</w:t>
      </w:r>
    </w:p>
    <w:p w:rsidR="005B0A8A" w:rsidRPr="005B0A8A" w:rsidRDefault="005B0A8A" w:rsidP="005B0A8A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API REST de Notificaciones por Correo Electrónic</w:t>
      </w:r>
      <w:r>
        <w:rPr>
          <w:i/>
          <w:iCs/>
          <w:color w:val="555555"/>
          <w:sz w:val="22"/>
          <w:szCs w:val="22"/>
        </w:rPr>
        <w:t>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B0A8A" w:rsidRDefault="005B0A8A" w:rsidP="00A54F11">
            <w:r>
              <w:rPr>
                <w:b/>
                <w:bCs/>
                <w:color w:val="1A1A1A"/>
                <w:sz w:val="19"/>
                <w:szCs w:val="19"/>
              </w:rPr>
              <w:t>Versión del producto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B0A8A" w:rsidRDefault="005B0A8A" w:rsidP="00A54F11">
            <w:r>
              <w:rPr>
                <w:color w:val="000000"/>
                <w:sz w:val="19"/>
                <w:szCs w:val="19"/>
              </w:rPr>
              <w:t>0.5.3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B0A8A" w:rsidRDefault="005B0A8A" w:rsidP="00A54F11">
            <w:r>
              <w:rPr>
                <w:b/>
                <w:bCs/>
                <w:color w:val="1A1A1A"/>
                <w:sz w:val="19"/>
                <w:szCs w:val="19"/>
              </w:rPr>
              <w:t>Repositorio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B0A8A" w:rsidRDefault="005B0A8A" w:rsidP="00A54F11">
            <w:r>
              <w:rPr>
                <w:color w:val="000000"/>
                <w:sz w:val="19"/>
                <w:szCs w:val="19"/>
              </w:rPr>
              <w:t>https://github.com/lejoroja/notifications-api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B0A8A" w:rsidRDefault="005B0A8A" w:rsidP="00A54F11">
            <w:r>
              <w:rPr>
                <w:b/>
                <w:bCs/>
                <w:color w:val="1A1A1A"/>
                <w:sz w:val="19"/>
                <w:szCs w:val="19"/>
              </w:rPr>
              <w:t>Lenguaje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B0A8A" w:rsidRDefault="005B0A8A" w:rsidP="00A54F11">
            <w:r>
              <w:rPr>
                <w:color w:val="000000"/>
                <w:sz w:val="19"/>
                <w:szCs w:val="19"/>
              </w:rPr>
              <w:t>JavaScript (Node.js, ES modules)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B0A8A" w:rsidRDefault="005B0A8A" w:rsidP="00A54F11">
            <w:r>
              <w:rPr>
                <w:b/>
                <w:bCs/>
                <w:color w:val="1A1A1A"/>
                <w:sz w:val="19"/>
                <w:szCs w:val="19"/>
              </w:rPr>
              <w:t>Fecha de elaboración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B0A8A" w:rsidRDefault="005B0A8A" w:rsidP="00A54F11">
            <w:r>
              <w:rPr>
                <w:color w:val="000000"/>
                <w:sz w:val="19"/>
                <w:szCs w:val="19"/>
              </w:rPr>
              <w:t>28 de abril de 2026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B0A8A" w:rsidRDefault="005B0A8A" w:rsidP="00A54F11">
            <w:r>
              <w:rPr>
                <w:b/>
                <w:bCs/>
                <w:color w:val="1A1A1A"/>
                <w:sz w:val="19"/>
                <w:szCs w:val="19"/>
              </w:rPr>
              <w:t>Referencias normativas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B0A8A" w:rsidRDefault="005B0A8A" w:rsidP="00A54F11">
            <w:r>
              <w:rPr>
                <w:color w:val="000000"/>
                <w:sz w:val="19"/>
                <w:szCs w:val="19"/>
              </w:rPr>
              <w:t>IEEE Std 1016™ / ISO/IEC 12207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B0A8A" w:rsidRDefault="005B0A8A" w:rsidP="00A54F11">
            <w:r>
              <w:rPr>
                <w:b/>
                <w:bCs/>
                <w:color w:val="1A1A1A"/>
                <w:sz w:val="19"/>
                <w:szCs w:val="19"/>
              </w:rPr>
              <w:t>Versión del documento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B0A8A" w:rsidRDefault="005B0A8A" w:rsidP="00A54F11">
            <w:r>
              <w:rPr>
                <w:color w:val="000000"/>
                <w:sz w:val="19"/>
                <w:szCs w:val="19"/>
              </w:rPr>
              <w:t>1.1</w:t>
            </w:r>
          </w:p>
        </w:tc>
      </w:tr>
    </w:tbl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jc w:val="center"/>
      </w:pPr>
      <w:r>
        <w:rPr>
          <w:i/>
          <w:iCs/>
          <w:color w:val="666666"/>
          <w:sz w:val="18"/>
          <w:szCs w:val="18"/>
        </w:rPr>
        <w:t>Este manual describe la arquitectura, componentes, interfaces, datos y procedimientos de construcción y despliegue del sistema, en conformidad con los estándares IEEE 1016 e ISO/IEC 12207.</w:t>
      </w: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sdt>
      <w:sdtPr>
        <w:id w:val="85407830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0"/>
          <w:szCs w:val="20"/>
        </w:rPr>
      </w:sdtEndPr>
      <w:sdtContent>
        <w:p w:rsidR="005B0A8A" w:rsidRPr="005B0A8A" w:rsidRDefault="005B0A8A">
          <w:pPr>
            <w:pStyle w:val="TtuloTDC"/>
            <w:rPr>
              <w:color w:val="000000" w:themeColor="text1"/>
            </w:rPr>
          </w:pPr>
          <w:r w:rsidRPr="005B0A8A">
            <w:rPr>
              <w:color w:val="000000" w:themeColor="text1"/>
            </w:rPr>
            <w:t>Tabla de contenido</w:t>
          </w:r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8700439" w:history="1">
            <w:r w:rsidRPr="00F018E2">
              <w:rPr>
                <w:rStyle w:val="Hipervnculo"/>
                <w:rFonts w:ascii="Arial" w:hAnsi="Arial"/>
                <w:noProof/>
              </w:rPr>
              <w:t>Supuestos y Re</w:t>
            </w:r>
            <w:r w:rsidRPr="00F018E2">
              <w:rPr>
                <w:rStyle w:val="Hipervnculo"/>
                <w:rFonts w:ascii="Arial" w:hAnsi="Arial"/>
                <w:noProof/>
              </w:rPr>
              <w:t>s</w:t>
            </w:r>
            <w:r w:rsidRPr="00F018E2">
              <w:rPr>
                <w:rStyle w:val="Hipervnculo"/>
                <w:rFonts w:ascii="Arial" w:hAnsi="Arial"/>
                <w:noProof/>
              </w:rPr>
              <w:t>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40" w:history="1">
            <w:r w:rsidRPr="00F018E2">
              <w:rPr>
                <w:rStyle w:val="Hipervnculo"/>
                <w:rFonts w:ascii="Arial" w:hAnsi="Arial"/>
                <w:noProof/>
              </w:rPr>
              <w:t>3.1 Estilo arquite</w:t>
            </w:r>
            <w:r w:rsidRPr="00F018E2">
              <w:rPr>
                <w:rStyle w:val="Hipervnculo"/>
                <w:rFonts w:ascii="Arial" w:hAnsi="Arial"/>
                <w:noProof/>
              </w:rPr>
              <w:t>c</w:t>
            </w:r>
            <w:r w:rsidRPr="00F018E2">
              <w:rPr>
                <w:rStyle w:val="Hipervnculo"/>
                <w:rFonts w:ascii="Arial" w:hAnsi="Arial"/>
                <w:noProof/>
              </w:rPr>
              <w:t>tónico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41" w:history="1">
            <w:r w:rsidRPr="00F018E2">
              <w:rPr>
                <w:rStyle w:val="Hipervnculo"/>
                <w:rFonts w:ascii="Arial" w:hAnsi="Arial"/>
                <w:noProof/>
              </w:rPr>
              <w:t>3.3 Punto de entrada — src/server.js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42" w:history="1">
            <w:r w:rsidRPr="00F018E2">
              <w:rPr>
                <w:rStyle w:val="Hipervnculo"/>
                <w:rFonts w:ascii="Arial" w:hAnsi="Arial"/>
                <w:noProof/>
              </w:rPr>
              <w:t>4.1 Capa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43" w:history="1">
            <w:r w:rsidRPr="00F018E2">
              <w:rPr>
                <w:rStyle w:val="Hipervnculo"/>
                <w:rFonts w:ascii="Arial" w:hAnsi="Arial"/>
                <w:noProof/>
              </w:rPr>
              <w:t>4.2 Capa de aplicación —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44" w:history="1">
            <w:r w:rsidRPr="00F018E2">
              <w:rPr>
                <w:rStyle w:val="Hipervnculo"/>
                <w:rFonts w:ascii="Arial" w:hAnsi="Arial"/>
                <w:noProof/>
              </w:rPr>
              <w:t>4.3 Puertos (interfaces) — src/ports/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45" w:history="1">
            <w:r w:rsidRPr="00F018E2">
              <w:rPr>
                <w:rStyle w:val="Hipervnculo"/>
                <w:rFonts w:ascii="Arial" w:hAnsi="Arial"/>
                <w:noProof/>
              </w:rPr>
              <w:t>4.4 Adaptadores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46" w:history="1">
            <w:r w:rsidRPr="00F018E2">
              <w:rPr>
                <w:rStyle w:val="Hipervnculo"/>
                <w:rFonts w:ascii="Arial" w:hAnsi="Arial"/>
                <w:noProof/>
              </w:rPr>
              <w:t>4.5 Composición — src/bootstrap/componerAplicacion.js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47" w:history="1">
            <w:r w:rsidRPr="00F018E2">
              <w:rPr>
                <w:rStyle w:val="Hipervnculo"/>
                <w:rFonts w:ascii="Arial" w:hAnsi="Arial"/>
                <w:noProof/>
              </w:rPr>
              <w:t>5.1 GET /salud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48" w:history="1">
            <w:r w:rsidRPr="00F018E2">
              <w:rPr>
                <w:rStyle w:val="Hipervnculo"/>
                <w:rFonts w:ascii="Arial" w:hAnsi="Arial"/>
                <w:noProof/>
              </w:rPr>
              <w:t>5.2 POST /notificaciones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49" w:history="1">
            <w:r w:rsidRPr="00F018E2">
              <w:rPr>
                <w:rStyle w:val="Hipervnculo"/>
                <w:rFonts w:ascii="Arial" w:hAnsi="Arial"/>
                <w:noProof/>
              </w:rPr>
              <w:t>5.3 POST /notificaciones/desde-plantilla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50" w:history="1">
            <w:r w:rsidRPr="00F018E2">
              <w:rPr>
                <w:rStyle w:val="Hipervnculo"/>
                <w:rFonts w:ascii="Arial" w:hAnsi="Arial"/>
                <w:noProof/>
              </w:rPr>
              <w:t>5.4 POST /notificaciones/recordatorio-matricula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51" w:history="1">
            <w:r w:rsidRPr="00F018E2">
              <w:rPr>
                <w:rStyle w:val="Hipervnculo"/>
                <w:rFonts w:ascii="Arial" w:hAnsi="Arial"/>
                <w:noProof/>
              </w:rPr>
              <w:t>5.5 GET /plantillas-correo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52" w:history="1">
            <w:r w:rsidRPr="00F018E2">
              <w:rPr>
                <w:rStyle w:val="Hipervnculo"/>
                <w:rFonts w:ascii="Arial" w:hAnsi="Arial"/>
                <w:noProof/>
              </w:rPr>
              <w:t>5.6 GET /plantillas-correo/:id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53" w:history="1">
            <w:r w:rsidRPr="00F018E2">
              <w:rPr>
                <w:rStyle w:val="Hipervnculo"/>
                <w:rFonts w:ascii="Arial" w:hAnsi="Arial"/>
                <w:noProof/>
              </w:rPr>
              <w:t>5.7 Manejo global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54" w:history="1">
            <w:r w:rsidRPr="00F018E2">
              <w:rPr>
                <w:rStyle w:val="Hipervnculo"/>
                <w:rFonts w:ascii="Arial" w:hAnsi="Arial"/>
                <w:noProof/>
              </w:rPr>
              <w:t>7.1 Implementación y construcción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55" w:history="1">
            <w:r w:rsidRPr="00F018E2">
              <w:rPr>
                <w:rStyle w:val="Hipervnculo"/>
                <w:rFonts w:ascii="Arial" w:hAnsi="Arial"/>
                <w:noProof/>
              </w:rPr>
              <w:t>7.2 Migración de bases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56" w:history="1">
            <w:r w:rsidRPr="00F018E2">
              <w:rPr>
                <w:rStyle w:val="Hipervnculo"/>
                <w:rFonts w:ascii="Arial" w:hAnsi="Arial"/>
                <w:noProof/>
              </w:rPr>
              <w:t>7.3 Variables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57" w:history="1">
            <w:r w:rsidRPr="00F018E2">
              <w:rPr>
                <w:rStyle w:val="Hipervnculo"/>
                <w:rFonts w:ascii="Arial" w:hAnsi="Arial"/>
                <w:noProof/>
              </w:rPr>
              <w:t>7.4 Mantenimiento y extensión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58" w:history="1">
            <w:r w:rsidRPr="00F018E2">
              <w:rPr>
                <w:rStyle w:val="Hipervnculo"/>
                <w:rFonts w:ascii="Arial" w:hAnsi="Arial"/>
                <w:noProof/>
              </w:rPr>
              <w:t>10.1 Secuencia: POST /notificaciones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59" w:history="1">
            <w:r w:rsidRPr="00F018E2">
              <w:rPr>
                <w:rStyle w:val="Hipervnculo"/>
                <w:rFonts w:ascii="Arial" w:hAnsi="Arial"/>
                <w:noProof/>
              </w:rPr>
              <w:t>10.2 Secuencia: POST /notificaciones/desde-plantilla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60" w:history="1">
            <w:r w:rsidRPr="00F018E2">
              <w:rPr>
                <w:rStyle w:val="Hipervnculo"/>
                <w:rFonts w:ascii="Arial" w:hAnsi="Arial"/>
                <w:noProof/>
              </w:rPr>
              <w:t>10.3 Secuencia: POST /notificaciones/recordatorio-matricula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8700461" w:history="1">
            <w:r w:rsidRPr="00F018E2">
              <w:rPr>
                <w:rStyle w:val="Hipervnculo"/>
                <w:rFonts w:ascii="Arial" w:hAnsi="Arial"/>
                <w:noProof/>
              </w:rPr>
              <w:t>10.4 Estados de la conexión Mongo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_Toc228700461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A8A" w:rsidRDefault="005B0A8A">
          <w:r>
            <w:rPr>
              <w:b/>
              <w:bCs/>
              <w:noProof/>
            </w:rPr>
            <w:fldChar w:fldCharType="end"/>
          </w:r>
        </w:p>
      </w:sdtContent>
    </w:sdt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5798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1. identificación del Documento y del sistema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spacing w:before="60" w:after="80"/>
        <w:jc w:val="both"/>
      </w:pPr>
      <w:r>
        <w:rPr>
          <w:color w:val="000000"/>
        </w:rPr>
        <w:t>Este manual describe la arquitectura, los componentes, las interfaces, los datos y los procedimientos de construcción y despliegue necesarios para mantener y evolucionar el sistema de forma trazable respecto al ciclo de vida (ISO/IEC 12207).</w:t>
      </w:r>
    </w:p>
    <w:p w:rsidR="005B0A8A" w:rsidRDefault="005B0A8A" w:rsidP="005B0A8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Nombre del sistema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notifications-api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Propósito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Exponer endpoints HTTP para enviar notificaciones por correo (cuerpo libre, plantillas parametrizadas, flujo prototipo de recordatorio de matrícula), consultar plantillas y verificar estado del servicio.</w:t>
            </w:r>
          </w:p>
        </w:tc>
      </w:tr>
      <w:tr w:rsidR="005B0A8A" w:rsidRPr="008A3F16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Repositorio / artefacto principal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Pr="008A3F16" w:rsidRDefault="005B0A8A" w:rsidP="00A54F11">
            <w:pPr>
              <w:rPr>
                <w:lang w:val="en-US"/>
              </w:rPr>
            </w:pPr>
            <w:r w:rsidRPr="008A3F16">
              <w:rPr>
                <w:color w:val="000000"/>
                <w:sz w:val="18"/>
                <w:szCs w:val="18"/>
                <w:lang w:val="en-US"/>
              </w:rPr>
              <w:t>package.json → main: src/server.js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Entorno de ejecución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Node.js ≥ 18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Dependencias de producción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dotenv, express, mongodb, nodemailer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Partes interesadas y contexto (IEEE1016)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Interés principal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Desarrollador / mantenedor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Comprender capas, puertos y adaptadores para cambiar proveedor de correo, origen de plantillas o persistencia sin romper reglas de negocio.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Operaciones / DevOps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Variables de entorno, arranque, migraciones MongoDB, señales de terminación, endpoint de salud.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Integrador de sistemas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Contratos HTTP (JSON), códigos de estado, semántica 202 vs 400/404/500.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Auditoría académica / calidad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Trazabilidad de decisiones de diseño (hexagonal, inyección en composición).</w:t>
            </w:r>
          </w:p>
        </w:tc>
      </w:tr>
    </w:tbl>
    <w:p w:rsidR="005B0A8A" w:rsidRDefault="005B0A8A" w:rsidP="005B0A8A">
      <w:pPr>
        <w:pStyle w:val="Ttulo2"/>
        <w:rPr>
          <w:rFonts w:ascii="Arial" w:eastAsia="Arial" w:hAnsi="Arial" w:cs="Arial"/>
          <w:b/>
          <w:bCs/>
          <w:color w:val="1A1A1A"/>
          <w:sz w:val="22"/>
          <w:szCs w:val="22"/>
        </w:rPr>
      </w:pPr>
      <w:bookmarkStart w:id="0" w:name="_Toc228693677"/>
    </w:p>
    <w:p w:rsidR="005B0A8A" w:rsidRDefault="005B0A8A" w:rsidP="005B0A8A">
      <w:pPr>
        <w:pStyle w:val="Ttulo2"/>
      </w:pPr>
      <w:bookmarkStart w:id="1" w:name="_Toc228700439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Supuestos y Restricciones</w:t>
      </w:r>
      <w:bookmarkEnd w:id="0"/>
      <w:bookmarkEnd w:id="1"/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El sistema se despliega como proceso Node.js escuchando un puerto TCP configurable.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MongoDB es opcional en modo simulado; para datos reales y migraciones se requiere instancia accesible por URI.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El envío SMTP real depende de credenciales y remitente verificados en el proveedor (p. ej. MailerSend).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Sin autenticación ni autorización en la API en la versión documentada — adecuado solo para entornos controlados o detrás de API Gateway.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Las plantillas usan sustitución de marcadores {{clave}} definida en dominio; no hay motor de plantillas externo.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vistas de arquitectura: </w:t>
      </w:r>
    </w:p>
    <w:p w:rsidR="005B0A8A" w:rsidRDefault="005B0A8A" w:rsidP="005B0A8A">
      <w:pPr>
        <w:pStyle w:val="Ttulo2"/>
      </w:pPr>
      <w:bookmarkStart w:id="2" w:name="_Toc228693679"/>
      <w:bookmarkStart w:id="3" w:name="_Toc228700440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3.1 Estilo arquitectónico</w:t>
      </w:r>
      <w:bookmarkEnd w:id="2"/>
      <w:bookmarkEnd w:id="3"/>
    </w:p>
    <w:p w:rsidR="005B0A8A" w:rsidRDefault="005B0A8A" w:rsidP="005B0A8A">
      <w:pPr>
        <w:spacing w:before="60" w:after="80"/>
        <w:jc w:val="both"/>
        <w:rPr>
          <w:color w:val="000000"/>
        </w:rPr>
      </w:pPr>
    </w:p>
    <w:p w:rsidR="005B0A8A" w:rsidRDefault="005B0A8A" w:rsidP="005B0A8A">
      <w:pPr>
        <w:spacing w:before="60" w:after="80"/>
        <w:jc w:val="both"/>
      </w:pPr>
      <w:r>
        <w:rPr>
          <w:color w:val="000000"/>
        </w:rPr>
        <w:t>Se adopta arquitectura hexagonal (puertos y adaptadores), que garantiza la separación entre el dominio de negocio y la infraestructura tecnológica. Este diseño cumple el principio de inversión de dependencias: los casos de uso definen lo que necesitan (puertos); la infraestructura implementa esos contratos.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Capa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Dominio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src/domain/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Reglas puras: notificación, sustitución de marcadores, errores de dominio.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Aplicación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src/application/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Casos de uso. Dependen de puertos (interfaces), no de Express ni MongoDB.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Adaptadores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src/adapters/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HTTP (Express), correo (SMTP o simulado), persistencia MongoDB, plantillas en memoria o MongoDB.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Bootstrap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src/bootstrap/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Composición raíz — instancia adaptadores según entorno e inyecta dependencias.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3.2 Diagrama lógico 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E8E8E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1A1A1A"/>
              </w:rPr>
              <w:t>[ Cliente HTTP]</w:t>
            </w:r>
          </w:p>
          <w:p w:rsidR="005B0A8A" w:rsidRDefault="005B0A8A" w:rsidP="00A54F11">
            <w:pPr>
              <w:jc w:val="center"/>
            </w:pPr>
            <w:r>
              <w:rPr>
                <w:i/>
                <w:iCs/>
                <w:color w:val="666666"/>
                <w:sz w:val="17"/>
                <w:szCs w:val="17"/>
              </w:rPr>
              <w:t>Postman ·  curl  ·  sistema integrador</w:t>
            </w:r>
          </w:p>
        </w:tc>
      </w:tr>
    </w:tbl>
    <w:p w:rsidR="005B0A8A" w:rsidRDefault="005B0A8A" w:rsidP="005B0A8A">
      <w:pPr>
        <w:spacing w:before="40" w:after="40"/>
        <w:jc w:val="center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▼  petición HTTP / JSON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1A1A1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</w:rPr>
              <w:t>CAPA HTTP — Adaptadores Express</w:t>
            </w:r>
          </w:p>
          <w:p w:rsidR="005B0A8A" w:rsidRDefault="005B0A8A" w:rsidP="00A54F11">
            <w:pPr>
              <w:jc w:val="center"/>
            </w:pPr>
            <w:r>
              <w:rPr>
                <w:i/>
                <w:iCs/>
                <w:color w:val="DDDDDD"/>
                <w:sz w:val="17"/>
                <w:szCs w:val="17"/>
              </w:rPr>
              <w:t>crearAplicacionHttp  ·  rutas.js  ·  controladores</w:t>
            </w:r>
          </w:p>
        </w:tc>
      </w:tr>
    </w:tbl>
    <w:p w:rsidR="005B0A8A" w:rsidRDefault="005B0A8A" w:rsidP="005B0A8A">
      <w:pPr>
        <w:spacing w:before="40" w:after="40"/>
        <w:jc w:val="center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▼  llama casos de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2" w:space="0" w:color="999999"/>
            </w:tcBorders>
            <w:shd w:val="clear" w:color="auto" w:fill="F8F8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ControladorNotificaciones</w:t>
            </w:r>
          </w:p>
          <w:p w:rsidR="005B0A8A" w:rsidRDefault="005B0A8A" w:rsidP="00A54F11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/notificaciones  ·  /desde-plantilla  ·  /recordatorio-matricula</w:t>
            </w:r>
          </w:p>
        </w:tc>
        <w:tc>
          <w:tcPr>
            <w:tcW w:w="4680" w:type="dxa"/>
            <w:tcBorders>
              <w:top w:val="single" w:sz="4" w:space="0" w:color="1A1A1A"/>
              <w:left w:val="single" w:sz="2" w:space="0" w:color="999999"/>
              <w:bottom w:val="single" w:sz="4" w:space="0" w:color="1A1A1A"/>
              <w:right w:val="single" w:sz="4" w:space="0" w:color="1A1A1A"/>
            </w:tcBorders>
            <w:shd w:val="clear" w:color="auto" w:fill="F8F8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ControladorPlantillasCorreo</w:t>
            </w:r>
          </w:p>
          <w:p w:rsidR="005B0A8A" w:rsidRDefault="005B0A8A" w:rsidP="00A54F11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/plantillas-correo  ·  /plantillas-correo/:id</w:t>
            </w:r>
          </w:p>
        </w:tc>
      </w:tr>
    </w:tbl>
    <w:p w:rsidR="005B0A8A" w:rsidRDefault="005B0A8A" w:rsidP="005B0A8A">
      <w:pPr>
        <w:spacing w:before="40" w:after="40"/>
        <w:jc w:val="center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▼  orquesta lógica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1A1A1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</w:rPr>
              <w:t>CAPA APLICACIÓN — Casos de Uso</w:t>
            </w:r>
          </w:p>
          <w:p w:rsidR="005B0A8A" w:rsidRDefault="005B0A8A" w:rsidP="00A54F11">
            <w:pPr>
              <w:jc w:val="center"/>
            </w:pPr>
            <w:r>
              <w:rPr>
                <w:i/>
                <w:iCs/>
                <w:color w:val="DDDDDD"/>
                <w:sz w:val="17"/>
                <w:szCs w:val="17"/>
              </w:rPr>
              <w:t>EnviarNotificacion  ·  EnviarConPlantilla  ·  EnviarRecordatorio  ·  Listar  ·  Obtener</w:t>
            </w:r>
          </w:p>
        </w:tc>
      </w:tr>
    </w:tbl>
    <w:p w:rsidR="005B0A8A" w:rsidRDefault="005B0A8A" w:rsidP="005B0A8A">
      <w:pPr>
        <w:spacing w:before="40" w:after="40"/>
        <w:jc w:val="center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▼  usa contratos (puertos)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2" w:space="0" w:color="999999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PuertoEnvioCorreo</w:t>
            </w:r>
          </w:p>
          <w:p w:rsidR="005B0A8A" w:rsidRDefault="005B0A8A" w:rsidP="00A54F11">
            <w:pPr>
              <w:jc w:val="center"/>
            </w:pPr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enviar()</w:t>
            </w:r>
          </w:p>
          <w:p w:rsidR="005B0A8A" w:rsidRDefault="005B0A8A" w:rsidP="00A54F11">
            <w:pPr>
              <w:jc w:val="center"/>
            </w:pPr>
            <w:r>
              <w:rPr>
                <w:color w:val="666666"/>
                <w:sz w:val="15"/>
                <w:szCs w:val="15"/>
              </w:rPr>
              <w:t>↓ correo saliente</w:t>
            </w:r>
          </w:p>
        </w:tc>
        <w:tc>
          <w:tcPr>
            <w:tcW w:w="3120" w:type="dxa"/>
            <w:tcBorders>
              <w:top w:val="single" w:sz="4" w:space="0" w:color="1A1A1A"/>
              <w:left w:val="single" w:sz="2" w:space="0" w:color="999999"/>
              <w:bottom w:val="single" w:sz="4" w:space="0" w:color="1A1A1A"/>
              <w:right w:val="single" w:sz="2" w:space="0" w:color="999999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PuertoPlantillasCorreo</w:t>
            </w:r>
          </w:p>
          <w:p w:rsidR="005B0A8A" w:rsidRDefault="005B0A8A" w:rsidP="00A54F11">
            <w:pPr>
              <w:jc w:val="center"/>
            </w:pPr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listar / obtener / renderizar</w:t>
            </w:r>
          </w:p>
          <w:p w:rsidR="005B0A8A" w:rsidRDefault="005B0A8A" w:rsidP="00A54F11">
            <w:pPr>
              <w:jc w:val="center"/>
            </w:pPr>
            <w:r>
              <w:rPr>
                <w:color w:val="666666"/>
                <w:sz w:val="15"/>
                <w:szCs w:val="15"/>
              </w:rPr>
              <w:t>↓ plantillas</w:t>
            </w:r>
          </w:p>
        </w:tc>
        <w:tc>
          <w:tcPr>
            <w:tcW w:w="3120" w:type="dxa"/>
            <w:tcBorders>
              <w:top w:val="single" w:sz="4" w:space="0" w:color="1A1A1A"/>
              <w:left w:val="single" w:sz="2" w:space="0" w:color="999999"/>
              <w:bottom w:val="single" w:sz="4" w:space="0" w:color="1A1A1A"/>
              <w:right w:val="single" w:sz="4" w:space="0" w:color="1A1A1A"/>
            </w:tcBorders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PuertoDestinatarioPrueba</w:t>
            </w:r>
          </w:p>
          <w:p w:rsidR="005B0A8A" w:rsidRDefault="005B0A8A" w:rsidP="00A54F11">
            <w:pPr>
              <w:jc w:val="center"/>
            </w:pPr>
            <w:r>
              <w:rPr>
                <w:rFonts w:ascii="Courier New" w:eastAsia="Courier New" w:hAnsi="Courier New" w:cs="Courier New"/>
                <w:color w:val="666666"/>
                <w:sz w:val="16"/>
                <w:szCs w:val="16"/>
              </w:rPr>
              <w:t>obtenerCorreo()</w:t>
            </w:r>
          </w:p>
          <w:p w:rsidR="005B0A8A" w:rsidRDefault="005B0A8A" w:rsidP="00A54F11">
            <w:pPr>
              <w:jc w:val="center"/>
            </w:pPr>
            <w:r>
              <w:rPr>
                <w:color w:val="666666"/>
                <w:sz w:val="15"/>
                <w:szCs w:val="15"/>
              </w:rPr>
              <w:t>↓ destinatario</w:t>
            </w:r>
          </w:p>
        </w:tc>
      </w:tr>
    </w:tbl>
    <w:p w:rsidR="005B0A8A" w:rsidRDefault="005B0A8A" w:rsidP="005B0A8A">
      <w:pPr>
        <w:spacing w:before="40" w:after="40"/>
        <w:jc w:val="center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▼  implementaciones concretas (adaptadores de infraestructura)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2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SMTP / Simulado</w:t>
            </w:r>
          </w:p>
          <w:p w:rsidR="005B0A8A" w:rsidRDefault="005B0A8A" w:rsidP="00A54F11">
            <w:pPr>
              <w:jc w:val="center"/>
            </w:pPr>
            <w:r>
              <w:rPr>
                <w:color w:val="666666"/>
                <w:sz w:val="15"/>
                <w:szCs w:val="15"/>
              </w:rPr>
              <w:t>Nodemailer</w:t>
            </w:r>
          </w:p>
          <w:p w:rsidR="005B0A8A" w:rsidRDefault="005B0A8A" w:rsidP="00A54F11">
            <w:pPr>
              <w:jc w:val="center"/>
            </w:pPr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AdaptadorCorreoSMTP</w:t>
            </w:r>
          </w:p>
          <w:p w:rsidR="005B0A8A" w:rsidRDefault="005B0A8A" w:rsidP="00A54F11">
            <w:pPr>
              <w:jc w:val="center"/>
            </w:pPr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AdaptadorCorreoSimulado</w:t>
            </w:r>
          </w:p>
        </w:tc>
        <w:tc>
          <w:tcPr>
            <w:tcW w:w="3120" w:type="dxa"/>
            <w:tcBorders>
              <w:top w:val="single" w:sz="4" w:space="0" w:color="1A1A1A"/>
              <w:left w:val="single" w:sz="2" w:space="0" w:color="999999"/>
              <w:bottom w:val="single" w:sz="4" w:space="0" w:color="1A1A1A"/>
              <w:right w:val="single" w:sz="2" w:space="0" w:color="99999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Mongo / Memoria</w:t>
            </w:r>
          </w:p>
          <w:p w:rsidR="005B0A8A" w:rsidRDefault="005B0A8A" w:rsidP="00A54F11">
            <w:pPr>
              <w:jc w:val="center"/>
            </w:pPr>
            <w:r>
              <w:rPr>
                <w:color w:val="666666"/>
                <w:sz w:val="15"/>
                <w:szCs w:val="15"/>
              </w:rPr>
              <w:t>MongoDB  ·  in-mem</w:t>
            </w:r>
          </w:p>
          <w:p w:rsidR="005B0A8A" w:rsidRDefault="005B0A8A" w:rsidP="00A54F11">
            <w:pPr>
              <w:jc w:val="center"/>
            </w:pPr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AdaptadorPlantillasMongo</w:t>
            </w:r>
          </w:p>
          <w:p w:rsidR="005B0A8A" w:rsidRDefault="005B0A8A" w:rsidP="00A54F11">
            <w:pPr>
              <w:jc w:val="center"/>
            </w:pPr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AdaptadorPlantillasEnMemoria</w:t>
            </w:r>
          </w:p>
        </w:tc>
        <w:tc>
          <w:tcPr>
            <w:tcW w:w="3120" w:type="dxa"/>
            <w:tcBorders>
              <w:top w:val="single" w:sz="4" w:space="0" w:color="1A1A1A"/>
              <w:left w:val="single" w:sz="2" w:space="0" w:color="999999"/>
              <w:bottom w:val="single" w:sz="4" w:space="0" w:color="1A1A1A"/>
              <w:right w:val="single" w:sz="4" w:space="0" w:color="1A1A1A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1A1A1A"/>
                <w:sz w:val="17"/>
                <w:szCs w:val="17"/>
              </w:rPr>
              <w:t>Mongo / Nulo</w:t>
            </w:r>
          </w:p>
          <w:p w:rsidR="005B0A8A" w:rsidRDefault="005B0A8A" w:rsidP="00A54F11">
            <w:pPr>
              <w:jc w:val="center"/>
            </w:pPr>
            <w:r>
              <w:rPr>
                <w:color w:val="666666"/>
                <w:sz w:val="15"/>
                <w:szCs w:val="15"/>
              </w:rPr>
              <w:t>MongoDB  ·  null</w:t>
            </w:r>
          </w:p>
          <w:p w:rsidR="005B0A8A" w:rsidRDefault="005B0A8A" w:rsidP="00A54F11">
            <w:pPr>
              <w:jc w:val="center"/>
            </w:pPr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AdaptadorDestinatarioPruebaMongo</w:t>
            </w:r>
          </w:p>
          <w:p w:rsidR="005B0A8A" w:rsidRDefault="005B0A8A" w:rsidP="00A54F11">
            <w:pPr>
              <w:jc w:val="center"/>
            </w:pPr>
            <w:r>
              <w:rPr>
                <w:rFonts w:ascii="Courier New" w:eastAsia="Courier New" w:hAnsi="Courier New" w:cs="Courier New"/>
                <w:color w:val="666666"/>
                <w:sz w:val="14"/>
                <w:szCs w:val="14"/>
              </w:rPr>
              <w:t>AdaptadorDestinatarioPruebaNulo</w:t>
            </w:r>
          </w:p>
        </w:tc>
      </w:tr>
    </w:tbl>
    <w:p w:rsidR="005B0A8A" w:rsidRDefault="005B0A8A" w:rsidP="005B0A8A">
      <w:pPr>
        <w:spacing w:before="40" w:after="40"/>
        <w:jc w:val="center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▼  conexión 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1A1A"/>
              <w:left w:val="single" w:sz="6" w:space="0" w:color="1A1A1A"/>
              <w:bottom w:val="single" w:sz="6" w:space="0" w:color="1A1A1A"/>
              <w:right w:val="single" w:sz="6" w:space="0" w:color="1A1A1A"/>
            </w:tcBorders>
            <w:shd w:val="clear" w:color="auto" w:fill="1A1A1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</w:rPr>
              <w:t>PuertoConexionMongo</w:t>
            </w:r>
          </w:p>
          <w:p w:rsidR="005B0A8A" w:rsidRDefault="005B0A8A" w:rsidP="00A54F11">
            <w:pPr>
              <w:jc w:val="center"/>
            </w:pPr>
            <w:r>
              <w:rPr>
                <w:i/>
                <w:iCs/>
                <w:color w:val="DDDDDD"/>
                <w:sz w:val="17"/>
                <w:szCs w:val="17"/>
              </w:rPr>
              <w:t>AdaptadorMongoMongoClient  ·  AdaptadorMongoSimulado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</w:pPr>
      <w:bookmarkStart w:id="4" w:name="_Toc228693681"/>
      <w:bookmarkStart w:id="5" w:name="_Toc228700441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3.3 Punto de entrada — src/server.js</w:t>
      </w:r>
      <w:bookmarkEnd w:id="4"/>
      <w:bookmarkEnd w:id="5"/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Carga variables con dotenv (import 'dotenv/config').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Crea conexión Mongo mediante crearConexionMongoPorEntorno().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Llama conexionMongo.conectar().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Compone la aplicación con componerAplicacion({ conexionMongo }).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Escucha en PUERTO (por defecto 3000).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Registra manejadores SIGINT y SIGTERM para cierre ordenado de servidor y MongoDB.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Vistas de componentes y responsabilidades: </w:t>
      </w:r>
    </w:p>
    <w:p w:rsidR="005B0A8A" w:rsidRDefault="005B0A8A" w:rsidP="005B0A8A">
      <w:pPr>
        <w:pStyle w:val="Ttulo2"/>
      </w:pPr>
      <w:bookmarkStart w:id="6" w:name="_Toc228693683"/>
      <w:bookmarkStart w:id="7" w:name="_Toc228700442"/>
      <w:r>
        <w:rPr>
          <w:rFonts w:ascii="Arial" w:eastAsia="Arial" w:hAnsi="Arial" w:cs="Arial"/>
          <w:b/>
          <w:bCs/>
          <w:color w:val="1A1A1A"/>
          <w:sz w:val="22"/>
          <w:szCs w:val="22"/>
        </w:rPr>
        <w:lastRenderedPageBreak/>
        <w:t>4.1 Capa de dominio</w:t>
      </w:r>
      <w:bookmarkEnd w:id="6"/>
      <w:bookmarkEnd w:id="7"/>
    </w:p>
    <w:p w:rsidR="005B0A8A" w:rsidRDefault="005B0A8A" w:rsidP="005B0A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Artefacto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src/domain/notificacion.js — crearNotificacion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Valida destinatario y asunto obligatorios; normaliza a string y congela el objeto.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src/domain/plantillaCorreo.js — aplicarMarcadores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Reemplazo global de {{clave}}; valores faltantes → cadena vacía.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src/domain/plantillaCorreo.js — PlantillaNoEncontradaError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Error de dominio propagado a HTTP como 404 cuando corresponde.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</w:pPr>
      <w:r>
        <w:rPr>
          <w:b/>
          <w:bCs/>
          <w:sz w:val="24"/>
          <w:szCs w:val="24"/>
        </w:rPr>
        <w:t xml:space="preserve"> </w:t>
      </w:r>
      <w:bookmarkStart w:id="8" w:name="_Toc228693684"/>
      <w:bookmarkStart w:id="9" w:name="_Toc228700443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4.2 Capa de aplicación — casos de uso</w:t>
      </w:r>
      <w:bookmarkEnd w:id="8"/>
      <w:bookmarkEnd w:id="9"/>
    </w:p>
    <w:p w:rsidR="005B0A8A" w:rsidRDefault="005B0A8A" w:rsidP="005B0A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2"/>
        <w:gridCol w:w="2250"/>
        <w:gridCol w:w="3458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Entrada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Efecto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EnviarNotificacionCasoDeUso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destinatario, asunto, cuerpo opcional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Construye notificación; llama puertoCorreo.enviar con texto plano.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EnviarNotificacionConPlantillaCasoDeUso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destinatario, idPlantilla, variables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Obtiene asunto/cuerpo/html renderizado; envía correo con HTML opcional.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EnviarRecordatorioMatriculaCasoDeUso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nombre?, ¿destinatario?, ¿plazo?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Resuelve destinatario y plazo con prioridades; delega en envío con plantilla.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ListarPlantillasCorreoCasoDeUso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Delega en listarResumen del puerto de plantillas.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ObtenerPlantillaCorreoCasoDeUso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Delega en obtenerDefinicion.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</w:pPr>
      <w:bookmarkStart w:id="10" w:name="_Toc228693685"/>
      <w:bookmarkStart w:id="11" w:name="_Toc228700444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4.3 Puertos (interfaces) — src/ports/</w:t>
      </w:r>
      <w:bookmarkEnd w:id="10"/>
      <w:bookmarkEnd w:id="11"/>
    </w:p>
    <w:p w:rsidR="005B0A8A" w:rsidRDefault="005B0A8A" w:rsidP="005B0A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3372"/>
        <w:gridCol w:w="3252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Puerto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Métodos relevantes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Implementaciones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PuertoEnvioCorreo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enviar({ para, asunto, texto, html? })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AdaptadorCorreoSMTP, AdaptadorCorreoSimulado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PuertoPlantillasCorreo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listarResumen, obtenerDefinicion, obtenerRenderizado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AdaptadorPlantillasMongo, AdaptadorPlantillasEnMemoria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PuertoConexionMongo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conectar, desconectar, estaConectado, modo, obtenerCliente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AdaptadorMongoMongoClient, AdaptadorMongoSimulado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PuertoDestinatarioPrueba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obtenerCorreoRecordatorioMatricula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AdaptadorDestinatarioPruebaMongo, AdaptadorDestinatarioPruebaNulo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  <w:rPr>
          <w:rFonts w:ascii="Arial" w:eastAsia="Arial" w:hAnsi="Arial" w:cs="Arial"/>
          <w:b/>
          <w:bCs/>
          <w:color w:val="1A1A1A"/>
          <w:sz w:val="22"/>
          <w:szCs w:val="22"/>
        </w:rPr>
      </w:pPr>
      <w:bookmarkStart w:id="12" w:name="_Toc228693686"/>
      <w:bookmarkStart w:id="13" w:name="_Toc228700445"/>
    </w:p>
    <w:p w:rsidR="005B0A8A" w:rsidRDefault="005B0A8A" w:rsidP="005B0A8A"/>
    <w:p w:rsidR="005B0A8A" w:rsidRDefault="005B0A8A" w:rsidP="005B0A8A"/>
    <w:p w:rsidR="005B0A8A" w:rsidRPr="005B0A8A" w:rsidRDefault="005B0A8A" w:rsidP="005B0A8A"/>
    <w:p w:rsidR="005B0A8A" w:rsidRDefault="005B0A8A" w:rsidP="005B0A8A">
      <w:pPr>
        <w:pStyle w:val="Ttulo2"/>
        <w:rPr>
          <w:rFonts w:ascii="Arial" w:eastAsia="Arial" w:hAnsi="Arial" w:cs="Arial"/>
          <w:b/>
          <w:bCs/>
          <w:color w:val="1A1A1A"/>
          <w:sz w:val="22"/>
          <w:szCs w:val="22"/>
        </w:rPr>
      </w:pPr>
    </w:p>
    <w:p w:rsidR="005B0A8A" w:rsidRPr="005B0A8A" w:rsidRDefault="005B0A8A" w:rsidP="005B0A8A"/>
    <w:p w:rsidR="005B0A8A" w:rsidRDefault="005B0A8A" w:rsidP="005B0A8A">
      <w:pPr>
        <w:pStyle w:val="Ttulo2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lastRenderedPageBreak/>
        <w:t>4.4 Adaptadores de infraestructura</w:t>
      </w:r>
      <w:bookmarkEnd w:id="12"/>
      <w:bookmarkEnd w:id="13"/>
    </w:p>
    <w:p w:rsidR="005B0A8A" w:rsidRDefault="005B0A8A" w:rsidP="005B0A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9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Adaptador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HTTP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crearAplicacion.js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Express + express.json().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HTTP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rutas.js, rutasPlantillasCorreo.js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Definen paths y delegan a controladores.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HTTP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controladorNotificaciones.js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Validación de payload, mapeo de errores a status HTTP.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Correo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AdaptadorCorreoSMTP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Nodemailer; multipart si hay HTML; texto derivado de HTML si falta texto explícito.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Correo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AdaptadorCorreoSimulado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console.log del mensaje (desarrollo sin credenciales).</w:t>
            </w:r>
          </w:p>
        </w:tc>
      </w:tr>
      <w:tr w:rsidR="005B0A8A" w:rsidRPr="008A3F16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MongoDB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AdaptadorMongoMongoClient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Pr="008A3F16" w:rsidRDefault="005B0A8A" w:rsidP="00A54F11">
            <w:pPr>
              <w:rPr>
                <w:lang w:val="en-US"/>
              </w:rPr>
            </w:pPr>
            <w:r w:rsidRPr="008A3F16">
              <w:rPr>
                <w:color w:val="000000"/>
                <w:sz w:val="18"/>
                <w:szCs w:val="18"/>
                <w:lang w:val="en-US"/>
              </w:rPr>
              <w:t xml:space="preserve">Conexión real, ping </w:t>
            </w:r>
            <w:proofErr w:type="gramStart"/>
            <w:r w:rsidRPr="008A3F16">
              <w:rPr>
                <w:color w:val="000000"/>
                <w:sz w:val="18"/>
                <w:szCs w:val="18"/>
                <w:lang w:val="en-US"/>
              </w:rPr>
              <w:t>a</w:t>
            </w:r>
            <w:proofErr w:type="gramEnd"/>
            <w:r w:rsidRPr="008A3F16">
              <w:rPr>
                <w:color w:val="000000"/>
                <w:sz w:val="18"/>
                <w:szCs w:val="18"/>
                <w:lang w:val="en-US"/>
              </w:rPr>
              <w:t xml:space="preserve"> admin, base MONGODB_DB_NAME (default: notifications).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MongoDB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AdaptadorMongoSimulado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Sin red; marca conectado tras conectar().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Plantillas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AdaptadorPlantillasMongo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Colección plantillas_correo; fallback a contenido embebido para recordatorio_matricula.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Plantillas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AdaptadorPlantillasEnMemoria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Plantillas: bienvenida, recordatorio, recordatorio_matricula.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Destinatario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AdaptadorDestinatarioPruebaMongo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Colección destinatarios_prueba con tipo: recordatorio_matricula.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Destinatario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AdaptadorDestinatarioPruebaNulo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Siempre null (cadena de fallback del caso de uso).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</w:pPr>
      <w:bookmarkStart w:id="14" w:name="_Toc228693687"/>
      <w:bookmarkStart w:id="15" w:name="_Toc228700446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4.5 Composición — src/bootstrap/componerAplicacion.js</w:t>
      </w:r>
      <w:bookmarkEnd w:id="14"/>
      <w:bookmarkEnd w:id="15"/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obtenerBaseDatosDesdeConexion: solo si la conexión es instancia de AdaptadorMongoMongoClient se obtiene Db; si no, null.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Si hay baseDatos: AdaptadorPlantillasMongo + AdaptadorDestinatarioPruebaMongo; si no: AdaptadorPlantillasEnMemoria + AdaptadorDestinatarioPruebaNulo.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crearPuertoCorreoPorEntorno(): SMTP si existen SMTP_HOST, SMTP_USER, SMTP_PASS, MAIL_FROM; si no, simulado.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Monta GET /salud exponiendo mongo.conectado y mongo.modo.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vista de interfaces – API REST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spacing w:before="60" w:after="80"/>
        <w:jc w:val="both"/>
      </w:pPr>
      <w:r w:rsidRPr="005B0A8A">
        <w:rPr>
          <w:color w:val="000000"/>
        </w:rPr>
        <w:t xml:space="preserve">Base URL: http(s)://host:PUERTO. </w:t>
      </w:r>
      <w:r>
        <w:rPr>
          <w:color w:val="000000"/>
        </w:rPr>
        <w:t>Cuerpo JSON con Content-Type: application/json donde aplique.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</w:pPr>
      <w:bookmarkStart w:id="16" w:name="_Toc228693689"/>
      <w:bookmarkStart w:id="17" w:name="_Toc228700447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5.1 GET /salud</w:t>
      </w:r>
      <w:bookmarkEnd w:id="16"/>
      <w:bookmarkEnd w:id="17"/>
    </w:p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5B0A8A" w:rsidRDefault="005B0A8A" w:rsidP="00A54F11">
            <w:r>
              <w:rPr>
                <w:b/>
                <w:bCs/>
                <w:color w:val="1A1A1A"/>
                <w:sz w:val="18"/>
                <w:szCs w:val="18"/>
              </w:rPr>
              <w:t>Verifica el estado operativo del servicio y la conexión a MongoDB.</w:t>
            </w:r>
          </w:p>
        </w:tc>
      </w:tr>
    </w:tbl>
    <w:p w:rsidR="005B0A8A" w:rsidRDefault="005B0A8A" w:rsidP="005B0A8A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Respuesta 200 — ejemplo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{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"estado": "en marcha",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"mongo": {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"conectado": true,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lastRenderedPageBreak/>
              <w:t xml:space="preserve">    "modo": "mongodb"    // "simulado" | "mongodb"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}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</w:pPr>
      <w:bookmarkStart w:id="18" w:name="_Toc228693690"/>
      <w:bookmarkStart w:id="19" w:name="_Toc228700448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5.2 POST /notificaciones</w:t>
      </w:r>
      <w:bookmarkEnd w:id="18"/>
      <w:bookmarkEnd w:id="19"/>
    </w:p>
    <w:p w:rsidR="005B0A8A" w:rsidRDefault="005B0A8A" w:rsidP="005B0A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destinatario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Dirección de correo destino.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asunto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Asunto del mensaje.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cuerpo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Texto plano del cuerpo; por defecto vacío en dominio.</w:t>
            </w:r>
          </w:p>
        </w:tc>
      </w:tr>
    </w:tbl>
    <w:p w:rsidR="005B0A8A" w:rsidRDefault="005B0A8A" w:rsidP="005B0A8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202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proofErr w:type="gramStart"/>
            <w:r>
              <w:rPr>
                <w:color w:val="000000"/>
                <w:sz w:val="18"/>
                <w:szCs w:val="18"/>
              </w:rPr>
              <w:t>{ "</w:t>
            </w:r>
            <w:proofErr w:type="gramEnd"/>
            <w:r>
              <w:rPr>
                <w:color w:val="000000"/>
                <w:sz w:val="18"/>
                <w:szCs w:val="18"/>
              </w:rPr>
              <w:t>mensaje": "Notificación aceptada para envío." }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destinatario o asunto faltante.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Error no capturado como dominio (mensaje genérico).</w:t>
            </w:r>
          </w:p>
        </w:tc>
      </w:tr>
    </w:tbl>
    <w:p w:rsidR="005B0A8A" w:rsidRDefault="005B0A8A" w:rsidP="005B0A8A">
      <w:pPr>
        <w:spacing w:before="100"/>
      </w:pPr>
    </w:p>
    <w:p w:rsidR="005B0A8A" w:rsidRDefault="005B0A8A" w:rsidP="005B0A8A">
      <w:pPr>
        <w:pStyle w:val="Ttulo2"/>
      </w:pPr>
      <w:bookmarkStart w:id="20" w:name="_Toc228693691"/>
      <w:bookmarkStart w:id="21" w:name="_Toc228700449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5.3 POST /notificaciones/desde-plantilla</w:t>
      </w:r>
      <w:bookmarkEnd w:id="20"/>
      <w:bookmarkEnd w:id="21"/>
    </w:p>
    <w:p w:rsidR="005B0A8A" w:rsidRDefault="005B0A8A" w:rsidP="005B0A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destinatario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Dirección de correo destino.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idPlantilla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Id lógico (p. ej. recordatorio_matricula, bienvenida).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variables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Objeto clave-valor para marcadores; debe ser objeto si se envía.</w:t>
            </w:r>
          </w:p>
        </w:tc>
      </w:tr>
    </w:tbl>
    <w:p w:rsidR="005B0A8A" w:rsidRDefault="005B0A8A" w:rsidP="005B0A8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202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Solicitud de envío aceptada.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404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Plantilla inexistente (PlantillaNoEncontradaError).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400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Validación de campos o tipo de variables.</w:t>
            </w:r>
          </w:p>
        </w:tc>
      </w:tr>
    </w:tbl>
    <w:p w:rsidR="005B0A8A" w:rsidRDefault="005B0A8A" w:rsidP="005B0A8A">
      <w:pPr>
        <w:spacing w:before="80"/>
      </w:pPr>
    </w:p>
    <w:p w:rsidR="005B0A8A" w:rsidRDefault="005B0A8A" w:rsidP="005B0A8A">
      <w:pPr>
        <w:pStyle w:val="Ttulo2"/>
      </w:pPr>
      <w:bookmarkStart w:id="22" w:name="_Toc228693692"/>
      <w:bookmarkStart w:id="23" w:name="_Toc228700450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5.4 POST /notificaciones/recordatorio-matricula</w:t>
      </w:r>
      <w:bookmarkEnd w:id="22"/>
      <w:bookmarkEnd w:id="23"/>
    </w:p>
    <w:p w:rsidR="005B0A8A" w:rsidRDefault="005B0A8A" w:rsidP="005B0A8A">
      <w:pPr>
        <w:spacing w:before="60" w:after="80"/>
        <w:jc w:val="both"/>
      </w:pPr>
      <w:r>
        <w:rPr>
          <w:color w:val="000000"/>
        </w:rPr>
        <w:t>Cuerpo opcional: nombre, destinatario, plazo (strings).</w:t>
      </w:r>
    </w:p>
    <w:p w:rsidR="005B0A8A" w:rsidRDefault="005B0A8A" w:rsidP="005B0A8A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5B0A8A" w:rsidRDefault="005B0A8A" w:rsidP="00A54F11">
            <w:r>
              <w:rPr>
                <w:b/>
                <w:bCs/>
                <w:color w:val="1A1A1A"/>
                <w:sz w:val="18"/>
                <w:szCs w:val="18"/>
              </w:rPr>
              <w:t>Prioridad de destinatario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Cuerpo → Mongo destinatarios_prueba → DESTINATARIO_RECORDATORIO_MATRICULA → constante de respaldo.</w:t>
            </w:r>
          </w:p>
        </w:tc>
      </w:tr>
    </w:tbl>
    <w:p w:rsidR="005B0A8A" w:rsidRDefault="005B0A8A" w:rsidP="005B0A8A">
      <w:pPr>
        <w:spacing w:before="60"/>
      </w:pPr>
    </w:p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5B0A8A" w:rsidRDefault="005B0A8A" w:rsidP="00A54F11">
            <w:r>
              <w:rPr>
                <w:b/>
                <w:bCs/>
                <w:color w:val="1A1A1A"/>
                <w:sz w:val="18"/>
                <w:szCs w:val="18"/>
              </w:rPr>
              <w:t>Prioridad de plazo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Cuerpo → PLAZO_MATRICULA → texto por defecto del calendario académico.</w:t>
            </w:r>
          </w:p>
        </w:tc>
      </w:tr>
    </w:tbl>
    <w:p w:rsidR="005B0A8A" w:rsidRDefault="005B0A8A" w:rsidP="005B0A8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202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Incluye mensaje y datos del envío (destinatario, idPlantilla, etc.).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lastRenderedPageBreak/>
              <w:t>404</w:t>
            </w:r>
          </w:p>
        </w:tc>
        <w:tc>
          <w:tcPr>
            <w:tcW w:w="7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Plantilla no encontrada. Se sugiere ejecutar migraciones si aplica.</w:t>
            </w:r>
          </w:p>
        </w:tc>
      </w:tr>
    </w:tbl>
    <w:p w:rsidR="005B0A8A" w:rsidRDefault="005B0A8A" w:rsidP="005B0A8A">
      <w:pPr>
        <w:spacing w:before="80"/>
      </w:pPr>
    </w:p>
    <w:p w:rsidR="005B0A8A" w:rsidRDefault="005B0A8A" w:rsidP="005B0A8A">
      <w:pPr>
        <w:pStyle w:val="Ttulo2"/>
      </w:pPr>
      <w:bookmarkStart w:id="24" w:name="_Toc228693693"/>
      <w:bookmarkStart w:id="25" w:name="_Toc228700451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5.5 GET /plantillas-correo</w:t>
      </w:r>
      <w:bookmarkEnd w:id="24"/>
      <w:bookmarkEnd w:id="25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Respuesta 200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{ "plantillas": [ { "id": "...", "descripcion": "..." }, ... ] }</w:t>
            </w:r>
          </w:p>
        </w:tc>
      </w:tr>
    </w:tbl>
    <w:p w:rsidR="005B0A8A" w:rsidRDefault="005B0A8A" w:rsidP="005B0A8A">
      <w:pPr>
        <w:spacing w:before="100"/>
      </w:pPr>
    </w:p>
    <w:p w:rsidR="005B0A8A" w:rsidRDefault="005B0A8A" w:rsidP="005B0A8A">
      <w:pPr>
        <w:pStyle w:val="Ttulo2"/>
      </w:pPr>
      <w:bookmarkStart w:id="26" w:name="_Toc228693694"/>
      <w:bookmarkStart w:id="27" w:name="_Toc228700452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5.6 GET /plantillas-correo/:id</w:t>
      </w:r>
      <w:bookmarkEnd w:id="26"/>
      <w:bookmarkEnd w:id="27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Respuesta 200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{ "plantilla": { /* definición con marcadores */ } }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Respuesta 404 — id inexistente</w:t>
            </w:r>
          </w:p>
        </w:tc>
      </w:tr>
    </w:tbl>
    <w:p w:rsidR="005B0A8A" w:rsidRDefault="005B0A8A" w:rsidP="005B0A8A">
      <w:pPr>
        <w:spacing w:before="100"/>
      </w:pPr>
    </w:p>
    <w:p w:rsidR="005B0A8A" w:rsidRDefault="005B0A8A" w:rsidP="005B0A8A">
      <w:pPr>
        <w:pStyle w:val="Ttulo2"/>
      </w:pPr>
      <w:bookmarkStart w:id="28" w:name="_Toc228693695"/>
      <w:bookmarkStart w:id="29" w:name="_Toc228700453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5.7 Manejo global de errores</w:t>
      </w:r>
      <w:bookmarkEnd w:id="28"/>
      <w:bookmarkEnd w:id="29"/>
    </w:p>
    <w:p w:rsidR="005B0A8A" w:rsidRDefault="005B0A8A" w:rsidP="005B0A8A">
      <w:pPr>
        <w:spacing w:before="60" w:after="80"/>
        <w:jc w:val="both"/>
      </w:pPr>
      <w:r>
        <w:rPr>
          <w:color w:val="000000"/>
        </w:rPr>
        <w:t>El middleware Express en componerAplicacion registra el error en consola y responde 500 con { "error": "Error interno del servidor" }.</w:t>
      </w:r>
    </w:p>
    <w:p w:rsidR="005B0A8A" w:rsidRDefault="005B0A8A" w:rsidP="005B0A8A">
      <w:pPr>
        <w:spacing w:before="80"/>
      </w:pPr>
    </w:p>
    <w:p w:rsidR="005B0A8A" w:rsidRPr="00120AB2" w:rsidRDefault="005B0A8A" w:rsidP="005B0A8A">
      <w:pPr>
        <w:spacing w:before="80"/>
        <w:rPr>
          <w:b/>
          <w:bCs/>
          <w:sz w:val="22"/>
          <w:szCs w:val="22"/>
        </w:rPr>
      </w:pPr>
      <w:r w:rsidRPr="00120AB2">
        <w:rPr>
          <w:b/>
          <w:bCs/>
          <w:sz w:val="22"/>
          <w:szCs w:val="22"/>
        </w:rPr>
        <w:t xml:space="preserve">6. Vista de Datos 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Colección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 clave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plantillas_correo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_id (string, id lógico)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Campos: descripcion, asuntoMarcadores, cuerpoMarcadores, cuerpoHtmlMarcadores (opcional).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destinatarios_prueba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tipo, email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tipo = recordatorio_matricula; índice único sobre email; metadatos opcionales.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_migrations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_id (id de migración)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Registro de migraciones aplicadas. Campo ejecutadaEn indica timestamp.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spacing w:before="60" w:after="80"/>
        <w:jc w:val="both"/>
      </w:pPr>
      <w:r>
        <w:rPr>
          <w:color w:val="000000"/>
        </w:rPr>
        <w:t>El archivo src/contenidoPlantillas/recordatorioMatricula.js define CUERPO_TEXTO_RECORDATORIO y CUERPO_HTML_RECORDATORIO para garantizar coherencia entre los adaptadores en memoria, Mongo y las migraciones.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procedimiento del ciclo de vida (ISO/IEC 12207) 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</w:pPr>
      <w:bookmarkStart w:id="30" w:name="_Toc228693698"/>
      <w:bookmarkStart w:id="31" w:name="_Toc228700454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7.1 Implementación y construcción</w:t>
      </w:r>
      <w:bookmarkEnd w:id="30"/>
      <w:bookmarkEnd w:id="31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Instalar dependencias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npm install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Ejecutar (producción)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npm start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Ejecutar (desarrollo con recarga automática)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30" w:type="dxa"/>
              <w:left w:w="240" w:type="dxa"/>
              <w:bottom w:w="30" w:type="dxa"/>
              <w:right w:w="240" w:type="dxa"/>
            </w:tcMar>
          </w:tcPr>
          <w:p w:rsidR="005B0A8A" w:rsidRDefault="005B0A8A" w:rsidP="00A54F11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npm run dev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</w:pPr>
      <w:bookmarkStart w:id="32" w:name="_Toc228693699"/>
      <w:bookmarkStart w:id="33" w:name="_Toc228700455"/>
      <w:r>
        <w:rPr>
          <w:rFonts w:ascii="Arial" w:eastAsia="Arial" w:hAnsi="Arial" w:cs="Arial"/>
          <w:b/>
          <w:bCs/>
          <w:color w:val="1A1A1A"/>
          <w:sz w:val="22"/>
          <w:szCs w:val="22"/>
        </w:rPr>
        <w:lastRenderedPageBreak/>
        <w:t>7.2 Migración de bases de datos</w:t>
      </w:r>
      <w:bookmarkEnd w:id="32"/>
      <w:bookmarkEnd w:id="33"/>
    </w:p>
    <w:p w:rsidR="005B0A8A" w:rsidRDefault="005B0A8A" w:rsidP="005B0A8A">
      <w:pPr>
        <w:spacing w:before="60" w:after="80"/>
        <w:jc w:val="both"/>
      </w:pPr>
      <w:r>
        <w:rPr>
          <w:color w:val="000000"/>
        </w:rPr>
        <w:t>La herramienta de migración se ejecuta con npm run migrate → scripts/ejecutar-migraciones.mongo.mjs.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Requisitos: MONGODB_MOCK=false y MONGODB_URI definida.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Los archivos .mjs en migrations/mongo/ se procesan en orden lexicográfico.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Idempotencia parcial: se omite una migración si su _id ya existe en la colección _migrations.</w:t>
      </w:r>
    </w:p>
    <w:p w:rsidR="005B0A8A" w:rsidRDefault="005B0A8A" w:rsidP="005B0A8A">
      <w:pPr>
        <w:spacing w:before="80"/>
      </w:pPr>
    </w:p>
    <w:tbl>
      <w:tblPr>
        <w:tblW w:w="9360" w:type="dxa"/>
        <w:tblBorders>
          <w:top w:val="single" w:sz="4" w:space="0" w:color="999999"/>
          <w:left w:val="single" w:sz="20" w:space="0" w:color="1A1A1A"/>
          <w:bottom w:val="single" w:sz="4" w:space="0" w:color="9999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200" w:type="dxa"/>
              <w:bottom w:w="20" w:type="dxa"/>
              <w:right w:w="200" w:type="dxa"/>
            </w:tcMar>
          </w:tcPr>
          <w:p w:rsidR="005B0A8A" w:rsidRDefault="005B0A8A" w:rsidP="00A54F11">
            <w:r>
              <w:rPr>
                <w:b/>
                <w:bCs/>
                <w:color w:val="1A1A1A"/>
                <w:sz w:val="18"/>
                <w:szCs w:val="18"/>
              </w:rPr>
              <w:t>IMPORTANTE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Si MONGODB_MOCK no está en false, el comando de migraciones no se ejecutará y mostrará un error orientativo.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</w:pPr>
      <w:bookmarkStart w:id="34" w:name="_Toc228693700"/>
      <w:bookmarkStart w:id="35" w:name="_Toc228700456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7.3 Variables de configuración</w:t>
      </w:r>
      <w:bookmarkEnd w:id="34"/>
      <w:bookmarkEnd w:id="35"/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1"/>
        <w:gridCol w:w="5039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PUERTO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Puerto HTTP (default: 3000).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MONGODB_MOCK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false/0/no → cliente real; ausente u otro → simulado.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MONGODB_URI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Cadena de conexión (obligatoria si mock desactivado).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MONGODB_DB_NAME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Nombre de base de datos (default: notifications).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Pr="008A3F16" w:rsidRDefault="005B0A8A" w:rsidP="00A54F11">
            <w:pPr>
              <w:rPr>
                <w:lang w:val="en-US"/>
              </w:rPr>
            </w:pPr>
            <w:r w:rsidRPr="008A3F16">
              <w:rPr>
                <w:color w:val="000000"/>
                <w:sz w:val="18"/>
                <w:szCs w:val="18"/>
                <w:lang w:val="en-US"/>
              </w:rPr>
              <w:t>SMTP_HOST, SMTP_USER, SMTP_PASS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Credenciales SMTP. Activan AdaptadorCorreoSMTP si están todas presentes.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MAIL_FROM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Remitente del correo (obligatorio junto con SMTP_*).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DESTINATARIO_RECORDATORIO_MATRICULA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Override opcional para destinatario del recordatorio.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PLAZO_MATRICULA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Override opcional para el plazo del recordatorio.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</w:pPr>
      <w:bookmarkStart w:id="36" w:name="_Toc228693701"/>
      <w:bookmarkStart w:id="37" w:name="_Toc228700457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7.4 Mantenimiento y extensión</w:t>
      </w:r>
      <w:bookmarkEnd w:id="36"/>
      <w:bookmarkEnd w:id="37"/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Nueva plantilla en memoria: extender el mapa en AdaptadorPlantillasEnMemoria.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Nueva plantilla en Mongo: insertar/upsert en plantillas_correo o crear nueva migración.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Cambio de proveedor de correo: implementar nuevo adaptador que extienda PuertoEnvioCorreo y registrarlo en crearPuertoCorreoPorEntorno.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Trazabilidad Diseño-Requisitos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Necesidad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Realización en diseño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Envío de correo sin acoplar librería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Puerto PuertoEnvioCorreo + adaptadores intercambiables.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Plantillas editables y versionables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Mongo + migraciones; respaldo en memoria.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Verificación de salud operativa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GET /salud con estado de Mongo.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Prueba académica de flujo "recordatorio matrícula"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Caso de uso dedicado + constante de plantilla + destinatario de prueba.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9. Glosario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Puerto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Contrato que la aplicación usa para hablar con el exterior sin conocer la implementación.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Implementación concreta de un puerto (SMTP, Mongo, Express).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Marcador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Placeholder {{nombre}} sustituido en dominio mediante aplicarMarcadores.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Modo simulado Mongo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Sin URI real; plantillas y destinatario según reglas de fallback definidas en composición.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Vista de comportamientos (IEEE 1016)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</w:pPr>
      <w:bookmarkStart w:id="38" w:name="_Toc228693705"/>
      <w:bookmarkStart w:id="39" w:name="_Toc228700458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10.1 Secuencia: POST /notificaciones</w:t>
      </w:r>
      <w:bookmarkEnd w:id="38"/>
      <w:bookmarkEnd w:id="39"/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Express parsea JSON (express.json).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ControladorNotificaciones.enviar valida destinatario y asunto.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EnviarNotificacionCasoDeUso.ejecutar llama crearNotificacion (dominio).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PuertoEnvioCorreo.enviar — SMTP envía vía Nodemailer o simulador escribe en consola.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Respuesta 202 al cliente; errores no previstos pasan al middleware 500.</w:t>
      </w:r>
    </w:p>
    <w:p w:rsidR="005B0A8A" w:rsidRDefault="005B0A8A" w:rsidP="005B0A8A">
      <w:pPr>
        <w:spacing w:before="80"/>
      </w:pPr>
    </w:p>
    <w:p w:rsidR="005B0A8A" w:rsidRDefault="005B0A8A" w:rsidP="005B0A8A">
      <w:pPr>
        <w:pStyle w:val="Ttulo2"/>
      </w:pPr>
      <w:bookmarkStart w:id="40" w:name="_Toc228693706"/>
      <w:bookmarkStart w:id="41" w:name="_Toc228700459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10.2 Secuencia: POST /notificaciones/desde-plantilla</w:t>
      </w:r>
      <w:bookmarkEnd w:id="40"/>
      <w:bookmarkEnd w:id="41"/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Validación de campos y tipo de variables.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EnviarNotificacionConPlantillaCasoDeUso → obtenerRenderizado(id, variables) en puerto de plantillas (Mongo o memoria): aplica aplicarMarcadores a asunto, texto y HTML.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Construcción de notificación con destinatario y asunto renderizado.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Envío con texto + html opcional al puerto de correo.</w:t>
      </w:r>
    </w:p>
    <w:p w:rsidR="005B0A8A" w:rsidRDefault="005B0A8A" w:rsidP="005B0A8A">
      <w:pPr>
        <w:spacing w:before="80"/>
      </w:pPr>
    </w:p>
    <w:p w:rsidR="005B0A8A" w:rsidRDefault="005B0A8A" w:rsidP="005B0A8A">
      <w:pPr>
        <w:pStyle w:val="Ttulo2"/>
      </w:pPr>
      <w:bookmarkStart w:id="42" w:name="_Toc228693707"/>
      <w:bookmarkStart w:id="43" w:name="_Toc228700460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10.3 Secuencia: POST /notificaciones/recordatorio-matricula</w:t>
      </w:r>
      <w:bookmarkEnd w:id="42"/>
      <w:bookmarkEnd w:id="43"/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EnviarRecordatorioMatriculaCasoDeUso obtiene email desde PuertoDestinatarioPrueba (Mongo/null), luego variable de entorno, luego constante de respaldo.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Determina nombre y plazo con prioridades documentadas.</w:t>
      </w:r>
    </w:p>
    <w:p w:rsidR="005B0A8A" w:rsidRDefault="005B0A8A" w:rsidP="005B0A8A">
      <w:pPr>
        <w:pStyle w:val="Prrafodelista"/>
        <w:numPr>
          <w:ilvl w:val="0"/>
          <w:numId w:val="1"/>
        </w:numPr>
        <w:spacing w:before="40" w:after="60"/>
        <w:contextualSpacing w:val="0"/>
      </w:pPr>
      <w:r>
        <w:rPr>
          <w:color w:val="000000"/>
        </w:rPr>
        <w:t>Delega en EnviarNotificacionConPlantillaCasoDeUso con ID_PLANTILLA_RECORDATORIO_MATRICULA.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pStyle w:val="Ttulo2"/>
      </w:pPr>
      <w:bookmarkStart w:id="44" w:name="_Toc228693708"/>
      <w:bookmarkStart w:id="45" w:name="_Toc228700461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10.4 Estados de la conexión Mongo</w:t>
      </w:r>
      <w:bookmarkEnd w:id="44"/>
      <w:bookmarkEnd w:id="45"/>
    </w:p>
    <w:p w:rsidR="005B0A8A" w:rsidRDefault="005B0A8A" w:rsidP="005B0A8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interno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estaConectado(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modo(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Tras conectar() en simulado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simulado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Tras conectar() con cliente real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mongodb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Tras desconectar()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según clase — cliente null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11. Vista de Despliegue y Ejecución: 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Ubicación / Comando</w:t>
            </w:r>
          </w:p>
        </w:tc>
      </w:tr>
      <w:tr w:rsidR="005B0A8A" w:rsidRPr="008A3F16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Binario de arranque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Pr="008A3F16" w:rsidRDefault="005B0A8A" w:rsidP="00A54F11">
            <w:pPr>
              <w:rPr>
                <w:lang w:val="en-US"/>
              </w:rPr>
            </w:pPr>
            <w:r w:rsidRPr="008A3F16">
              <w:rPr>
                <w:color w:val="000000"/>
                <w:sz w:val="18"/>
                <w:szCs w:val="18"/>
                <w:lang w:val="en-US"/>
              </w:rPr>
              <w:t>node src/server.js  (vía npm start)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Variables de entorno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Archivo .env en raíz (no versionado); cargado por dotenv.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Migraciones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npm run migrate — requiere Mongo real según script.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Señales OS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SIGINT y SIGTERM cierran HTTP y Mongo de forma ordenada.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 Inventario de Artefactos Fuente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 en el diseño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src/server.js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Punto de entrada, ciclo de vida del proceso Node.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src/bootstrap/componerAplicacion.js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Composición raíz (IEEE: vista de integración).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src/bootstrap/crearConexionMongoPorEntorno.js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Factoría de conexión Mongo según entorno.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src/bootstrap/crearPuertoCorreoPorEntorno.js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Factoría de adaptador de correo.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src/bootstrap/obtenerBaseDatosDesdeConexion.js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Extracción tipada de Db.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src/domain/*.js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Modelo y políticas de sustitución de marcadores.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src/application/*.js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Casos de uso de la aplicación.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src/ports/*.js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Contratos (puertos) del dominio.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src/adapters/http/*.js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 de entrada REST.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src/adapters/mail/*.js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Adaptadores de salida para correo.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src/adapters/plantillas/*.js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Adaptadores para plantillas de correo.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src/adapters/persistencia/mongo/*.js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Adaptadores para MongoDB.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src/contenidoPlantillas/*.js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Contenido compartido migraciones/memoria.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migrations/mongo/*.mjs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Evolución de esquema y datos.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scripts/ejecutar-migraciones.mongo.mjs</w:t>
            </w:r>
          </w:p>
        </w:tc>
        <w:tc>
          <w:tcPr>
            <w:tcW w:w="4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Herramienta de migración.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13. Correspondencia ISO/IEC 12207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spacing w:before="60" w:after="80"/>
        <w:jc w:val="both"/>
      </w:pPr>
      <w:r>
        <w:rPr>
          <w:color w:val="000000"/>
        </w:rPr>
        <w:t>ISO/IEC 12207 organiza los procesos del ciclo de vida del software. La siguiente tabla mapea las actividades del proyecto con las evidencias en el repositorio (no sustituye una certificación formal; sirve como mapa de trazabilidad).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Grupo / Proceso (12207)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Evidencia en el proyecto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Establecimiento del proyecto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package.json, README/ENTREGAS si existen.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Análisis de requisitos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Casos de uso en application/, rutas HTTP definidas.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Diseño arquitectónico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Este manual, estructura hexagonal.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Implementación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Código fuente en src/.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Integración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componerAplicacion.js, server.js.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lastRenderedPageBreak/>
              <w:t>Pruebas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Postman, docs/PRUEBAS_FUNCIONALES.md (si incluido en la versión entregada).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Instalación / entrega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proofErr w:type="gramStart"/>
            <w:r>
              <w:rPr>
                <w:color w:val="000000"/>
                <w:sz w:val="18"/>
                <w:szCs w:val="18"/>
              </w:rPr>
              <w:t>.env</w:t>
            </w:r>
            <w:proofErr w:type="gramEnd"/>
            <w:r>
              <w:rPr>
                <w:color w:val="000000"/>
                <w:sz w:val="18"/>
                <w:szCs w:val="18"/>
              </w:rPr>
              <w:t>.example, scripts npm.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Mantenimiento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Puertos intercambiables, migraciones incrementales.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14. Decisiones de Diseño (Rationale)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Alternativa rechazada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Arquitectura hexagonal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MVC tradicional con SQL directo en controladores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Testabilidad y cambio de proveedor sin modificar la capa HTTP.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JSON + Express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Framework full-stack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Alcance API-only; menor superficie de dependencias.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Marcadores {{}}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Motor de plantillas pesado (Handlebars, etc.)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Dependencias mínimas y control explícito del proceso.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202 en envíos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200 síncrono "enviado"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SMTP puede tardar; semántica HTTP de aceptación asíncrona.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Mongo opcional simulado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Exigir Docker siempre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Reduce fricción en desarrollo local sin infraestructura.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 Historial de Revisiones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5B0A8A" w:rsidTr="00A54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B0A8A" w:rsidRDefault="005B0A8A" w:rsidP="00A54F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2026-04-28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Versión inicial alineada con código 0.5.3.</w:t>
            </w:r>
          </w:p>
        </w:tc>
      </w:tr>
      <w:tr w:rsidR="005B0A8A" w:rsidTr="00A54F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2026-04-28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B0A8A" w:rsidRDefault="005B0A8A" w:rsidP="00A54F11">
            <w:r>
              <w:rPr>
                <w:color w:val="000000"/>
                <w:sz w:val="18"/>
                <w:szCs w:val="18"/>
              </w:rPr>
              <w:t>Ampliación: comportamiento, despliegue, inventario, ISO 12207, rationale.</w:t>
            </w:r>
          </w:p>
        </w:tc>
      </w:tr>
    </w:tbl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</w:p>
    <w:p w:rsidR="005B0A8A" w:rsidRPr="00A608C1" w:rsidRDefault="005B0A8A" w:rsidP="005B0A8A">
      <w:pPr>
        <w:tabs>
          <w:tab w:val="left" w:pos="2554"/>
        </w:tabs>
        <w:rPr>
          <w:b/>
          <w:bCs/>
          <w:sz w:val="24"/>
          <w:szCs w:val="24"/>
        </w:rPr>
      </w:pPr>
      <w:r w:rsidRPr="00A608C1">
        <w:rPr>
          <w:b/>
          <w:bCs/>
          <w:sz w:val="24"/>
          <w:szCs w:val="24"/>
        </w:rPr>
        <w:lastRenderedPageBreak/>
        <w:t xml:space="preserve">Referencias: </w:t>
      </w:r>
    </w:p>
    <w:p w:rsidR="005B0A8A" w:rsidRPr="00270F63" w:rsidRDefault="005B0A8A" w:rsidP="005B0A8A">
      <w:pPr>
        <w:spacing w:before="80"/>
        <w:rPr>
          <w:color w:val="000000" w:themeColor="text1"/>
          <w:sz w:val="24"/>
          <w:szCs w:val="24"/>
        </w:rPr>
      </w:pP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Alter, S. (2013). Teoría del Sistema de Trabajo: Panorama de los Conceptos Fundamentales, Extensiones y Desafíos para el Futuro. Nueva York.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</w:rPr>
        <w:t xml:space="preserve">Amazon Web Services. (s. f.). ¿Qué es una API RESTful? </w:t>
      </w:r>
      <w:r w:rsidRPr="00270F63">
        <w:rPr>
          <w:color w:val="000000" w:themeColor="text1"/>
          <w:sz w:val="24"/>
          <w:szCs w:val="24"/>
          <w:lang w:val="en-US"/>
        </w:rPr>
        <w:t>Amazon Web Services, Inc. https://aws.amazon.com/es/what-is/restful-api/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  <w:lang w:val="en-US"/>
        </w:rPr>
        <w:t xml:space="preserve">Bass, L., Clements, P., &amp; Kazman, R. (2015). Software Architecture in Practice (3.ª ed.). </w:t>
      </w:r>
      <w:r w:rsidRPr="00270F63">
        <w:rPr>
          <w:color w:val="000000" w:themeColor="text1"/>
          <w:sz w:val="24"/>
          <w:szCs w:val="24"/>
        </w:rPr>
        <w:t>Addison-Wesley.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Castillo Estrada, C. M., Cancino Villatoro, K., Benavides García, V., &amp; de la Cruz Vázquez, A. (2022). Diseño de un Sistema web para el control de Curriculum Vitae Electrónico de personal docente basado en una arquitectura orientada a servicios (API REST). Revista de Investigación en Tecnologías de la Información, 10(20), 28–42.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</w:rPr>
        <w:t xml:space="preserve">Congreso de la República de Colombia. (2012). Ley 1581 de 2012, por la cual se dictan disposiciones generales para la protección de datos personales. </w:t>
      </w:r>
      <w:r w:rsidRPr="00270F63">
        <w:rPr>
          <w:color w:val="000000" w:themeColor="text1"/>
          <w:sz w:val="24"/>
          <w:szCs w:val="24"/>
          <w:lang w:val="en-US"/>
        </w:rPr>
        <w:t>Diario Oficial No. 48.587.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Fielding, R. T. (2000). Architectural Styles and the Design of Network-based Software Architectures [Tesis doctoral]. University of California, Irvine.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Hrytsay, T. (2020). Autentificación mediante OAuth2.0 con Token JWT. [Trabajo académico].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IEEE. (2018). ISO/IEC/IEEE 29148:2018 — Systems and software engineering — Life cycle processes — Requirements engineering. IEEE.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International Organization for Standardization. (2011). ISO/IEC/IEEE 42010:2011 — Systems and software engineering — Architecture description. ISO/IEC.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International Organization for Standardization. (2013). ISO/IEC 27001:2013 — Information security management systems — Requirements. ISO.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International Organization for Standardization. (2017). ISO/IEC/IEEE 12207:2017 — Systems and software engineering — Software life cycle processes. IEEE.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  <w:lang w:val="en-US"/>
        </w:rPr>
        <w:t xml:space="preserve">International Organization for Standardization. (2011). ISO/IEC 25010:2011 — Systems and software engineering — Systems and software Quality Requirements and Evaluation (SQuaRE). </w:t>
      </w:r>
      <w:r w:rsidRPr="00270F63">
        <w:rPr>
          <w:color w:val="000000" w:themeColor="text1"/>
          <w:sz w:val="24"/>
          <w:szCs w:val="24"/>
        </w:rPr>
        <w:t>ISO.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Jorge, B. F. (2019). Aplicación de metodologías de creación de APIs en diferentes frameworks de desarrollo web utilizando elementos ORM [Trabajo académico].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  <w:lang w:val="en-US"/>
        </w:rPr>
        <w:t xml:space="preserve">Laudon, K. C., &amp; Laudon, J. P. (2012). </w:t>
      </w:r>
      <w:r w:rsidRPr="00270F63">
        <w:rPr>
          <w:color w:val="000000" w:themeColor="text1"/>
          <w:sz w:val="24"/>
          <w:szCs w:val="24"/>
        </w:rPr>
        <w:t>Sistemas de Información Gerencial (12.ª ed.). Pearson Educación.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Martínez, J. C., &amp; Santamarta, R. (s. f.). Sistema de envío y gestión de comunicaciones. Universidad Politécnica de Madrid. https://oa.upm.es/47200/1/TFG_JORGE_MARTINEZ_GARCIA-SAAVEDRA.pdf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</w:rPr>
        <w:lastRenderedPageBreak/>
        <w:t xml:space="preserve">Microsoft Learn. (s. f.). Crear plantillas para correo electrónico. </w:t>
      </w:r>
      <w:r w:rsidRPr="00270F63">
        <w:rPr>
          <w:color w:val="000000" w:themeColor="text1"/>
          <w:sz w:val="24"/>
          <w:szCs w:val="24"/>
          <w:lang w:val="en-US"/>
        </w:rPr>
        <w:t>Power Platform. https://learn.microsoft.com/es-es/power-platform/admin/create-templates-email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  <w:lang w:val="en-US"/>
        </w:rPr>
      </w:pPr>
      <w:r w:rsidRPr="00270F63">
        <w:rPr>
          <w:color w:val="000000" w:themeColor="text1"/>
          <w:sz w:val="24"/>
          <w:szCs w:val="24"/>
          <w:lang w:val="en-US"/>
        </w:rPr>
        <w:t>MongoDB, Inc. (2026). MongoDB: The World's Leading Modern Data Platform. https://www.mongodb.com/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Presidencia de la República de Colombia. (2013). Decreto 1377 de 2013, por el cual se reglamenta parcialmente la Ley 1581 de 2012. Diario Oficial de Colombia.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Pressman, R. S., &amp; Maxim, B. R. (2015). Ingeniería del software: un enfoque práctico (8.ª ed.). McGraw-Hill.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proofErr w:type="spellStart"/>
      <w:r w:rsidRPr="00270F63">
        <w:rPr>
          <w:color w:val="000000" w:themeColor="text1"/>
          <w:sz w:val="24"/>
          <w:szCs w:val="24"/>
        </w:rPr>
        <w:t>Radu</w:t>
      </w:r>
      <w:proofErr w:type="spellEnd"/>
      <w:r w:rsidRPr="00270F63">
        <w:rPr>
          <w:color w:val="000000" w:themeColor="text1"/>
          <w:sz w:val="24"/>
          <w:szCs w:val="24"/>
        </w:rPr>
        <w:t>, D. B. (2019). Herramientas y buenas prácticas para el desarrollo, mantenimiento y evolución de Software en Java. Archivo Digital UPM.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</w:rPr>
        <w:t>Salcedo, G. A. (2020). Modelo de autenticación única para la gestión y visualización de componentes web orientados a servicios. http://hdl.handle.net/11349/25600</w:t>
      </w:r>
    </w:p>
    <w:p w:rsidR="005B0A8A" w:rsidRPr="00270F63" w:rsidRDefault="005B0A8A" w:rsidP="005B0A8A">
      <w:pPr>
        <w:spacing w:before="40" w:after="100"/>
        <w:ind w:left="720" w:hanging="720"/>
        <w:jc w:val="both"/>
        <w:rPr>
          <w:color w:val="000000" w:themeColor="text1"/>
          <w:sz w:val="24"/>
          <w:szCs w:val="24"/>
        </w:rPr>
      </w:pPr>
      <w:r w:rsidRPr="00270F63">
        <w:rPr>
          <w:color w:val="000000" w:themeColor="text1"/>
          <w:sz w:val="24"/>
          <w:szCs w:val="24"/>
          <w:lang w:val="en-US"/>
        </w:rPr>
        <w:t xml:space="preserve">Sommerville, I. (2016). Software Engineering (10.ª ed.). </w:t>
      </w:r>
      <w:r w:rsidRPr="00270F63">
        <w:rPr>
          <w:color w:val="000000" w:themeColor="text1"/>
          <w:sz w:val="24"/>
          <w:szCs w:val="24"/>
        </w:rPr>
        <w:t>Pearson.</w:t>
      </w: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Default="005B0A8A" w:rsidP="005B0A8A">
      <w:pPr>
        <w:spacing w:after="80"/>
        <w:jc w:val="center"/>
        <w:rPr>
          <w:b/>
          <w:bCs/>
          <w:color w:val="000000" w:themeColor="text1"/>
          <w:sz w:val="24"/>
          <w:szCs w:val="24"/>
        </w:rPr>
      </w:pPr>
    </w:p>
    <w:p w:rsidR="005B0A8A" w:rsidRPr="005B0A8A" w:rsidRDefault="005B0A8A" w:rsidP="005B0A8A">
      <w:pPr>
        <w:jc w:val="center"/>
      </w:pPr>
    </w:p>
    <w:sectPr w:rsidR="005B0A8A" w:rsidRPr="005B0A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24104"/>
    <w:multiLevelType w:val="hybridMultilevel"/>
    <w:tmpl w:val="D966B03E"/>
    <w:lvl w:ilvl="0" w:tplc="DCEE5266">
      <w:start w:val="1"/>
      <w:numFmt w:val="bullet"/>
      <w:lvlText w:val="•"/>
      <w:lvlJc w:val="left"/>
      <w:pPr>
        <w:ind w:left="560" w:hanging="280"/>
      </w:pPr>
    </w:lvl>
    <w:lvl w:ilvl="1" w:tplc="9FC4B940">
      <w:numFmt w:val="decimal"/>
      <w:lvlText w:val=""/>
      <w:lvlJc w:val="left"/>
    </w:lvl>
    <w:lvl w:ilvl="2" w:tplc="3F90E5CA">
      <w:numFmt w:val="decimal"/>
      <w:lvlText w:val=""/>
      <w:lvlJc w:val="left"/>
    </w:lvl>
    <w:lvl w:ilvl="3" w:tplc="2CB230F6">
      <w:numFmt w:val="decimal"/>
      <w:lvlText w:val=""/>
      <w:lvlJc w:val="left"/>
    </w:lvl>
    <w:lvl w:ilvl="4" w:tplc="B98CAECE">
      <w:numFmt w:val="decimal"/>
      <w:lvlText w:val=""/>
      <w:lvlJc w:val="left"/>
    </w:lvl>
    <w:lvl w:ilvl="5" w:tplc="98627904">
      <w:numFmt w:val="decimal"/>
      <w:lvlText w:val=""/>
      <w:lvlJc w:val="left"/>
    </w:lvl>
    <w:lvl w:ilvl="6" w:tplc="08FE72A6">
      <w:numFmt w:val="decimal"/>
      <w:lvlText w:val=""/>
      <w:lvlJc w:val="left"/>
    </w:lvl>
    <w:lvl w:ilvl="7" w:tplc="DEFE3A02">
      <w:numFmt w:val="decimal"/>
      <w:lvlText w:val=""/>
      <w:lvlJc w:val="left"/>
    </w:lvl>
    <w:lvl w:ilvl="8" w:tplc="D74400A0">
      <w:numFmt w:val="decimal"/>
      <w:lvlText w:val=""/>
      <w:lvlJc w:val="left"/>
    </w:lvl>
  </w:abstractNum>
  <w:num w:numId="1" w16cid:durableId="190336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8A"/>
    <w:rsid w:val="003E6F32"/>
    <w:rsid w:val="005B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771D54"/>
  <w15:chartTrackingRefBased/>
  <w15:docId w15:val="{3DE8896F-D800-1E42-BDDF-593A4AA6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A8A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B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A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A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A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A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A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A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A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A8A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5B0A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A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A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A8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B0A8A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5B0A8A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5B0A8A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5B0A8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5B0A8A"/>
    <w:pPr>
      <w:ind w:left="400"/>
    </w:pPr>
    <w:rPr>
      <w:rFonts w:asciiTheme="minorHAnsi" w:hAnsiTheme="minorHAnsi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5B0A8A"/>
    <w:pPr>
      <w:ind w:left="600"/>
    </w:pPr>
    <w:rPr>
      <w:rFonts w:asciiTheme="minorHAnsi" w:hAnsiTheme="minorHAnsi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5B0A8A"/>
    <w:pPr>
      <w:ind w:left="800"/>
    </w:pPr>
    <w:rPr>
      <w:rFonts w:asciiTheme="minorHAnsi" w:hAnsiTheme="minorHAnsi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5B0A8A"/>
    <w:pPr>
      <w:ind w:left="1000"/>
    </w:pPr>
    <w:rPr>
      <w:rFonts w:asciiTheme="minorHAnsi" w:hAnsiTheme="minorHAnsi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5B0A8A"/>
    <w:pPr>
      <w:ind w:left="1200"/>
    </w:pPr>
    <w:rPr>
      <w:rFonts w:asciiTheme="minorHAnsi" w:hAnsiTheme="minorHAnsi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5B0A8A"/>
    <w:pPr>
      <w:ind w:left="1400"/>
    </w:pPr>
    <w:rPr>
      <w:rFonts w:asciiTheme="minorHAnsi" w:hAnsiTheme="minorHAns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5B0A8A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8F4657-D254-B44E-951B-A2659D427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3586</Words>
  <Characters>19729</Characters>
  <Application>Microsoft Office Word</Application>
  <DocSecurity>0</DocSecurity>
  <Lines>164</Lines>
  <Paragraphs>46</Paragraphs>
  <ScaleCrop>false</ScaleCrop>
  <Company/>
  <LinksUpToDate>false</LinksUpToDate>
  <CharactersWithSpaces>23269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Rodriguez Jaramillo</dc:creator>
  <cp:keywords/>
  <dc:description/>
  <cp:lastModifiedBy>Leidy Rodriguez Jaramillo</cp:lastModifiedBy>
  <cp:revision>1</cp:revision>
  <dcterms:created xsi:type="dcterms:W3CDTF">2026-05-03T16:26:00Z</dcterms:created>
  <dcterms:modified xsi:type="dcterms:W3CDTF">2026-05-03T16:36:00Z</dcterms:modified>
</cp:coreProperties>
</file>