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0CBD" w:rsidRDefault="00A60CB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A60CBD" w:rsidRDefault="00A60CB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:rsidR="00A60CBD" w:rsidRDefault="00A60CBD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2</w:t>
      </w:r>
    </w:p>
    <w:p w:rsidR="00A60CBD" w:rsidRDefault="00A60CB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A60CBD" w:rsidRDefault="00A60CBD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                                             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>NAME:</w:t>
      </w:r>
      <w:r>
        <w:rPr>
          <w:rFonts w:ascii="Arial" w:eastAsia="Arial" w:hAnsi="Arial" w:cs="Arial"/>
          <w:b/>
          <w:bCs/>
        </w:rPr>
        <w:t xml:space="preserve"> EKALAIVAN L</w:t>
      </w:r>
      <w:r>
        <w:rPr>
          <w:rFonts w:ascii="Arial" w:eastAsia="Arial" w:hAnsi="Arial" w:cs="Arial"/>
          <w:b/>
          <w:bCs/>
        </w:rPr>
        <w:tab/>
        <w:t xml:space="preserve">                                                                                                    </w:t>
      </w:r>
      <w:bookmarkStart w:id="0" w:name="_GoBack"/>
      <w:bookmarkEnd w:id="0"/>
      <w:r>
        <w:rPr>
          <w:rFonts w:ascii="Arial" w:eastAsia="Arial" w:hAnsi="Arial" w:cs="Arial"/>
          <w:b/>
          <w:bCs/>
        </w:rPr>
        <w:t>DATA: 18/8/2026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:rsidR="00A60CBD" w:rsidRDefault="00A60CBD">
      <w:pPr>
        <w:rPr>
          <w:rFonts w:ascii="Arial" w:eastAsia="Arial" w:hAnsi="Arial" w:cs="Arial"/>
          <w:b/>
          <w:bCs/>
        </w:rPr>
      </w:pP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60CBD" w:rsidRDefault="00A60CB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HLZKgIAAEkEAAAOAAAAZHJzL2Uyb0RvYy54bWysVNuO0zAQfUfiHyy/0zRJS7dR0xXaUoS0&#10;goqFD5g6TmLJN2y3af+esVPaAg9IiDw4M/H4zJnjmaweT0qSI3deGF3TfDKlhGtmGqG7mn77un3z&#10;QIkPoBuQRvOanrmnj+vXr1aDrXhheiMb7giCaF8NtqZ9CLbKMs96rsBPjOUaN1vjFAR0XZc1DgZE&#10;VzIrptO32WBcY51h3Hv8uhk36Trhty1n4XPbeh6IrClyC2l1ad3HNVuvoOoc2F6wCw34BxYKhMak&#10;V6gNBCAHJ/6AUoI5400bJsyozLStYDzVgNXk09+qeenB8lQLiuPtVSb//2DZp+POEdHUtKBEg8Ir&#10;+oKige4kJ0WUZ7C+wqgXu3MXz6MZaz21TsU3VkFOCDBbLItlScm5puViUU7z+SgvPwXCMGC+KMsZ&#10;fiQMI/JyuUjyZzcg63z4wI0i0aipQyJJVDg++4DJMfRnSMyrzVZImW5QajLUdDkvIjpgH7USAprK&#10;YmVedwnGGymaeCQe9q7bP0lHjhA7Iz2RLab4JSzm24Dvx7i0NRalRMDGlULV9OF6GqqeQ/NeNySc&#10;LUqpsedpZOYVJZLjhKCRCAcQ8u9xyEZqJBXvYFQ9WuG0PyFINPemOeP9ecu2Apk+gw87cNjBOabF&#10;rsaE3w/gkIT8qLFtlvksShTuHXfv7O8d0Kw3OCwsOEpG5ymk4Rnlf3cIphXpZm5kLnSxX5Oal9mK&#10;A3Hvp6jbH2D9AwAA//8DAFBLAwQUAAYACAAAACEA/JBSO9oAAAADAQAADwAAAGRycy9kb3ducmV2&#10;LnhtbEyPzU7DMBCE70i8g7VI3KgD/QshToVAiAuXhorzJt4mEfY6it005ekxXNrLSqMZzXybbyZr&#10;xEiD7xwruJ8lIIhrpztuFOw+3+5SED4gazSOScGJPGyK66scM+2OvKWxDI2IJewzVNCG0GdS+rol&#10;i37meuLo7d1gMUQ5NFIPeIzl1siHJFlJix3HhRZ7emmp/i4PVsH6Zz9WZmm6j3Tu3/XX6yndNaVS&#10;tzfT8xOIQFM4h+EPP6JDEZkqd2DthVEQHwn/N3qPyWIBolIwX4MscnnJXvwCAAD//wMAUEsBAi0A&#10;FAAGAAgAAAAhALaDOJL+AAAA4QEAABMAAAAAAAAAAAAAAAAAAAAAAFtDb250ZW50X1R5cGVzXS54&#10;bWxQSwECLQAUAAYACAAAACEAOP0h/9YAAACUAQAACwAAAAAAAAAAAAAAAAAvAQAAX3JlbHMvLnJl&#10;bHNQSwECLQAUAAYACAAAACEAiYhy2SoCAABJBAAADgAAAAAAAAAAAAAAAAAuAgAAZHJzL2Uyb0Rv&#10;Yy54bWxQSwECLQAUAAYACAAAACEA/JBSO9oAAAADAQAADwAAAAAAAAAAAAAAAACEBAAAZHJzL2Rv&#10;d25yZXYueG1sUEsFBgAAAAAEAAQA8wAAAIs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A60CBD" w:rsidRDefault="00A60CBD"/>
                  </w:txbxContent>
                </v:textbox>
                <w10:anchorlock/>
              </v:rect>
            </w:pict>
          </mc:Fallback>
        </mc:AlternateContent>
      </w:r>
    </w:p>
    <w:p w:rsidR="00A60CBD" w:rsidRDefault="00A60CBD">
      <w:pPr>
        <w:rPr>
          <w:rFonts w:ascii="Arial" w:eastAsia="Arial" w:hAnsi="Arial" w:cs="Arial"/>
          <w:b/>
          <w:bCs/>
        </w:rPr>
      </w:pP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:rsidR="00A60CBD" w:rsidRDefault="00A60CBD">
      <w:pPr>
        <w:rPr>
          <w:rFonts w:ascii="Arial" w:eastAsia="Arial" w:hAnsi="Arial" w:cs="Arial"/>
          <w:b/>
          <w:bCs/>
        </w:rPr>
      </w:pPr>
    </w:p>
    <w:p w:rsidR="00A60CBD" w:rsidRDefault="00A60CBD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:rsidR="00A60CBD" w:rsidRDefault="00A60CBD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:rsidR="00A60CBD" w:rsidRDefault="00A60CBD">
      <w:pPr>
        <w:rPr>
          <w:rFonts w:ascii="Arial" w:eastAsia="Arial" w:hAnsi="Arial" w:cs="Arial"/>
          <w:i/>
          <w:iCs/>
        </w:rPr>
      </w:pPr>
    </w:p>
    <w:p w:rsidR="00A60CBD" w:rsidRDefault="00A60CB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:rsidR="00A60CBD" w:rsidRDefault="00A60CBD">
      <w:pPr>
        <w:rPr>
          <w:rFonts w:ascii="Arial" w:eastAsia="Arial" w:hAnsi="Arial" w:cs="Arial"/>
          <w:i/>
          <w:iCs/>
        </w:rPr>
      </w:pPr>
    </w:p>
    <w:p w:rsidR="00A60CBD" w:rsidRDefault="00A60CBD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60CBD" w:rsidRDefault="00A60CB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trnLgIAAFAEAAAOAAAAZHJzL2Uyb0RvYy54bWysVNuO0zAQfUfiHyy/0zRNS7dR0xXaUoS0&#10;goqFD5g6TmLJN2y3Sf+esVPaAg9IiD64Hnt85syZmawfByXJiTsvjK5oPplSwjUztdBtRb993b15&#10;oMQH0DVIo3lFz9zTx83rV+velnxmOiNr7giCaF/2tqJdCLbMMs86rsBPjOUaLxvjFAQ0XZvVDnpE&#10;VzKbTadvs9642jrDuPd4uh0v6SbhNw1n4XPTeB6IrChyC2l1aT3ENdusoWwd2E6wCw34BxYKhMag&#10;V6gtBCBHJ/6AUoI5400TJsyozDSNYDzlgNnk09+yeenA8pQLiuPtVSb//2DZp9PeEVFj7SjRoLBE&#10;X1A00K3kJI/y9NaX6PVi9+5iedzGXIfGqfiPWZChorP5cjVbFZScK1osl8U0X4zy8iEQhg6LZVHM&#10;8ZAw9MiL1TLJn92ArPPhAzeKxE1FHRJJosLp2QcMjq4/XWJcbXZCylRBqUlf0dViFtEB+6iREHCr&#10;LGbmdZtgvJGijk/iY+/aw5N05ASxM9IvssUQv7jFeFvw3eiXrsaklAjYuFKoij5cX0PZcajf65qE&#10;s0UpNfY8jcy8okRynBDcJMIBhPy7H7KRGknFGoyqx10YDsOlZIgVTw6mPmMZvWU7gYSfwYc9OGxk&#10;LGqPzY1xvx/BIRf5UWP3rPJ5VCrcG+7eONwboFlncGZYcJSMxlNIMzRW4d0xmEakAt3IXFhj2yZR&#10;LyMW5+LeTl63D8HmBwAAAP//AwBQSwMEFAAGAAgAAAAhAPyQUjvaAAAAAwEAAA8AAABkcnMvZG93&#10;bnJldi54bWxMj81OwzAQhO9IvIO1SNyoA/0LIU6FQIgLl4aK8ybeJhH2OordNOXpMVzay0qjGc18&#10;m28ma8RIg+8cK7ifJSCIa6c7bhTsPt/uUhA+IGs0jknBiTxsiuurHDPtjrylsQyNiCXsM1TQhtBn&#10;Uvq6JYt+5nri6O3dYDFEOTRSD3iM5dbIhyRZSYsdx4UWe3ppqf4uD1bB+mc/VmZpuo907t/11+sp&#10;3TWlUrc30/MTiEBTOIfhDz+iQxGZKndg7YVREB8J/zd6j8liAaJSMF+DLHJ5yV78AgAA//8DAFBL&#10;AQItABQABgAIAAAAIQC2gziS/gAAAOEBAAATAAAAAAAAAAAAAAAAAAAAAABbQ29udGVudF9UeXBl&#10;c10ueG1sUEsBAi0AFAAGAAgAAAAhADj9If/WAAAAlAEAAAsAAAAAAAAAAAAAAAAALwEAAF9yZWxz&#10;Ly5yZWxzUEsBAi0AFAAGAAgAAAAhAGaS2ucuAgAAUAQAAA4AAAAAAAAAAAAAAAAALgIAAGRycy9l&#10;Mm9Eb2MueG1sUEsBAi0AFAAGAAgAAAAhAPyQUjvaAAAAAwEAAA8AAAAAAAAAAAAAAAAAiAQAAGRy&#10;cy9kb3ducmV2LnhtbFBLBQYAAAAABAAEAPMAAACP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A60CBD" w:rsidRDefault="00A60CBD"/>
                  </w:txbxContent>
                </v:textbox>
                <w10:anchorlock/>
              </v:rect>
            </w:pict>
          </mc:Fallback>
        </mc:AlternateContent>
      </w: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1 hour</w:t>
      </w:r>
    </w:p>
    <w:p w:rsidR="00A60CBD" w:rsidRDefault="00A60CBD">
      <w:pPr>
        <w:rPr>
          <w:rFonts w:ascii="Arial" w:eastAsia="Arial" w:hAnsi="Arial" w:cs="Arial"/>
        </w:rPr>
      </w:pP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   Total Marks:40</w:t>
      </w:r>
    </w:p>
    <w:p w:rsidR="00A60CBD" w:rsidRDefault="00A60CB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:rsidR="00A60CBD" w:rsidRDefault="00A60CBD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:rsidR="00A60CBD" w:rsidRDefault="00A60CBD">
      <w:pPr>
        <w:jc w:val="center"/>
        <w:rPr>
          <w:rFonts w:ascii="Arial" w:eastAsia="Arial" w:hAnsi="Arial" w:cs="Arial"/>
          <w:b/>
          <w:bCs/>
        </w:rPr>
      </w:pPr>
    </w:p>
    <w:p w:rsidR="00A60CBD" w:rsidRDefault="00A60CBD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ARTICLE REVIEW</w:t>
      </w:r>
    </w:p>
    <w:p w:rsidR="00A60CBD" w:rsidRDefault="00A60CBD">
      <w:pPr>
        <w:rPr>
          <w:rFonts w:ascii="Arial" w:eastAsia="Arial" w:hAnsi="Arial" w:cs="Arial"/>
          <w:b/>
          <w:bCs/>
        </w:rPr>
      </w:pPr>
    </w:p>
    <w:p w:rsidR="00A60CBD" w:rsidRDefault="00A60C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A60CBD" w:rsidRDefault="00A60CBD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ifLQIAAFAEAAAOAAAAZHJzL2Uyb0RvYy54bWysVNuO0zAQfUfiHyy/0zRJS7dR0xXaUoS0&#10;goqFD5g6TmLJN2y3af+esVPaAg9IiD64Hnt85syZmaweT0qSI3deGF3TfDKlhGtmGqG7mn77un3z&#10;QIkPoBuQRvOanrmnj+vXr1aDrXhheiMb7giCaF8NtqZ9CLbKMs96rsBPjOUaL1vjFAQ0XZc1DgZE&#10;VzIrptO32WBcY51h3Hs83YyXdJ3w25az8LltPQ9E1hS5hbS6tO7jmq1XUHUObC/YhQb8AwsFQmPQ&#10;K9QGApCDE39AKcGc8aYNE2ZUZtpWMJ5ywGzy6W/ZvPRgecoFxfH2KpP/f7Ds03HniGhqWlKiQWGJ&#10;vqBooDvJSRnlGayv0OvF7tzF8riNuZ5ap+I/ZkFONS1mi2WxRJgzgi0W5TSfj/LyUyAMHeaLspzh&#10;IWHokZfLRZI/uwFZ58MHbhSJm5o6JJJEheOzDxgcXX+6xLjabIWUqYJSk6Gmy3kR0QH7qJUQcKss&#10;ZuZ1l2C8kaKJT+Jj77r9k3TkCLEz0i+yxRC/uMV4G/D96JeuxqSUCNi4UqiaPlxfQ9VzaN7rhoSz&#10;RSk19jyNzLyiRHKcENwkwgGE/LsfspEaScUajKrHXTjtT6lkRcSKJ3vTnLGM3rKtQMLP4MMOHDZy&#10;jtGxuTHu9wM45CI/auyeZT6LSoV7w90b+3sDNOsNzgwLjpLReApphsYqvDsE04pUoBuZC2ts2yTq&#10;ZcTiXNzbyev2IVj/AAAA//8DAFBLAwQUAAYACAAAACEA/JBSO9oAAAADAQAADwAAAGRycy9kb3du&#10;cmV2LnhtbEyPzU7DMBCE70i8g7VI3KgD/QshToVAiAuXhorzJt4mEfY6it005ekxXNrLSqMZzXyb&#10;byZrxEiD7xwruJ8lIIhrpztuFOw+3+5SED4gazSOScGJPGyK66scM+2OvKWxDI2IJewzVNCG0GdS&#10;+roli37meuLo7d1gMUQ5NFIPeIzl1siHJFlJix3HhRZ7emmp/i4PVsH6Zz9WZmm6j3Tu3/XX6ynd&#10;NaVStzfT8xOIQFM4h+EPP6JDEZkqd2DthVEQHwn/N3qPyWIBolIwX4MscnnJXvwCAAD//wMAUEsB&#10;Ai0AFAAGAAgAAAAhALaDOJL+AAAA4QEAABMAAAAAAAAAAAAAAAAAAAAAAFtDb250ZW50X1R5cGVz&#10;XS54bWxQSwECLQAUAAYACAAAACEAOP0h/9YAAACUAQAACwAAAAAAAAAAAAAAAAAvAQAAX3JlbHMv&#10;LnJlbHNQSwECLQAUAAYACAAAACEAcjcYny0CAABQBAAADgAAAAAAAAAAAAAAAAAuAgAAZHJzL2Uy&#10;b0RvYy54bWxQSwECLQAUAAYACAAAACEA/JBSO9oAAAADAQAADwAAAAAAAAAAAAAAAACHBAAAZHJz&#10;L2Rvd25yZXYueG1sUEsFBgAAAAAEAAQA8wAAAI4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:rsidR="00A60CBD" w:rsidRDefault="00A60CBD"/>
                  </w:txbxContent>
                </v:textbox>
                <w10:anchorlock/>
              </v:rect>
            </w:pict>
          </mc:Fallback>
        </mc:AlternateContent>
      </w:r>
    </w:p>
    <w:p w:rsidR="00A60CBD" w:rsidRDefault="00A60CBD">
      <w:pPr>
        <w:rPr>
          <w:rFonts w:ascii="Arial" w:eastAsia="Arial" w:hAnsi="Arial" w:cs="Arial"/>
          <w:b/>
          <w:bCs/>
        </w:rPr>
      </w:pPr>
    </w:p>
    <w:p w:rsidR="00A60CBD" w:rsidRDefault="00A60CBD">
      <w:pPr>
        <w:rPr>
          <w:rFonts w:ascii="Arial" w:eastAsia="Arial" w:hAnsi="Arial" w:cs="Arial"/>
          <w:b/>
          <w:bCs/>
          <w:i/>
          <w:iCs/>
        </w:rPr>
      </w:pPr>
    </w:p>
    <w:p w:rsidR="00A60CBD" w:rsidRDefault="00A60CBD">
      <w:pPr>
        <w:rPr>
          <w:rFonts w:ascii="Arial" w:eastAsia="Arial" w:hAnsi="Arial" w:cs="Arial"/>
          <w:b/>
          <w:bCs/>
          <w:i/>
          <w:iCs/>
        </w:rPr>
      </w:pPr>
    </w:p>
    <w:p w:rsidR="00A60CBD" w:rsidRDefault="00A60CBD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:rsidR="00A60CBD" w:rsidRDefault="00A60CBD">
      <w:pPr>
        <w:rPr>
          <w:rFonts w:ascii="Arial" w:eastAsia="Arial" w:hAnsi="Arial" w:cs="Arial"/>
          <w:i/>
          <w:iCs/>
        </w:rPr>
      </w:pPr>
    </w:p>
    <w:p w:rsidR="00A60CBD" w:rsidRDefault="00A60CBD">
      <w:pPr>
        <w:jc w:val="both"/>
        <w:rPr>
          <w:rFonts w:ascii="Arial" w:eastAsia="Arial" w:hAnsi="Arial" w:cs="Arial"/>
          <w:i/>
          <w:iCs/>
        </w:rPr>
      </w:pPr>
      <w:proofErr w:type="gramStart"/>
      <w:r>
        <w:rPr>
          <w:rFonts w:ascii="Arial" w:eastAsia="Arial" w:hAnsi="Arial" w:cs="Arial"/>
          <w:i/>
          <w:iCs/>
        </w:rPr>
        <w:t>I</w:t>
      </w:r>
      <w:r>
        <w:rPr>
          <w:rFonts w:ascii="Arial" w:eastAsia="Arial" w:hAnsi="Arial" w:cs="Arial"/>
          <w:b/>
          <w:i/>
          <w:iCs/>
          <w:u w:val="single"/>
        </w:rPr>
        <w:t>EKALAIVAN</w:t>
      </w:r>
      <w:r w:rsidRPr="00A60CBD">
        <w:rPr>
          <w:rFonts w:ascii="Arial" w:eastAsia="Arial" w:hAnsi="Arial" w:cs="Arial"/>
          <w:b/>
          <w:i/>
          <w:iCs/>
          <w:u w:val="single"/>
        </w:rPr>
        <w:t>L(</w:t>
      </w:r>
      <w:proofErr w:type="gramEnd"/>
      <w:r w:rsidRPr="00A60CBD">
        <w:rPr>
          <w:rFonts w:ascii="Arial" w:eastAsia="Arial" w:hAnsi="Arial" w:cs="Arial"/>
          <w:b/>
          <w:i/>
          <w:iCs/>
          <w:u w:val="single"/>
        </w:rPr>
        <w:t>192524450)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</w:t>
      </w:r>
    </w:p>
    <w:p w:rsidR="00A60CBD" w:rsidRDefault="00A60CBD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:rsidR="00A60CBD" w:rsidRDefault="00A60CBD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:rsidR="00A60CBD" w:rsidRDefault="00A60CBD">
      <w:pPr>
        <w:rPr>
          <w:rFonts w:ascii="Arial" w:eastAsia="Arial" w:hAnsi="Arial" w:cs="Arial"/>
          <w:i/>
          <w:iCs/>
        </w:rPr>
      </w:pPr>
    </w:p>
    <w:p w:rsidR="00A60CBD" w:rsidRDefault="00A60CBD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:rsidR="00A60CBD" w:rsidRDefault="00A60CBD">
      <w:pPr>
        <w:rPr>
          <w:rFonts w:ascii="Arial" w:eastAsia="Arial" w:hAnsi="Arial" w:cs="Arial"/>
        </w:rPr>
      </w:pPr>
      <w:r>
        <w:br w:type="page"/>
      </w:r>
    </w:p>
    <w:p w:rsidR="00A60CBD" w:rsidRDefault="00A60CBD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:rsidR="00A60CBD" w:rsidRDefault="00A60CBD">
      <w:pPr>
        <w:jc w:val="center"/>
        <w:rPr>
          <w:rFonts w:ascii="Arial" w:eastAsia="Arial" w:hAnsi="Arial" w:cs="Arial"/>
          <w:b/>
          <w:bCs/>
        </w:rPr>
      </w:pPr>
    </w:p>
    <w:p w:rsidR="00A60CBD" w:rsidRDefault="00A60CBD">
      <w:pPr>
        <w:pBdr>
          <w:bottom w:val="single" w:sz="6" w:space="1" w:color="000000"/>
        </w:pBd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ARTICLE REVIEW</w:t>
      </w:r>
    </w:p>
    <w:p w:rsidR="00A60CBD" w:rsidRDefault="00A60CBD">
      <w:pPr>
        <w:pBdr>
          <w:bottom w:val="single" w:sz="6" w:space="1" w:color="000000"/>
        </w:pBd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:rsidR="00A60CBD" w:rsidRDefault="00A60CBD">
      <w:pPr>
        <w:tabs>
          <w:tab w:val="left" w:pos="9810"/>
        </w:tabs>
        <w:spacing w:before="100" w:after="4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A60CBD" w:rsidRDefault="00A60CBD">
      <w:pPr>
        <w:tabs>
          <w:tab w:val="left" w:pos="9810"/>
        </w:tabs>
        <w:spacing w:before="100" w:after="40"/>
        <w:ind w:right="80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INSTRUCTIONS</w:t>
      </w:r>
    </w:p>
    <w:p w:rsidR="00A60CBD" w:rsidRDefault="00A60CBD">
      <w:pPr>
        <w:tabs>
          <w:tab w:val="left" w:pos="9810"/>
        </w:tabs>
        <w:spacing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 xml:space="preserve">Select any ONE peer-reviewed research article (published after 2019) from IEEE Xplore, Springer, Elsevier, or ACM Digital Library related to any of the following topics: </w:t>
      </w:r>
      <w:r>
        <w:rPr>
          <w:rFonts w:ascii="Arial" w:eastAsia="Arial" w:hAnsi="Arial" w:cs="Arial"/>
          <w:i/>
          <w:iCs/>
          <w:sz w:val="22"/>
          <w:szCs w:val="22"/>
        </w:rPr>
        <w:t>Inductive Learning, Decision Trees, Statistical Learning Methods (Naïve Bayes / Logistic Regression / SVM), or Reinforcement Learning applications.</w:t>
      </w:r>
    </w:p>
    <w:p w:rsidR="00A60CBD" w:rsidRDefault="00A60CBD">
      <w:pPr>
        <w:tabs>
          <w:tab w:val="left" w:pos="9810"/>
        </w:tabs>
        <w:spacing w:after="8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sz w:val="22"/>
          <w:szCs w:val="22"/>
        </w:rPr>
        <w:t>Submit: (</w:t>
      </w:r>
      <w:proofErr w:type="spellStart"/>
      <w:r>
        <w:rPr>
          <w:rFonts w:ascii="Arial" w:eastAsia="Arial" w:hAnsi="Arial" w:cs="Arial"/>
          <w:i/>
          <w:iCs/>
          <w:sz w:val="22"/>
          <w:szCs w:val="22"/>
        </w:rPr>
        <w:t>i</w:t>
      </w:r>
      <w:proofErr w:type="spellEnd"/>
      <w:r>
        <w:rPr>
          <w:rFonts w:ascii="Arial" w:eastAsia="Arial" w:hAnsi="Arial" w:cs="Arial"/>
          <w:i/>
          <w:iCs/>
          <w:sz w:val="22"/>
          <w:szCs w:val="22"/>
        </w:rPr>
        <w:t xml:space="preserve">) Article citation </w:t>
      </w:r>
      <w:proofErr w:type="gramStart"/>
      <w:r>
        <w:rPr>
          <w:rFonts w:ascii="Arial" w:eastAsia="Arial" w:hAnsi="Arial" w:cs="Arial"/>
          <w:i/>
          <w:iCs/>
          <w:sz w:val="22"/>
          <w:szCs w:val="22"/>
        </w:rPr>
        <w:t>details  (</w:t>
      </w:r>
      <w:proofErr w:type="gramEnd"/>
      <w:r>
        <w:rPr>
          <w:rFonts w:ascii="Arial" w:eastAsia="Arial" w:hAnsi="Arial" w:cs="Arial"/>
          <w:i/>
          <w:iCs/>
          <w:sz w:val="22"/>
          <w:szCs w:val="22"/>
        </w:rPr>
        <w:t>ii) PDF or valid DOI link  (iii) Written review as per the tasks below.</w:t>
      </w:r>
    </w:p>
    <w:p w:rsidR="00A60CBD" w:rsidRDefault="00A60CBD">
      <w:pPr>
        <w:tabs>
          <w:tab w:val="left" w:pos="9810"/>
        </w:tabs>
        <w:spacing w:before="8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:rsidR="00A60CBD" w:rsidRDefault="00A60CBD">
      <w:pPr>
        <w:tabs>
          <w:tab w:val="left" w:pos="9810"/>
        </w:tabs>
        <w:spacing w:before="8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Article Summary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Provide the full citation of the article (Author(s), Title, Journal/Conference, Year, DOI). State the domain/application area and the specific ML problem addressed.  </w:t>
      </w:r>
    </w:p>
    <w:p w:rsidR="00A60CBD" w:rsidRDefault="00A60CBD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proofErr w:type="spellStart"/>
      <w:r>
        <w:rPr>
          <w:rFonts w:ascii="Arial" w:eastAsia="Arial" w:hAnsi="Arial" w:cs="Arial"/>
          <w:sz w:val="22"/>
          <w:szCs w:val="22"/>
        </w:rPr>
        <w:t>Summarise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the key objective of the article in your own words (150–200 words). Clearly state the research gap the authors identified and how they proposed to fill it. </w:t>
      </w: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Methodology Analysis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Explain the ML technique(s) used in the article (e.g., Decision Tree variant, RL algorithm, Statistical model). Describe the dataset used—size, features, source, and how it was prepared.  </w:t>
      </w:r>
    </w:p>
    <w:p w:rsidR="00A60CBD" w:rsidRDefault="00A60CBD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Map the technique to CO 4 topics (Inductive Learning / Decision Trees / Statistical Learning / RL). Identify one methodological strength and one limitation in the authors' approach.</w:t>
      </w: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Results &amp; Critical Evaluation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Report the key results (accuracy, F1-Score, AUC-ROC, reward convergence, etc.) as presented by the authors. Create a comparative table if multiple models are benchmarked. 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Critically evaluate the results: Are the reported metrics realistic? Are there potential biases (dataset, evaluation protocol)? What additional experiments would strengthen the findings?  </w:t>
      </w:r>
    </w:p>
    <w:p w:rsidR="00A60CBD" w:rsidRDefault="00A60CBD">
      <w:pPr>
        <w:tabs>
          <w:tab w:val="left" w:pos="9810"/>
        </w:tabs>
        <w:spacing w:before="30" w:after="6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Discuss real-world applicability: Where can this technique be deployed? What are the challenges in scaling the solution to industry (data availability, compute, ethical issues)? </w:t>
      </w: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>Task 4: Reflection &amp; Learning Outcome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State three key insights you gained from reading the article that deepen your understanding of CO 4 topics. Connect each insight to a specific concept from the course syllabus.  </w:t>
      </w:r>
    </w:p>
    <w:p w:rsidR="00A60CBD" w:rsidRDefault="00A60CBD">
      <w:pPr>
        <w:tabs>
          <w:tab w:val="left" w:pos="9810"/>
        </w:tabs>
        <w:spacing w:after="30"/>
        <w:ind w:right="80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If you were to extend this research, propose one novel experiment or enhancement (different dataset / improved algorithm / new application domain). Justify its feasibility and expected impact.  </w:t>
      </w:r>
    </w:p>
    <w:p w:rsidR="00A60CBD" w:rsidRDefault="00A60CBD">
      <w:pPr>
        <w:pBdr>
          <w:bottom w:val="single" w:sz="6" w:space="1" w:color="000000"/>
        </w:pBdr>
        <w:tabs>
          <w:tab w:val="left" w:pos="9810"/>
        </w:tabs>
        <w:spacing w:before="80" w:after="80"/>
        <w:ind w:right="802"/>
        <w:jc w:val="both"/>
        <w:rPr>
          <w:rFonts w:ascii="Arial" w:eastAsia="Arial" w:hAnsi="Arial" w:cs="Arial"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:rsidR="00A60CBD" w:rsidRDefault="00A60CBD">
      <w:pPr>
        <w:tabs>
          <w:tab w:val="left" w:pos="9810"/>
        </w:tabs>
        <w:spacing w:before="60" w:after="40"/>
        <w:ind w:right="802"/>
        <w:jc w:val="both"/>
        <w:rPr>
          <w:rFonts w:ascii="Arial" w:eastAsia="Arial" w:hAnsi="Arial" w:cs="Arial"/>
          <w:b/>
          <w:bCs/>
          <w:i/>
          <w:iCs/>
        </w:rPr>
      </w:pPr>
    </w:p>
    <w:p w:rsidR="00A60CBD" w:rsidRDefault="00A60CBD">
      <w:pPr>
        <w:ind w:right="802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br w:type="page"/>
      </w:r>
    </w:p>
    <w:p w:rsidR="00A60CBD" w:rsidRDefault="00A60CBD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:rsidR="00A60CBD" w:rsidRDefault="00A60CBD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:rsidR="00A60CBD" w:rsidRDefault="00A60CBD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:rsidR="00A60CBD" w:rsidRDefault="00A60CBD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p w:rsidR="00A60CBD" w:rsidRDefault="00A60CBD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tbl>
      <w:tblPr>
        <w:tblStyle w:val="Style12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30"/>
        <w:gridCol w:w="1350"/>
        <w:gridCol w:w="2040"/>
        <w:gridCol w:w="1485"/>
        <w:gridCol w:w="1590"/>
        <w:gridCol w:w="1455"/>
      </w:tblGrid>
      <w:tr w:rsidR="00A60CBD">
        <w:trPr>
          <w:trHeight w:val="52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4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ind w:right="-108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4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A60CBD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Article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clear and in-depth understanding of the article’s purpose, concepts, and arguments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misses key ideas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 of the article</w:t>
            </w:r>
          </w:p>
        </w:tc>
      </w:tr>
      <w:tr w:rsidR="00A60CBD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Summary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concise and accurate summary highlighting all key points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Covers most key points with minor omissions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Incomplete or partially accurate summary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summary</w:t>
            </w:r>
          </w:p>
        </w:tc>
      </w:tr>
      <w:tr w:rsidR="00A60CBD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Critical Analysis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insightful critique with strong reasoning and evaluation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Provides reasonable analysis with some justification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Superficial analysis; limited evaluation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meaningful analysis</w:t>
            </w:r>
          </w:p>
        </w:tc>
      </w:tr>
      <w:tr w:rsidR="00A60CBD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Evidence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Effectively uses examples, data, or references to support review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Uses some supporting evidence with minor gaps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weak supporting evidence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 supporting evidence provided</w:t>
            </w:r>
          </w:p>
        </w:tc>
      </w:tr>
      <w:tr w:rsidR="00A60CBD">
        <w:trPr>
          <w:trHeight w:val="825"/>
        </w:trPr>
        <w:tc>
          <w:tcPr>
            <w:tcW w:w="15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Well-structured, clear, and coherent writing with proper language and flow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Generally clear with minor issues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organization; lacks clarity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60CBD" w:rsidRDefault="00A60CBD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Disorganized and difficult to understand</w:t>
            </w:r>
          </w:p>
        </w:tc>
      </w:tr>
    </w:tbl>
    <w:p w:rsidR="00A60CBD" w:rsidRDefault="00A60CBD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A60CBD" w:rsidRDefault="00A60CBD">
      <w:pPr>
        <w:spacing w:after="60"/>
        <w:jc w:val="center"/>
        <w:rPr>
          <w:rFonts w:eastAsia="Calibri"/>
          <w:b/>
          <w:bCs/>
          <w:sz w:val="32"/>
          <w:szCs w:val="32"/>
        </w:rPr>
      </w:pPr>
    </w:p>
    <w:p w:rsidR="00D53ACE" w:rsidRPr="00A60CBD" w:rsidRDefault="00A60CBD">
      <w:pPr>
        <w:spacing w:after="60"/>
        <w:jc w:val="center"/>
        <w:rPr>
          <w:sz w:val="32"/>
          <w:szCs w:val="32"/>
        </w:rPr>
      </w:pPr>
      <w:r w:rsidRPr="00A60CBD">
        <w:rPr>
          <w:rFonts w:eastAsia="Calibri"/>
          <w:b/>
          <w:bCs/>
          <w:sz w:val="32"/>
          <w:szCs w:val="32"/>
        </w:rPr>
        <w:lastRenderedPageBreak/>
        <w:t>SIMATS ENGINEERING</w:t>
      </w:r>
    </w:p>
    <w:p w:rsidR="00D53ACE" w:rsidRPr="00A60CBD" w:rsidRDefault="00A60CBD">
      <w:pPr>
        <w:spacing w:after="60"/>
        <w:jc w:val="center"/>
        <w:rPr>
          <w:sz w:val="32"/>
          <w:szCs w:val="32"/>
        </w:rPr>
      </w:pPr>
      <w:r w:rsidRPr="00A60CBD">
        <w:rPr>
          <w:rFonts w:eastAsia="Calibri"/>
          <w:b/>
          <w:bCs/>
          <w:color w:val="1F4E79"/>
          <w:sz w:val="32"/>
          <w:szCs w:val="32"/>
        </w:rPr>
        <w:t>ASSESSMENT TOOL 2 — ARTICLE REVIEW (ANSWER SCRIPT)</w:t>
      </w:r>
    </w:p>
    <w:p w:rsidR="00D53ACE" w:rsidRPr="00A60CBD" w:rsidRDefault="00A60CBD">
      <w:pPr>
        <w:spacing w:after="300"/>
        <w:jc w:val="center"/>
        <w:rPr>
          <w:b/>
          <w:sz w:val="28"/>
          <w:szCs w:val="28"/>
        </w:rPr>
      </w:pPr>
      <w:r w:rsidRPr="00A60CBD">
        <w:rPr>
          <w:rFonts w:eastAsia="Calibri"/>
          <w:b/>
          <w:i/>
          <w:iCs/>
          <w:sz w:val="28"/>
          <w:szCs w:val="28"/>
        </w:rPr>
        <w:t>Course: Artificial Intelligence (CSA17</w:t>
      </w:r>
      <w:proofErr w:type="gramStart"/>
      <w:r w:rsidRPr="00A60CBD">
        <w:rPr>
          <w:rFonts w:eastAsia="Calibri"/>
          <w:b/>
          <w:i/>
          <w:iCs/>
          <w:sz w:val="28"/>
          <w:szCs w:val="28"/>
        </w:rPr>
        <w:t>)  |</w:t>
      </w:r>
      <w:proofErr w:type="gramEnd"/>
      <w:r w:rsidRPr="00A60CBD">
        <w:rPr>
          <w:rFonts w:eastAsia="Calibri"/>
          <w:b/>
          <w:i/>
          <w:iCs/>
          <w:sz w:val="28"/>
          <w:szCs w:val="28"/>
        </w:rPr>
        <w:t xml:space="preserve">  CO4  |  Annexure A</w:t>
      </w:r>
    </w:p>
    <w:p w:rsidR="00D53ACE" w:rsidRPr="00A60CBD" w:rsidRDefault="00A60CBD" w:rsidP="00A60CBD">
      <w:pPr>
        <w:pStyle w:val="Heading2"/>
        <w:spacing w:before="240" w:after="12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color w:val="2E5A88"/>
          <w:sz w:val="28"/>
          <w:szCs w:val="28"/>
        </w:rPr>
        <w:t>Selected Article</w:t>
      </w:r>
    </w:p>
    <w:p w:rsidR="00D53ACE" w:rsidRDefault="00A60CBD">
      <w:pPr>
        <w:spacing w:after="120" w:line="276" w:lineRule="auto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A. C.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Lyngdoh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, N. A. Choudhury, and S.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Moulik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, "Diabetes Disease Prediction Using Machine Learning Algorithms," in Proceedings of the 2020 IEEE-EMBS Conference on Biomedical Engineering and Sciences (IECBES), Langkawi Island, Malaysia, 1–3 March 2021, pp. </w:t>
      </w:r>
      <w:r>
        <w:rPr>
          <w:rFonts w:ascii="Calibri" w:eastAsia="Calibri" w:hAnsi="Calibri" w:cs="Calibri"/>
          <w:i/>
          <w:iCs/>
          <w:sz w:val="22"/>
          <w:szCs w:val="22"/>
        </w:rPr>
        <w:t>517–521.</w:t>
      </w:r>
    </w:p>
    <w:p w:rsidR="00D53ACE" w:rsidRDefault="00A60CBD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DOI: 10.1109/IECBES48179.2021.9398759</w:t>
      </w:r>
    </w:p>
    <w:p w:rsidR="00D53ACE" w:rsidRDefault="00A60CBD">
      <w:pPr>
        <w:spacing w:after="120"/>
      </w:pPr>
      <w:hyperlink r:id="rId5" w:history="1">
        <w:r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https://doi.org/10.1109/IECBES48179.2021.9398759</w:t>
        </w:r>
      </w:hyperlink>
    </w:p>
    <w:p w:rsidR="00D53ACE" w:rsidRDefault="00A60CBD">
      <w:pPr>
        <w:spacing w:after="120"/>
      </w:pPr>
      <w:hyperlink r:id="rId6" w:history="1">
        <w:r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IEEE Xplore record: https://ieeexp</w:t>
        </w:r>
        <w:r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lore.ieee.org/document/9398759</w:t>
        </w:r>
      </w:hyperlink>
    </w:p>
    <w:p w:rsidR="00D53ACE" w:rsidRDefault="00A60CBD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666666"/>
        </w:rPr>
        <w:t>Note: this is a genuine, verifiable IEEE Xplore conference paper (topic: Decision Trees / Statistical Learning applied to disease prediction, within CO4 scope). The review below is based on the published abstract, the methodo</w:t>
      </w:r>
      <w:r>
        <w:rPr>
          <w:rFonts w:ascii="Calibri" w:eastAsia="Calibri" w:hAnsi="Calibri" w:cs="Calibri"/>
          <w:i/>
          <w:iCs/>
          <w:color w:val="666666"/>
        </w:rPr>
        <w:t>logy as described by the authors and corroborated by multiple works that cite this paper; the exact per-algorithm figures in Task 3 are reproduced from the sources cited and should be cross-checked against the full PDF/IEEE Xplore page before final submiss</w:t>
      </w:r>
      <w:r>
        <w:rPr>
          <w:rFonts w:ascii="Calibri" w:eastAsia="Calibri" w:hAnsi="Calibri" w:cs="Calibri"/>
          <w:i/>
          <w:iCs/>
          <w:color w:val="666666"/>
        </w:rPr>
        <w:t>ion, since secondary citations of this paper report slightly different numbers for individual classifiers.</w:t>
      </w:r>
    </w:p>
    <w:p w:rsidR="00D53ACE" w:rsidRPr="00A60CBD" w:rsidRDefault="00A60CBD" w:rsidP="00A60CBD">
      <w:pPr>
        <w:pStyle w:val="Heading1"/>
        <w:spacing w:before="300" w:after="15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color w:val="1F4E79"/>
          <w:sz w:val="28"/>
          <w:szCs w:val="28"/>
        </w:rPr>
        <w:t>Task 1: Article Summary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(a) Full Citation, Domain &amp; ML Problem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 xml:space="preserve">Citation: </w:t>
      </w:r>
      <w:proofErr w:type="spellStart"/>
      <w:r w:rsidRPr="00A60CBD">
        <w:rPr>
          <w:rFonts w:eastAsia="Calibri"/>
          <w:sz w:val="28"/>
          <w:szCs w:val="28"/>
        </w:rPr>
        <w:t>Lyngdoh</w:t>
      </w:r>
      <w:proofErr w:type="spellEnd"/>
      <w:r w:rsidRPr="00A60CBD">
        <w:rPr>
          <w:rFonts w:eastAsia="Calibri"/>
          <w:sz w:val="28"/>
          <w:szCs w:val="28"/>
        </w:rPr>
        <w:t xml:space="preserve">, A. C., Choudhury, N. A., &amp; </w:t>
      </w:r>
      <w:proofErr w:type="spellStart"/>
      <w:r w:rsidRPr="00A60CBD">
        <w:rPr>
          <w:rFonts w:eastAsia="Calibri"/>
          <w:sz w:val="28"/>
          <w:szCs w:val="28"/>
        </w:rPr>
        <w:t>Moulik</w:t>
      </w:r>
      <w:proofErr w:type="spellEnd"/>
      <w:r w:rsidRPr="00A60CBD">
        <w:rPr>
          <w:rFonts w:eastAsia="Calibri"/>
          <w:sz w:val="28"/>
          <w:szCs w:val="28"/>
        </w:rPr>
        <w:t>, S. (2021). Diabetes Disease Prediction Using Machine Learning Algorithms. In 2020 IEEE-EMBS Conference on Biomedical Engineering and Sciences (IECBES), Langkawi Island, Malaysia, pp. 517–521. DOI: 10.11</w:t>
      </w:r>
      <w:r w:rsidRPr="00A60CBD">
        <w:rPr>
          <w:rFonts w:eastAsia="Calibri"/>
          <w:sz w:val="28"/>
          <w:szCs w:val="28"/>
        </w:rPr>
        <w:t>09/IECBES48179.2021.9398759.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Domain / application area: Healthcare analytics — early prediction/diagnosis of Diabetes Mellitus using patient physiological records.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Specific ML problem addressed: Binary supervised classification — predicting whether a patie</w:t>
      </w:r>
      <w:r w:rsidRPr="00A60CBD">
        <w:rPr>
          <w:rFonts w:eastAsia="Calibri"/>
          <w:sz w:val="28"/>
          <w:szCs w:val="28"/>
        </w:rPr>
        <w:t xml:space="preserve">nt is diabetic or non-diabetic from clinical </w:t>
      </w:r>
      <w:proofErr w:type="gramStart"/>
      <w:r w:rsidRPr="00A60CBD">
        <w:rPr>
          <w:rFonts w:eastAsia="Calibri"/>
          <w:sz w:val="28"/>
          <w:szCs w:val="28"/>
        </w:rPr>
        <w:t>attributes, and</w:t>
      </w:r>
      <w:proofErr w:type="gramEnd"/>
      <w:r w:rsidRPr="00A60CBD">
        <w:rPr>
          <w:rFonts w:eastAsia="Calibri"/>
          <w:sz w:val="28"/>
          <w:szCs w:val="28"/>
        </w:rPr>
        <w:t xml:space="preserve"> comparing multiple classical ML algorithms (K-Nearest Neighbors, Naïve Bayes, Decision Tree, Random Forest, and Support Vector Machine) to identify which gives the best trade-off between predicti</w:t>
      </w:r>
      <w:r w:rsidRPr="00A60CBD">
        <w:rPr>
          <w:rFonts w:eastAsia="Calibri"/>
          <w:sz w:val="28"/>
          <w:szCs w:val="28"/>
        </w:rPr>
        <w:t>on accuracy and computational cost.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(b) Summary (Key Objective &amp; Research Gap)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 xml:space="preserve">The authors address the growing global burden of diabetes by building and comparing five supervised classifiers — KNN, Naïve Bayes, Decision Tree, Random Forest, and SVM — on a </w:t>
      </w:r>
      <w:r w:rsidRPr="00A60CBD">
        <w:rPr>
          <w:rFonts w:eastAsia="Calibri"/>
          <w:sz w:val="28"/>
          <w:szCs w:val="28"/>
        </w:rPr>
        <w:t xml:space="preserve">patient-record dataset containing standard diagnostic attributes (glucose level, BMI, blood pressure, insulin, age, and related measures), the same type of features used in the widely-used Pima Indians Diabetes Database. Their key objective is not just to </w:t>
      </w:r>
      <w:r w:rsidRPr="00A60CBD">
        <w:rPr>
          <w:rFonts w:eastAsia="Calibri"/>
          <w:sz w:val="28"/>
          <w:szCs w:val="28"/>
        </w:rPr>
        <w:t xml:space="preserve">report the single highest accuracy, but to systematically </w:t>
      </w:r>
      <w:proofErr w:type="spellStart"/>
      <w:r w:rsidRPr="00A60CBD">
        <w:rPr>
          <w:rFonts w:eastAsia="Calibri"/>
          <w:sz w:val="28"/>
          <w:szCs w:val="28"/>
        </w:rPr>
        <w:t>analyse</w:t>
      </w:r>
      <w:proofErr w:type="spellEnd"/>
      <w:r w:rsidRPr="00A60CBD">
        <w:rPr>
          <w:rFonts w:eastAsia="Calibri"/>
          <w:sz w:val="28"/>
          <w:szCs w:val="28"/>
        </w:rPr>
        <w:t xml:space="preserve"> why different classifiers over- or under-fit this dataset, and to identify a model that is both accurate and computationally efficient enough for practical screening use. The research gap th</w:t>
      </w:r>
      <w:r w:rsidRPr="00A60CBD">
        <w:rPr>
          <w:rFonts w:eastAsia="Calibri"/>
          <w:sz w:val="28"/>
          <w:szCs w:val="28"/>
        </w:rPr>
        <w:t>ey identify is that much of the prior literature reports a single 'best' accuracy figure without diagnosing why weaker models fail (overfitting vs underfitting) or without discussing computational time, which matters for real-time or resource-constrained c</w:t>
      </w:r>
      <w:r w:rsidRPr="00A60CBD">
        <w:rPr>
          <w:rFonts w:eastAsia="Calibri"/>
          <w:sz w:val="28"/>
          <w:szCs w:val="28"/>
        </w:rPr>
        <w:t xml:space="preserve">linical deployment. They address this gap by </w:t>
      </w:r>
      <w:proofErr w:type="spellStart"/>
      <w:r w:rsidRPr="00A60CBD">
        <w:rPr>
          <w:rFonts w:eastAsia="Calibri"/>
          <w:sz w:val="28"/>
          <w:szCs w:val="28"/>
        </w:rPr>
        <w:t>visualising</w:t>
      </w:r>
      <w:proofErr w:type="spellEnd"/>
      <w:r w:rsidRPr="00A60CBD">
        <w:rPr>
          <w:rFonts w:eastAsia="Calibri"/>
          <w:sz w:val="28"/>
          <w:szCs w:val="28"/>
        </w:rPr>
        <w:t xml:space="preserve"> training-versus-testing accuracy for every classifier, explicitly attributing performance gaps to overfitting/underfitting, and reporting relative computation time alongside accuracy — giving a more </w:t>
      </w:r>
      <w:r w:rsidRPr="00A60CBD">
        <w:rPr>
          <w:rFonts w:eastAsia="Calibri"/>
          <w:sz w:val="28"/>
          <w:szCs w:val="28"/>
        </w:rPr>
        <w:t>diagnostic, deployment-aware comparison than a single leaderboard number.</w:t>
      </w:r>
    </w:p>
    <w:p w:rsidR="00D53ACE" w:rsidRPr="00A60CBD" w:rsidRDefault="00A60CBD" w:rsidP="00A60CBD">
      <w:pPr>
        <w:pStyle w:val="Heading1"/>
        <w:spacing w:before="300" w:after="15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color w:val="1F4E79"/>
          <w:sz w:val="28"/>
          <w:szCs w:val="28"/>
        </w:rPr>
        <w:lastRenderedPageBreak/>
        <w:t>Task 2: Methodology Analysis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(a) ML Techniques &amp; Dataset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Techniques used: five classical supervised learning algorithms are benchmarked against each other — K-Nearest Neighbors (inst</w:t>
      </w:r>
      <w:r w:rsidRPr="00A60CBD">
        <w:rPr>
          <w:rFonts w:eastAsia="Calibri"/>
          <w:sz w:val="28"/>
          <w:szCs w:val="28"/>
        </w:rPr>
        <w:t>ance-based/lazy learner), Naïve Bayes (a statistical, probabilistic classifier based on Bayes' theorem with a feature-independence assumption), a Decision Tree Classifier (a recursive, information-gain/Gini-based rule induction model), Random Forest (an en</w:t>
      </w:r>
      <w:r w:rsidRPr="00A60CBD">
        <w:rPr>
          <w:rFonts w:eastAsia="Calibri"/>
          <w:sz w:val="28"/>
          <w:szCs w:val="28"/>
        </w:rPr>
        <w:t>semble of decision trees), and Support Vector Machine (a margin-</w:t>
      </w:r>
      <w:proofErr w:type="spellStart"/>
      <w:r w:rsidRPr="00A60CBD">
        <w:rPr>
          <w:rFonts w:eastAsia="Calibri"/>
          <w:sz w:val="28"/>
          <w:szCs w:val="28"/>
        </w:rPr>
        <w:t>maximising</w:t>
      </w:r>
      <w:proofErr w:type="spellEnd"/>
      <w:r w:rsidRPr="00A60CBD">
        <w:rPr>
          <w:rFonts w:eastAsia="Calibri"/>
          <w:sz w:val="28"/>
          <w:szCs w:val="28"/>
        </w:rPr>
        <w:t xml:space="preserve"> statistical learning model). This places the paper's methodology across two CO4 pillars at once: Decision-Tree-based learning and Statistical Learning.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Dataset: the study uses patie</w:t>
      </w:r>
      <w:r w:rsidRPr="00A60CBD">
        <w:rPr>
          <w:rFonts w:eastAsia="Calibri"/>
          <w:sz w:val="28"/>
          <w:szCs w:val="28"/>
        </w:rPr>
        <w:t>nt-level diagnostic records of the kind found in the Pima Indians Diabetes Database (PIDD) published by the National Institute of Diabetes and Digestive and Kidney Diseases — a benchmark of 768 female patient records with 8 diagnostic features (number of p</w:t>
      </w:r>
      <w:r w:rsidRPr="00A60CBD">
        <w:rPr>
          <w:rFonts w:eastAsia="Calibri"/>
          <w:sz w:val="28"/>
          <w:szCs w:val="28"/>
        </w:rPr>
        <w:t>regnancies, glucose concentration, diastolic blood pressure, skin-fold thickness, serum insulin, BMI, diabetes pedigree function, and age) and a binary outcome label (diabetic / non-diabetic).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Preparation: the data is cleaned (handling physiologically-impo</w:t>
      </w:r>
      <w:r w:rsidRPr="00A60CBD">
        <w:rPr>
          <w:rFonts w:eastAsia="Calibri"/>
          <w:sz w:val="28"/>
          <w:szCs w:val="28"/>
        </w:rPr>
        <w:t xml:space="preserve">ssible zero values in fields such as glucose/BMI/insulin, which are treated as missing), the features are </w:t>
      </w:r>
      <w:proofErr w:type="spellStart"/>
      <w:r w:rsidRPr="00A60CBD">
        <w:rPr>
          <w:rFonts w:eastAsia="Calibri"/>
          <w:sz w:val="28"/>
          <w:szCs w:val="28"/>
        </w:rPr>
        <w:t>normalised</w:t>
      </w:r>
      <w:proofErr w:type="spellEnd"/>
      <w:r w:rsidRPr="00A60CBD">
        <w:rPr>
          <w:rFonts w:eastAsia="Calibri"/>
          <w:sz w:val="28"/>
          <w:szCs w:val="28"/>
        </w:rPr>
        <w:t>, and the set is split into training and testing partitions before each of the five classifiers is trained and cross-validated, with trainin</w:t>
      </w:r>
      <w:r w:rsidRPr="00A60CBD">
        <w:rPr>
          <w:rFonts w:eastAsia="Calibri"/>
          <w:sz w:val="28"/>
          <w:szCs w:val="28"/>
        </w:rPr>
        <w:t>g and testing accuracy tracked separately so overfitting/underfitting can be diagnosed per model.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(b) Mapping to CO4 &amp; Strength/Limitation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Mapping to CO4 topics: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Decision Trees — the Decision Tree Classifier (and its ensemble extension, Random Forest) directly instantiates the CO4 decision-tree topic, including implicit feature-importance/split-quality reasoning.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Statistical Learning — Naïve Bayes and SVM instantia</w:t>
      </w:r>
      <w:r w:rsidRPr="00A60CBD">
        <w:rPr>
          <w:rFonts w:eastAsia="Calibri"/>
          <w:sz w:val="28"/>
          <w:szCs w:val="28"/>
        </w:rPr>
        <w:t>te the statistical-learning-methods topic (probabilistic and margin-based models respectively).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 xml:space="preserve">Inductive Learning — all five models are trained inductively from labelled historical patient examples to </w:t>
      </w:r>
      <w:proofErr w:type="spellStart"/>
      <w:r w:rsidRPr="00A60CBD">
        <w:rPr>
          <w:rFonts w:eastAsia="Calibri"/>
          <w:sz w:val="28"/>
          <w:szCs w:val="28"/>
        </w:rPr>
        <w:t>generalise</w:t>
      </w:r>
      <w:proofErr w:type="spellEnd"/>
      <w:r w:rsidRPr="00A60CBD">
        <w:rPr>
          <w:rFonts w:eastAsia="Calibri"/>
          <w:sz w:val="28"/>
          <w:szCs w:val="28"/>
        </w:rPr>
        <w:t xml:space="preserve"> to unseen patients, the core CO4 inductive-</w:t>
      </w:r>
      <w:r w:rsidRPr="00A60CBD">
        <w:rPr>
          <w:rFonts w:eastAsia="Calibri"/>
          <w:sz w:val="28"/>
          <w:szCs w:val="28"/>
        </w:rPr>
        <w:t>learning idea.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Methodological strength: comparing five conceptually different algorithm families (instance-based, probabilistic, tree-based, ensemble, and margin-based) on the same dataset under the same protocol gives a fair, like-for-like benchmark and l</w:t>
      </w:r>
      <w:r w:rsidRPr="00A60CBD">
        <w:rPr>
          <w:rFonts w:eastAsia="Calibri"/>
          <w:sz w:val="28"/>
          <w:szCs w:val="28"/>
        </w:rPr>
        <w:t xml:space="preserve">ets the authors attribute performance differences to the algorithm itself rather than to inconsistent data </w:t>
      </w:r>
      <w:r w:rsidRPr="00A60CBD">
        <w:rPr>
          <w:rFonts w:eastAsia="Calibri"/>
          <w:sz w:val="28"/>
          <w:szCs w:val="28"/>
        </w:rPr>
        <w:lastRenderedPageBreak/>
        <w:t>handling — this is stronger than papers that report only a single model's accuracy in isolation.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Methodological limitation: the study evaluates class</w:t>
      </w:r>
      <w:r w:rsidRPr="00A60CBD">
        <w:rPr>
          <w:rFonts w:eastAsia="Calibri"/>
          <w:sz w:val="28"/>
          <w:szCs w:val="28"/>
        </w:rPr>
        <w:t xml:space="preserve">ifiers primarily via accuracy and training/testing-accuracy gaps rather than reporting a full metric suite (Precision, Recall, F1-Score, AUC-ROC) for every model. For a medical screening task this is a real gap, because accuracy alone can be misleading on </w:t>
      </w:r>
      <w:r w:rsidRPr="00A60CBD">
        <w:rPr>
          <w:rFonts w:eastAsia="Calibri"/>
          <w:sz w:val="28"/>
          <w:szCs w:val="28"/>
        </w:rPr>
        <w:t>an imbalanced dataset (diabetic cases are usually the minority class) — a model with high accuracy could still be missing a large share of true diabetic cases (low recall), and the paper does not appear to foreground this clinically-critical trade-off.</w:t>
      </w:r>
    </w:p>
    <w:p w:rsidR="00D53ACE" w:rsidRPr="00A60CBD" w:rsidRDefault="00A60CBD" w:rsidP="00A60CBD">
      <w:pPr>
        <w:pStyle w:val="Heading1"/>
        <w:spacing w:before="300" w:after="15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color w:val="1F4E79"/>
          <w:sz w:val="28"/>
          <w:szCs w:val="28"/>
        </w:rPr>
        <w:t>Tas</w:t>
      </w:r>
      <w:r w:rsidRPr="00A60CBD">
        <w:rPr>
          <w:rFonts w:eastAsia="Calibri"/>
          <w:b/>
          <w:bCs/>
          <w:color w:val="1F4E79"/>
          <w:sz w:val="28"/>
          <w:szCs w:val="28"/>
        </w:rPr>
        <w:t>k 3: Results &amp; Critical Evaluation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(a) Key Results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The authors report that, after cross-validation, KNN achieved the highest observed accuracy at approximately 76%, with the remaining classifiers (Naïve Bayes, Decision Tree, Random Forest, SVM) all achievi</w:t>
      </w:r>
      <w:r w:rsidRPr="00A60CBD">
        <w:rPr>
          <w:rFonts w:eastAsia="Calibri"/>
          <w:sz w:val="28"/>
          <w:szCs w:val="28"/>
        </w:rPr>
        <w:t>ng stable accuracies above 70%. A comparative summary (figures as reported/cited in the published record; verify exact values against the full IEEE Xplore PDF):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100"/>
        <w:gridCol w:w="2650"/>
      </w:tblGrid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b/>
                <w:bCs/>
                <w:color w:val="FFFFFF"/>
                <w:sz w:val="28"/>
                <w:szCs w:val="28"/>
              </w:rPr>
              <w:t>Model</w:t>
            </w:r>
          </w:p>
        </w:tc>
        <w:tc>
          <w:tcPr>
            <w:tcW w:w="31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b/>
                <w:bCs/>
                <w:color w:val="FFFFFF"/>
                <w:sz w:val="28"/>
                <w:szCs w:val="28"/>
              </w:rPr>
              <w:t>Reported Accuracy</w:t>
            </w:r>
          </w:p>
        </w:tc>
        <w:tc>
          <w:tcPr>
            <w:tcW w:w="265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b/>
                <w:bCs/>
                <w:color w:val="FFFFFF"/>
                <w:sz w:val="28"/>
                <w:szCs w:val="28"/>
              </w:rPr>
              <w:t>CO4 Category</w:t>
            </w:r>
          </w:p>
        </w:tc>
      </w:tr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K-Nearest Neighbors (KNN)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~76% (highest reported)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Instance-based learning</w:t>
            </w:r>
          </w:p>
        </w:tc>
      </w:tr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Naïve Bayes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&gt;70%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Statistical learning</w:t>
            </w:r>
          </w:p>
        </w:tc>
      </w:tr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Decision Tree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&gt;70%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Decision tree</w:t>
            </w:r>
          </w:p>
        </w:tc>
      </w:tr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Random Forest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&gt;70%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Ensemble / decision tree</w:t>
            </w:r>
          </w:p>
        </w:tc>
      </w:tr>
      <w:tr w:rsidR="00D53ACE" w:rsidRPr="00A60CB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Support Vector Machine (SVM)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&gt;70%</w:t>
            </w:r>
          </w:p>
        </w:tc>
        <w:tc>
          <w:tcPr>
            <w:tcW w:w="2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D53ACE" w:rsidRPr="00A60CBD" w:rsidRDefault="00A60CBD" w:rsidP="00A60CBD">
            <w:pPr>
              <w:jc w:val="both"/>
              <w:rPr>
                <w:sz w:val="28"/>
                <w:szCs w:val="28"/>
              </w:rPr>
            </w:pPr>
            <w:r w:rsidRPr="00A60CBD">
              <w:rPr>
                <w:rFonts w:eastAsia="Calibri"/>
                <w:color w:val="000000"/>
                <w:sz w:val="28"/>
                <w:szCs w:val="28"/>
              </w:rPr>
              <w:t>Statistical learning</w:t>
            </w:r>
          </w:p>
        </w:tc>
      </w:tr>
    </w:tbl>
    <w:p w:rsidR="00D53ACE" w:rsidRPr="00A60CBD" w:rsidRDefault="00D53ACE" w:rsidP="00A60CBD">
      <w:pPr>
        <w:spacing w:after="120" w:line="276" w:lineRule="auto"/>
        <w:jc w:val="both"/>
        <w:rPr>
          <w:sz w:val="28"/>
          <w:szCs w:val="28"/>
        </w:rPr>
      </w:pP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No single model is presented as an outright winner; instead, the authors' central finding is that all five classifiers converge to a broadly similar, 'stable' accuracy band once overfitting is controlled for, and they use training-vs-testing accuracy plots</w:t>
      </w:r>
      <w:r w:rsidRPr="00A60CBD">
        <w:rPr>
          <w:rFonts w:eastAsia="Calibri"/>
          <w:sz w:val="28"/>
          <w:szCs w:val="28"/>
        </w:rPr>
        <w:t xml:space="preserve"> to show which models were overfitting (very high training accuracy but a large drop on test data) versus underfitting (both training and testing accuracy low) at their default settings.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(b) Critical Evaluation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lastRenderedPageBreak/>
        <w:t>Are the metrics realistic? A ~70–76% accuracy</w:t>
      </w:r>
      <w:r w:rsidRPr="00A60CBD">
        <w:rPr>
          <w:rFonts w:eastAsia="Calibri"/>
          <w:sz w:val="28"/>
          <w:szCs w:val="28"/>
        </w:rPr>
        <w:t xml:space="preserve"> band is realistic and consistent with a large body of independent work on this same class of diabetes-prediction dataset (numerous other IEEE/Springer papers using the Pima-style dataset report accuracies clustering in the low-to-high 70s for classical ML</w:t>
      </w:r>
      <w:r w:rsidRPr="00A60CBD">
        <w:rPr>
          <w:rFonts w:eastAsia="Calibri"/>
          <w:sz w:val="28"/>
          <w:szCs w:val="28"/>
        </w:rPr>
        <w:t xml:space="preserve"> without heavy feature engineering, and higher — often 80–90%+ — only after feature selection, </w:t>
      </w:r>
      <w:proofErr w:type="spellStart"/>
      <w:r w:rsidRPr="00A60CBD">
        <w:rPr>
          <w:rFonts w:eastAsia="Calibri"/>
          <w:sz w:val="28"/>
          <w:szCs w:val="28"/>
        </w:rPr>
        <w:t>ensembling</w:t>
      </w:r>
      <w:proofErr w:type="spellEnd"/>
      <w:r w:rsidRPr="00A60CBD">
        <w:rPr>
          <w:rFonts w:eastAsia="Calibri"/>
          <w:sz w:val="28"/>
          <w:szCs w:val="28"/>
        </w:rPr>
        <w:t>, or deep learning). The reported numbers are therefore plausible rather than inflated, which adds credibility.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Potential biases: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Dataset bias: dataset</w:t>
      </w:r>
      <w:r w:rsidRPr="00A60CBD">
        <w:rPr>
          <w:rFonts w:eastAsia="Calibri"/>
          <w:sz w:val="28"/>
          <w:szCs w:val="28"/>
        </w:rPr>
        <w:t xml:space="preserve">s of this type are drawn from a specific, narrow demographic (in the canonical Pima dataset, adult women of a single heritage group), so the model's </w:t>
      </w:r>
      <w:proofErr w:type="spellStart"/>
      <w:r w:rsidRPr="00A60CBD">
        <w:rPr>
          <w:rFonts w:eastAsia="Calibri"/>
          <w:sz w:val="28"/>
          <w:szCs w:val="28"/>
        </w:rPr>
        <w:t>generalisability</w:t>
      </w:r>
      <w:proofErr w:type="spellEnd"/>
      <w:r w:rsidRPr="00A60CBD">
        <w:rPr>
          <w:rFonts w:eastAsia="Calibri"/>
          <w:sz w:val="28"/>
          <w:szCs w:val="28"/>
        </w:rPr>
        <w:t xml:space="preserve"> to broader, mixed populations is questionable — a limitation the paper does not appear to </w:t>
      </w:r>
      <w:r w:rsidRPr="00A60CBD">
        <w:rPr>
          <w:rFonts w:eastAsia="Calibri"/>
          <w:sz w:val="28"/>
          <w:szCs w:val="28"/>
        </w:rPr>
        <w:t>discuss.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Evaluation-protocol bias: reporting accuracy as the headline metric, without also foregrounding recall/F1 for the diabetic class, risks under-reporting how many true diabetic cases the 'best' model misses — a meaningful bias for a clinical screeni</w:t>
      </w:r>
      <w:r w:rsidRPr="00A60CBD">
        <w:rPr>
          <w:rFonts w:eastAsia="Calibri"/>
          <w:sz w:val="28"/>
          <w:szCs w:val="28"/>
        </w:rPr>
        <w:t>ng use case.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Small sample size: a dataset of only several hundred records is small by modern ML standards, so accuracy estimates can have non-trivial variance depending on the train/test split; the paper would benefit from reporting confidence intervals or</w:t>
      </w:r>
      <w:r w:rsidRPr="00A60CBD">
        <w:rPr>
          <w:rFonts w:eastAsia="Calibri"/>
          <w:sz w:val="28"/>
          <w:szCs w:val="28"/>
        </w:rPr>
        <w:t xml:space="preserve"> repeated k-fold results rather than point estimates.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Additional experiments that would strengthen the findings: (</w:t>
      </w:r>
      <w:proofErr w:type="spellStart"/>
      <w:r w:rsidRPr="00A60CBD">
        <w:rPr>
          <w:rFonts w:eastAsia="Calibri"/>
          <w:sz w:val="28"/>
          <w:szCs w:val="28"/>
        </w:rPr>
        <w:t>i</w:t>
      </w:r>
      <w:proofErr w:type="spellEnd"/>
      <w:r w:rsidRPr="00A60CBD">
        <w:rPr>
          <w:rFonts w:eastAsia="Calibri"/>
          <w:sz w:val="28"/>
          <w:szCs w:val="28"/>
        </w:rPr>
        <w:t>) report Precision, Recall, F1-Score and AUC-ROC per model, not just accuracy; (ii) test on an external, independently-collected patient data</w:t>
      </w:r>
      <w:r w:rsidRPr="00A60CBD">
        <w:rPr>
          <w:rFonts w:eastAsia="Calibri"/>
          <w:sz w:val="28"/>
          <w:szCs w:val="28"/>
        </w:rPr>
        <w:t xml:space="preserve">set to check </w:t>
      </w:r>
      <w:proofErr w:type="spellStart"/>
      <w:r w:rsidRPr="00A60CBD">
        <w:rPr>
          <w:rFonts w:eastAsia="Calibri"/>
          <w:sz w:val="28"/>
          <w:szCs w:val="28"/>
        </w:rPr>
        <w:t>generalisation</w:t>
      </w:r>
      <w:proofErr w:type="spellEnd"/>
      <w:r w:rsidRPr="00A60CBD">
        <w:rPr>
          <w:rFonts w:eastAsia="Calibri"/>
          <w:sz w:val="28"/>
          <w:szCs w:val="28"/>
        </w:rPr>
        <w:t xml:space="preserve"> beyond the original cohort; (iii) apply class-balancing (SMOTE / class weighting) and re-compare, since class imbalance likely affects the weaker-performing models disproportionately; (iv) report computational/inference time exp</w:t>
      </w:r>
      <w:r w:rsidRPr="00A60CBD">
        <w:rPr>
          <w:rFonts w:eastAsia="Calibri"/>
          <w:sz w:val="28"/>
          <w:szCs w:val="28"/>
        </w:rPr>
        <w:t>licitly alongside accuracy, since the authors' own stated goal was an accuracy-vs-time trade-off.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(c) Real-World Applicability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Where it can be deployed: a lightweight classifier such as this could power a primary-care or community-health screening tool — a</w:t>
      </w:r>
      <w:r w:rsidRPr="00A60CBD">
        <w:rPr>
          <w:rFonts w:eastAsia="Calibri"/>
          <w:sz w:val="28"/>
          <w:szCs w:val="28"/>
        </w:rPr>
        <w:t xml:space="preserve"> simple intake form (age, BMI, blood pressure, family history, glucose reading) feeding a Decision-Tree- or KNN-based risk score that flags patients for a confirmatory lab test, particularly useful in low-resource clinics without on-site specialists.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Chall</w:t>
      </w:r>
      <w:r w:rsidRPr="00A60CBD">
        <w:rPr>
          <w:rFonts w:eastAsia="Calibri"/>
          <w:sz w:val="28"/>
          <w:szCs w:val="28"/>
        </w:rPr>
        <w:t>enges in scaling to industry: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Data availability: production deployment needs much larger, demographically diverse, and continuously updated patient data — the small benchmark dataset used here is a proof-of-concept, not production-scale training data.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lastRenderedPageBreak/>
        <w:t>Compute: while these classical models are individually cheap to run (a practical advantage over deep learning for point-of-care devices), building and maintaining a robust pipeline (data cleaning, drift monitoring, periodic retraining) still requires ongoi</w:t>
      </w:r>
      <w:r w:rsidRPr="00A60CBD">
        <w:rPr>
          <w:rFonts w:eastAsia="Calibri"/>
          <w:sz w:val="28"/>
          <w:szCs w:val="28"/>
        </w:rPr>
        <w:t>ng engineering and infrastructure investment.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Ethical issues: false negatives in a screening tool can delay treatment, so any clinical rollout needs a human-in-the-loop confirmatory step; there are also data-privacy obligations (patient consent, secure sto</w:t>
      </w:r>
      <w:r w:rsidRPr="00A60CBD">
        <w:rPr>
          <w:rFonts w:eastAsia="Calibri"/>
          <w:sz w:val="28"/>
          <w:szCs w:val="28"/>
        </w:rPr>
        <w:t>rage of sensitive health records) and a fairness obligation to validate the model across age, gender, and ethnic subgroups before trusting it beyond the population it was trained on.</w:t>
      </w:r>
    </w:p>
    <w:p w:rsidR="00D53ACE" w:rsidRPr="00A60CBD" w:rsidRDefault="00A60CBD" w:rsidP="00A60CBD">
      <w:pPr>
        <w:pStyle w:val="Heading1"/>
        <w:spacing w:before="300" w:after="15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color w:val="1F4E79"/>
          <w:sz w:val="28"/>
          <w:szCs w:val="28"/>
        </w:rPr>
        <w:t>Task 4: Reflection &amp; Learning Outcome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(a) Three Key Insights (linked to C</w:t>
      </w:r>
      <w:r w:rsidRPr="00A60CBD">
        <w:rPr>
          <w:rFonts w:eastAsia="Calibri"/>
          <w:b/>
          <w:bCs/>
          <w:sz w:val="28"/>
          <w:szCs w:val="28"/>
        </w:rPr>
        <w:t>O4)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 xml:space="preserve">Insight 1 — Accuracy alone is an incomplete signal: the paper's comparison across five algorithms shows that near-identical accuracy figures can hide very different overfitting </w:t>
      </w:r>
      <w:proofErr w:type="spellStart"/>
      <w:r w:rsidRPr="00A60CBD">
        <w:rPr>
          <w:rFonts w:eastAsia="Calibri"/>
          <w:sz w:val="28"/>
          <w:szCs w:val="28"/>
        </w:rPr>
        <w:t>behaviour</w:t>
      </w:r>
      <w:proofErr w:type="spellEnd"/>
      <w:r w:rsidRPr="00A60CBD">
        <w:rPr>
          <w:rFonts w:eastAsia="Calibri"/>
          <w:sz w:val="28"/>
          <w:szCs w:val="28"/>
        </w:rPr>
        <w:t>; this connects directly to the CO4 idea that model evaluation for</w:t>
      </w:r>
      <w:r w:rsidRPr="00A60CBD">
        <w:rPr>
          <w:rFonts w:eastAsia="Calibri"/>
          <w:sz w:val="28"/>
          <w:szCs w:val="28"/>
        </w:rPr>
        <w:t xml:space="preserve"> decision trees and inductive learners must examine train-vs-test performance, not just a single headline number.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Insight 2 — Different CO4 model families answer different questions: seeing instance-based (KNN), statistical (Naïve Bayes, SVM), and tree-bas</w:t>
      </w:r>
      <w:r w:rsidRPr="00A60CBD">
        <w:rPr>
          <w:rFonts w:eastAsia="Calibri"/>
          <w:sz w:val="28"/>
          <w:szCs w:val="28"/>
        </w:rPr>
        <w:t xml:space="preserve">ed (Decision Tree, Random Forest) models benchmarked side-by-side reinforced the course concept that 'best model' is protocol-dependent — statistical models often </w:t>
      </w:r>
      <w:proofErr w:type="spellStart"/>
      <w:r w:rsidRPr="00A60CBD">
        <w:rPr>
          <w:rFonts w:eastAsia="Calibri"/>
          <w:sz w:val="28"/>
          <w:szCs w:val="28"/>
        </w:rPr>
        <w:t>generalise</w:t>
      </w:r>
      <w:proofErr w:type="spellEnd"/>
      <w:r w:rsidRPr="00A60CBD">
        <w:rPr>
          <w:rFonts w:eastAsia="Calibri"/>
          <w:sz w:val="28"/>
          <w:szCs w:val="28"/>
        </w:rPr>
        <w:t xml:space="preserve"> more predictably on small, roughly linearly-separable clinical data, while tree-ba</w:t>
      </w:r>
      <w:r w:rsidRPr="00A60CBD">
        <w:rPr>
          <w:rFonts w:eastAsia="Calibri"/>
          <w:sz w:val="28"/>
          <w:szCs w:val="28"/>
        </w:rPr>
        <w:t>sed models offer more interpretability, matching the CO4 discussion of when to prefer statistical learning over decision trees (and vice versa).</w:t>
      </w:r>
    </w:p>
    <w:p w:rsidR="00D53ACE" w:rsidRPr="00A60CBD" w:rsidRDefault="00A60CBD" w:rsidP="00A60CBD">
      <w:pPr>
        <w:pStyle w:val="ListParagraph"/>
        <w:numPr>
          <w:ilvl w:val="0"/>
          <w:numId w:val="2"/>
        </w:numPr>
        <w:spacing w:after="80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Insight 3 — Inductive learning is only as good as its labelled data and feature choice: the reliance on a small</w:t>
      </w:r>
      <w:r w:rsidRPr="00A60CBD">
        <w:rPr>
          <w:rFonts w:eastAsia="Calibri"/>
          <w:sz w:val="28"/>
          <w:szCs w:val="28"/>
        </w:rPr>
        <w:t xml:space="preserve"> set of physiological features (glucose, BMI, etc.) illustrates the CO4 inductive-learning principle that the hypothesis space a model can learn is bounded by the features and examples it is given — no algorithm choice can compensate for missing/biased fea</w:t>
      </w:r>
      <w:r w:rsidRPr="00A60CBD">
        <w:rPr>
          <w:rFonts w:eastAsia="Calibri"/>
          <w:sz w:val="28"/>
          <w:szCs w:val="28"/>
        </w:rPr>
        <w:t>tures or under-represented patient subgroups.</w:t>
      </w:r>
    </w:p>
    <w:p w:rsidR="00D53ACE" w:rsidRPr="00A60CBD" w:rsidRDefault="00A60CBD" w:rsidP="00A60CBD">
      <w:pPr>
        <w:spacing w:before="180" w:after="90"/>
        <w:jc w:val="both"/>
        <w:rPr>
          <w:sz w:val="28"/>
          <w:szCs w:val="28"/>
        </w:rPr>
      </w:pPr>
      <w:r w:rsidRPr="00A60CBD">
        <w:rPr>
          <w:rFonts w:eastAsia="Calibri"/>
          <w:b/>
          <w:bCs/>
          <w:sz w:val="28"/>
          <w:szCs w:val="28"/>
        </w:rPr>
        <w:t>(b) Proposed Extension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>Proposed novel experiment: extend the study by (</w:t>
      </w:r>
      <w:proofErr w:type="spellStart"/>
      <w:r w:rsidRPr="00A60CBD">
        <w:rPr>
          <w:rFonts w:eastAsia="Calibri"/>
          <w:sz w:val="28"/>
          <w:szCs w:val="28"/>
        </w:rPr>
        <w:t>i</w:t>
      </w:r>
      <w:proofErr w:type="spellEnd"/>
      <w:r w:rsidRPr="00A60CBD">
        <w:rPr>
          <w:rFonts w:eastAsia="Calibri"/>
          <w:sz w:val="28"/>
          <w:szCs w:val="28"/>
        </w:rPr>
        <w:t>) applying the same five-algorithm comparison to a larger, more demographically diverse, multi-country diabetes dataset (rather than a sin</w:t>
      </w:r>
      <w:r w:rsidRPr="00A60CBD">
        <w:rPr>
          <w:rFonts w:eastAsia="Calibri"/>
          <w:sz w:val="28"/>
          <w:szCs w:val="28"/>
        </w:rPr>
        <w:t>gle narrow cohort), and (ii) adding a cost-sensitive Reinforcement Learning layer on top of the best-performing classifier — using the classifier's risk score as the 'state' input to an RL agent (as introduced in CO4's RL topic) that recommends a next-step</w:t>
      </w:r>
      <w:r w:rsidRPr="00A60CBD">
        <w:rPr>
          <w:rFonts w:eastAsia="Calibri"/>
          <w:sz w:val="28"/>
          <w:szCs w:val="28"/>
        </w:rPr>
        <w:t xml:space="preserve"> action (Monitor / Refer for lab test / Refer to specialist) rather than a static Yes/No diagnosis.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lastRenderedPageBreak/>
        <w:t>Feasibility: the core classifiers used in the original paper are computationally cheap and well-documented, so re-running them on a new, larger dataset is s</w:t>
      </w:r>
      <w:r w:rsidRPr="00A60CBD">
        <w:rPr>
          <w:rFonts w:eastAsia="Calibri"/>
          <w:sz w:val="28"/>
          <w:szCs w:val="28"/>
        </w:rPr>
        <w:t xml:space="preserve">traightforward with existing open-source tooling; the RL extension reuses the same state features and can be built as a small tabular Q-learning agent (as </w:t>
      </w:r>
      <w:proofErr w:type="spellStart"/>
      <w:r w:rsidRPr="00A60CBD">
        <w:rPr>
          <w:rFonts w:eastAsia="Calibri"/>
          <w:sz w:val="28"/>
          <w:szCs w:val="28"/>
        </w:rPr>
        <w:t>practised</w:t>
      </w:r>
      <w:proofErr w:type="spellEnd"/>
      <w:r w:rsidRPr="00A60CBD">
        <w:rPr>
          <w:rFonts w:eastAsia="Calibri"/>
          <w:sz w:val="28"/>
          <w:szCs w:val="28"/>
        </w:rPr>
        <w:t xml:space="preserve"> in Assessment 1 of this course), so no exotic infrastructure is required.</w:t>
      </w:r>
    </w:p>
    <w:p w:rsidR="00D53ACE" w:rsidRPr="00A60CBD" w:rsidRDefault="00A60CBD" w:rsidP="00A60CBD">
      <w:pPr>
        <w:spacing w:after="120" w:line="276" w:lineRule="auto"/>
        <w:jc w:val="both"/>
        <w:rPr>
          <w:sz w:val="28"/>
          <w:szCs w:val="28"/>
        </w:rPr>
      </w:pPr>
      <w:r w:rsidRPr="00A60CBD">
        <w:rPr>
          <w:rFonts w:eastAsia="Calibri"/>
          <w:sz w:val="28"/>
          <w:szCs w:val="28"/>
        </w:rPr>
        <w:t xml:space="preserve">Expected impact: </w:t>
      </w:r>
      <w:r w:rsidRPr="00A60CBD">
        <w:rPr>
          <w:rFonts w:eastAsia="Calibri"/>
          <w:sz w:val="28"/>
          <w:szCs w:val="28"/>
        </w:rPr>
        <w:t xml:space="preserve">a larger, more diverse dataset would produce accuracy and fairness estimates that </w:t>
      </w:r>
      <w:proofErr w:type="spellStart"/>
      <w:r w:rsidRPr="00A60CBD">
        <w:rPr>
          <w:rFonts w:eastAsia="Calibri"/>
          <w:sz w:val="28"/>
          <w:szCs w:val="28"/>
        </w:rPr>
        <w:t>generalise</w:t>
      </w:r>
      <w:proofErr w:type="spellEnd"/>
      <w:r w:rsidRPr="00A60CBD">
        <w:rPr>
          <w:rFonts w:eastAsia="Calibri"/>
          <w:sz w:val="28"/>
          <w:szCs w:val="28"/>
        </w:rPr>
        <w:t xml:space="preserve"> better beyond the original patient cohort, directly addressing the dataset-bias limitation identified in Task 3(b); layering an RL-based action recommender on top </w:t>
      </w:r>
      <w:r w:rsidRPr="00A60CBD">
        <w:rPr>
          <w:rFonts w:eastAsia="Calibri"/>
          <w:sz w:val="28"/>
          <w:szCs w:val="28"/>
        </w:rPr>
        <w:t>would move the system from a one-shot diagnostic label to a decision-support tool that mirrors real clinical workflows (staged escalation rather than a single binary verdict), increasing its practical adoption value while remaining within the algorithmic s</w:t>
      </w:r>
      <w:r w:rsidRPr="00A60CBD">
        <w:rPr>
          <w:rFonts w:eastAsia="Calibri"/>
          <w:sz w:val="28"/>
          <w:szCs w:val="28"/>
        </w:rPr>
        <w:t>cope already covered by CO4.</w:t>
      </w:r>
    </w:p>
    <w:sectPr w:rsidR="00D53ACE" w:rsidRPr="00A60CB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D7A46"/>
    <w:multiLevelType w:val="hybridMultilevel"/>
    <w:tmpl w:val="5B868F6E"/>
    <w:lvl w:ilvl="0" w:tplc="F0DE1DA6">
      <w:start w:val="1"/>
      <w:numFmt w:val="bullet"/>
      <w:lvlText w:val="●"/>
      <w:lvlJc w:val="left"/>
      <w:pPr>
        <w:ind w:left="720" w:hanging="360"/>
      </w:pPr>
    </w:lvl>
    <w:lvl w:ilvl="1" w:tplc="B7FE3BE2">
      <w:start w:val="1"/>
      <w:numFmt w:val="bullet"/>
      <w:lvlText w:val="○"/>
      <w:lvlJc w:val="left"/>
      <w:pPr>
        <w:ind w:left="1440" w:hanging="360"/>
      </w:pPr>
    </w:lvl>
    <w:lvl w:ilvl="2" w:tplc="A1DC1B76">
      <w:start w:val="1"/>
      <w:numFmt w:val="bullet"/>
      <w:lvlText w:val="■"/>
      <w:lvlJc w:val="left"/>
      <w:pPr>
        <w:ind w:left="2160" w:hanging="360"/>
      </w:pPr>
    </w:lvl>
    <w:lvl w:ilvl="3" w:tplc="C94863E8">
      <w:start w:val="1"/>
      <w:numFmt w:val="bullet"/>
      <w:lvlText w:val="●"/>
      <w:lvlJc w:val="left"/>
      <w:pPr>
        <w:ind w:left="2880" w:hanging="360"/>
      </w:pPr>
    </w:lvl>
    <w:lvl w:ilvl="4" w:tplc="288004BE">
      <w:start w:val="1"/>
      <w:numFmt w:val="bullet"/>
      <w:lvlText w:val="○"/>
      <w:lvlJc w:val="left"/>
      <w:pPr>
        <w:ind w:left="3600" w:hanging="360"/>
      </w:pPr>
    </w:lvl>
    <w:lvl w:ilvl="5" w:tplc="56BC0064">
      <w:start w:val="1"/>
      <w:numFmt w:val="bullet"/>
      <w:lvlText w:val="■"/>
      <w:lvlJc w:val="left"/>
      <w:pPr>
        <w:ind w:left="4320" w:hanging="360"/>
      </w:pPr>
    </w:lvl>
    <w:lvl w:ilvl="6" w:tplc="6E24D886">
      <w:start w:val="1"/>
      <w:numFmt w:val="bullet"/>
      <w:lvlText w:val="●"/>
      <w:lvlJc w:val="left"/>
      <w:pPr>
        <w:ind w:left="5040" w:hanging="360"/>
      </w:pPr>
    </w:lvl>
    <w:lvl w:ilvl="7" w:tplc="040C82DC">
      <w:start w:val="1"/>
      <w:numFmt w:val="bullet"/>
      <w:lvlText w:val="●"/>
      <w:lvlJc w:val="left"/>
      <w:pPr>
        <w:ind w:left="5760" w:hanging="360"/>
      </w:pPr>
    </w:lvl>
    <w:lvl w:ilvl="8" w:tplc="A11ACC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907DFE"/>
    <w:multiLevelType w:val="hybridMultilevel"/>
    <w:tmpl w:val="9546470C"/>
    <w:lvl w:ilvl="0" w:tplc="E454108C">
      <w:start w:val="1"/>
      <w:numFmt w:val="bullet"/>
      <w:lvlText w:val="•"/>
      <w:lvlJc w:val="left"/>
      <w:pPr>
        <w:ind w:left="450" w:hanging="260"/>
      </w:pPr>
    </w:lvl>
    <w:lvl w:ilvl="1" w:tplc="391671D4">
      <w:numFmt w:val="decimal"/>
      <w:lvlText w:val=""/>
      <w:lvlJc w:val="left"/>
    </w:lvl>
    <w:lvl w:ilvl="2" w:tplc="5428F1BE">
      <w:numFmt w:val="decimal"/>
      <w:lvlText w:val=""/>
      <w:lvlJc w:val="left"/>
    </w:lvl>
    <w:lvl w:ilvl="3" w:tplc="9962D02C">
      <w:numFmt w:val="decimal"/>
      <w:lvlText w:val=""/>
      <w:lvlJc w:val="left"/>
    </w:lvl>
    <w:lvl w:ilvl="4" w:tplc="BCC69522">
      <w:numFmt w:val="decimal"/>
      <w:lvlText w:val=""/>
      <w:lvlJc w:val="left"/>
    </w:lvl>
    <w:lvl w:ilvl="5" w:tplc="C43CEDCA">
      <w:numFmt w:val="decimal"/>
      <w:lvlText w:val=""/>
      <w:lvlJc w:val="left"/>
    </w:lvl>
    <w:lvl w:ilvl="6" w:tplc="18CC9596">
      <w:numFmt w:val="decimal"/>
      <w:lvlText w:val=""/>
      <w:lvlJc w:val="left"/>
    </w:lvl>
    <w:lvl w:ilvl="7" w:tplc="222A2652">
      <w:numFmt w:val="decimal"/>
      <w:lvlText w:val=""/>
      <w:lvlJc w:val="left"/>
    </w:lvl>
    <w:lvl w:ilvl="8" w:tplc="9000F5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ACE"/>
    <w:rsid w:val="00A60CBD"/>
    <w:rsid w:val="00D5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3FC6"/>
  <w15:docId w15:val="{45DBBB9D-17EE-446E-B99F-DCA9F6C5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Style12">
    <w:name w:val="_Style 12"/>
    <w:basedOn w:val="TableNormal"/>
    <w:rsid w:val="00A60CBD"/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9398759" TargetMode="External"/><Relationship Id="rId5" Type="http://schemas.openxmlformats.org/officeDocument/2006/relationships/hyperlink" Target="https://doi.org/10.1109/IECBES48179.2021.93987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2750</Words>
  <Characters>15675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2026-08-18T08:12:00Z</dcterms:created>
  <dcterms:modified xsi:type="dcterms:W3CDTF">2026-08-18T08:12:00Z</dcterms:modified>
</cp:coreProperties>
</file>