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60CBD" w:rsidRDefault="00A60CBD">
      <w:pPr>
        <w:jc w:val="center"/>
        <w:rPr>
          <w:rFonts w:ascii="Arial" w:eastAsia="Arial" w:hAnsi="Arial" w:cs="Arial"/>
          <w:b/>
          <w:bCs/>
          <w:sz w:val="34"/>
          <w:szCs w:val="34"/>
        </w:rPr>
      </w:pPr>
    </w:p>
    <w:p w:rsidR="00A60CBD" w:rsidRDefault="00A60CBD">
      <w:pPr>
        <w:jc w:val="center"/>
        <w:rPr>
          <w:rFonts w:ascii="Arial" w:eastAsia="Arial" w:hAnsi="Arial" w:cs="Arial"/>
          <w:b/>
          <w:bCs/>
          <w:sz w:val="34"/>
          <w:szCs w:val="34"/>
        </w:rPr>
      </w:pPr>
      <w:r>
        <w:rPr>
          <w:rFonts w:ascii="Arial" w:eastAsia="Arial" w:hAnsi="Arial" w:cs="Arial"/>
          <w:b/>
          <w:bCs/>
          <w:sz w:val="34"/>
          <w:szCs w:val="34"/>
        </w:rPr>
        <w:t>SIMATS ENGINEERING</w:t>
      </w:r>
    </w:p>
    <w:p w:rsidR="00A60CBD" w:rsidRDefault="00A60CBD">
      <w:pPr>
        <w:jc w:val="center"/>
        <w:rPr>
          <w:rFonts w:ascii="Arial" w:eastAsia="Arial" w:hAnsi="Arial" w:cs="Arial"/>
          <w:b/>
          <w:bCs/>
          <w:sz w:val="28"/>
          <w:szCs w:val="28"/>
        </w:rPr>
      </w:pPr>
      <w:r>
        <w:rPr>
          <w:rFonts w:ascii="Arial" w:eastAsia="Arial" w:hAnsi="Arial" w:cs="Arial"/>
          <w:b/>
          <w:bCs/>
          <w:sz w:val="28"/>
          <w:szCs w:val="28"/>
        </w:rPr>
        <w:t>ASSESSMENT TOOL 2</w:t>
      </w:r>
    </w:p>
    <w:p w:rsidR="00A60CBD" w:rsidRDefault="00A60CBD">
      <w:pPr>
        <w:jc w:val="center"/>
        <w:rPr>
          <w:rFonts w:ascii="Arial" w:eastAsia="Arial" w:hAnsi="Arial" w:cs="Arial"/>
          <w:b/>
          <w:bCs/>
          <w:sz w:val="34"/>
          <w:szCs w:val="34"/>
        </w:rPr>
      </w:pPr>
    </w:p>
    <w:p w:rsidR="00A60CBD" w:rsidRDefault="00A60CBD">
      <w:pPr>
        <w:jc w:val="center"/>
        <w:rPr>
          <w:rFonts w:ascii="Arial" w:eastAsia="Arial" w:hAnsi="Arial" w:cs="Arial"/>
          <w:b/>
          <w:bCs/>
          <w:sz w:val="34"/>
          <w:szCs w:val="34"/>
        </w:rPr>
      </w:pPr>
    </w:p>
    <w:p w:rsidR="00A60CBD" w:rsidRDefault="00A60CBD">
      <w:pPr>
        <w:rPr>
          <w:rFonts w:ascii="Arial" w:eastAsia="Arial" w:hAnsi="Arial" w:cs="Arial"/>
          <w:b/>
          <w:bCs/>
        </w:rPr>
      </w:pPr>
      <w:r>
        <w:rPr>
          <w:rFonts w:ascii="Arial" w:eastAsia="Arial" w:hAnsi="Arial" w:cs="Arial"/>
          <w:b/>
          <w:bCs/>
        </w:rPr>
        <w:t>COURSE NAME: Artificial Intelligence</w:t>
      </w:r>
      <w:r>
        <w:rPr>
          <w:rFonts w:ascii="Arial" w:eastAsia="Arial" w:hAnsi="Arial" w:cs="Arial"/>
          <w:b/>
          <w:bCs/>
        </w:rPr>
        <w:tab/>
      </w:r>
      <w:r>
        <w:rPr>
          <w:rFonts w:ascii="Arial" w:eastAsia="Arial" w:hAnsi="Arial" w:cs="Arial"/>
          <w:b/>
          <w:bCs/>
        </w:rPr>
        <w:tab/>
        <w:t xml:space="preserve">                                                               COURSE CODE:</w:t>
      </w:r>
      <w:r>
        <w:rPr>
          <w:rFonts w:ascii="Arial" w:eastAsia="Arial" w:hAnsi="Arial" w:cs="Arial"/>
        </w:rPr>
        <w:t xml:space="preserve"> </w:t>
      </w:r>
      <w:r>
        <w:rPr>
          <w:rFonts w:ascii="Arial" w:eastAsia="Arial" w:hAnsi="Arial" w:cs="Arial"/>
          <w:b/>
          <w:bCs/>
        </w:rPr>
        <w:t>CSA17</w:t>
      </w:r>
      <w:r>
        <w:rPr>
          <w:rFonts w:ascii="Arial" w:eastAsia="Arial" w:hAnsi="Arial" w:cs="Arial"/>
          <w:b/>
          <w:bCs/>
        </w:rPr>
        <w:tab/>
        <w:t>NAME: EKALAIVAN L</w:t>
      </w:r>
      <w:r>
        <w:rPr>
          <w:rFonts w:ascii="Arial" w:eastAsia="Arial" w:hAnsi="Arial" w:cs="Arial"/>
          <w:b/>
          <w:bCs/>
        </w:rPr>
        <w:tab/>
        <w:t xml:space="preserve">                                                                                                    DATA: 18/8/2026</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p>
    <w:p w:rsidR="00A60CBD" w:rsidRDefault="00A60CBD">
      <w:pPr>
        <w:rPr>
          <w:rFonts w:ascii="Arial" w:eastAsia="Arial" w:hAnsi="Arial" w:cs="Arial"/>
          <w:b/>
          <w:bCs/>
        </w:rPr>
      </w:pPr>
    </w:p>
    <w:p w:rsidR="00A60CBD" w:rsidRDefault="00A60CBD">
      <w:pPr>
        <w:rPr>
          <w:rFonts w:ascii="Arial" w:eastAsia="Arial" w:hAnsi="Arial" w:cs="Arial"/>
          <w:b/>
          <w:bCs/>
        </w:rPr>
      </w:pPr>
      <w:r>
        <w:rPr>
          <w:rFonts w:ascii="Arial" w:eastAsia="Arial" w:hAnsi="Arial" w:cs="Arial"/>
          <w:noProof/>
          <w:sz w:val="22"/>
          <w:szCs w:val="22"/>
        </w:rPr>
        <mc:AlternateContent>
          <mc:Choice Requires="wps">
            <w:drawing>
              <wp:inline distT="0" distB="0" distL="0" distR="0">
                <wp:extent cx="5742940" cy="23495"/>
                <wp:effectExtent l="0" t="0" r="0" b="0"/>
                <wp:docPr id="2" name="Rectangle 2"/>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9525" cap="flat" cmpd="sng">
                          <a:solidFill>
                            <a:srgbClr val="000000"/>
                          </a:solidFill>
                          <a:prstDash val="solid"/>
                          <a:miter lim="800000"/>
                          <a:headEnd type="none" w="sm" len="sm"/>
                          <a:tailEnd type="none" w="sm" len="sm"/>
                        </a:ln>
                      </wps:spPr>
                      <wps:txbx>
                        <w:txbxContent>
                          <w:p w:rsidR="00A60CBD" w:rsidRDefault="00A60CBD"/>
                        </w:txbxContent>
                      </wps:txbx>
                      <wps:bodyPr spcFirstLastPara="1" wrap="square" lIns="91425" tIns="91425" rIns="91425" bIns="91425" anchor="ctr" anchorCtr="0">
                        <a:noAutofit/>
                      </wps:bodyPr>
                    </wps:wsp>
                  </a:graphicData>
                </a:graphic>
              </wp:inline>
            </w:drawing>
          </mc:Choice>
          <mc:Fallback>
            <w:pict>
              <v:rect id="Rectangle 2" o:spid="_x0000_s1026" style="width:452.2pt;height:1.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" filled="f">
                <v:stroke startarrowwidth="narrow" startarrowlength="short" endarrowwidth="narrow" endarrowlength="short"/>
                <v:textbox inset="2.53958mm,2.53958mm,2.53958mm,2.53958mm">
                  <w:txbxContent>
                    <w:p w:rsidR="00A60CBD" w:rsidRDefault="00A60CBD"/>
                  </w:txbxContent>
                </v:textbox>
                <w10:anchorlock/>
              </v:rect>
            </w:pict>
          </mc:Fallback>
        </mc:AlternateContent>
      </w:r>
    </w:p>
    <w:p w:rsidR="00A60CBD" w:rsidRDefault="00A60CBD">
      <w:pPr>
        <w:rPr>
          <w:rFonts w:ascii="Arial" w:eastAsia="Arial" w:hAnsi="Arial" w:cs="Arial"/>
          <w:b/>
          <w:bCs/>
        </w:rPr>
      </w:pPr>
    </w:p>
    <w:p w:rsidR="00A60CBD" w:rsidRDefault="00A60CBD">
      <w:pPr>
        <w:rPr>
          <w:rFonts w:ascii="Arial" w:eastAsia="Arial" w:hAnsi="Arial" w:cs="Arial"/>
          <w:b/>
          <w:bCs/>
        </w:rPr>
      </w:pPr>
      <w:r>
        <w:rPr>
          <w:rFonts w:ascii="Arial" w:eastAsia="Arial" w:hAnsi="Arial" w:cs="Arial"/>
          <w:b/>
          <w:bCs/>
        </w:rPr>
        <w:t>COURSE OUTCOME COVERED</w:t>
      </w:r>
    </w:p>
    <w:p w:rsidR="00A60CBD" w:rsidRDefault="00A60CBD">
      <w:pPr>
        <w:rPr>
          <w:rFonts w:ascii="Arial" w:eastAsia="Arial" w:hAnsi="Arial" w:cs="Arial"/>
          <w:b/>
          <w:bCs/>
        </w:rPr>
      </w:pPr>
    </w:p>
    <w:p w:rsidR="00A60CBD" w:rsidRDefault="00A60CBD">
      <w:pPr>
        <w:rPr>
          <w:rFonts w:ascii="Arial" w:eastAsia="Arial" w:hAnsi="Arial" w:cs="Arial"/>
          <w:i/>
          <w:iCs/>
          <w:color w:val="000000"/>
        </w:rPr>
      </w:pPr>
      <w:r>
        <w:rPr>
          <w:rFonts w:ascii="Arial" w:eastAsia="Arial" w:hAnsi="Arial" w:cs="Arial"/>
          <w:b/>
          <w:bCs/>
          <w:i/>
          <w:iCs/>
        </w:rPr>
        <w:t xml:space="preserve">CO4: </w:t>
      </w:r>
      <w:r>
        <w:rPr>
          <w:rFonts w:ascii="Arial" w:eastAsia="Arial" w:hAnsi="Arial" w:cs="Arial"/>
          <w:i/>
          <w:iCs/>
          <w:color w:val="000000"/>
        </w:rPr>
        <w:t xml:space="preserve">Implement machine learning techniques including decision tree algorithms, reinforcement learning, </w:t>
      </w:r>
    </w:p>
    <w:p w:rsidR="00A60CBD" w:rsidRDefault="00A60CBD">
      <w:pPr>
        <w:rPr>
          <w:rFonts w:ascii="Arial" w:eastAsia="Arial" w:hAnsi="Arial" w:cs="Arial"/>
          <w:i/>
          <w:iCs/>
          <w:color w:val="000000"/>
        </w:rPr>
      </w:pPr>
      <w:r>
        <w:rPr>
          <w:rFonts w:ascii="Arial" w:eastAsia="Arial" w:hAnsi="Arial" w:cs="Arial"/>
          <w:i/>
          <w:iCs/>
          <w:color w:val="000000"/>
        </w:rPr>
        <w:t>and build models for classification and decision-making. (BL3)</w:t>
      </w:r>
    </w:p>
    <w:p w:rsidR="00A60CBD" w:rsidRDefault="00A60CBD">
      <w:pPr>
        <w:rPr>
          <w:rFonts w:ascii="Arial" w:eastAsia="Arial" w:hAnsi="Arial" w:cs="Arial"/>
          <w:i/>
          <w:iCs/>
        </w:rPr>
      </w:pPr>
    </w:p>
    <w:p w:rsidR="00A60CBD" w:rsidRDefault="00A60CBD">
      <w:pPr>
        <w:rPr>
          <w:rFonts w:ascii="Arial" w:eastAsia="Arial" w:hAnsi="Arial" w:cs="Arial"/>
          <w:i/>
          <w:iCs/>
        </w:rPr>
      </w:pPr>
      <w:r>
        <w:rPr>
          <w:rFonts w:ascii="Arial" w:eastAsia="Arial" w:hAnsi="Arial" w:cs="Arial"/>
          <w:i/>
          <w:iCs/>
        </w:rPr>
        <w:t>Assessment Tool Weightage: 10%</w:t>
      </w:r>
    </w:p>
    <w:p w:rsidR="00A60CBD" w:rsidRDefault="00A60CBD">
      <w:pPr>
        <w:rPr>
          <w:rFonts w:ascii="Arial" w:eastAsia="Arial" w:hAnsi="Arial" w:cs="Arial"/>
          <w:i/>
          <w:iCs/>
        </w:rPr>
      </w:pPr>
    </w:p>
    <w:p w:rsidR="00A60CBD" w:rsidRDefault="00A60CBD">
      <w:pPr>
        <w:rPr>
          <w:rFonts w:ascii="Arial" w:eastAsia="Arial" w:hAnsi="Arial" w:cs="Arial"/>
        </w:rPr>
      </w:pPr>
      <w:r>
        <w:rPr>
          <w:rFonts w:ascii="Arial" w:eastAsia="Arial" w:hAnsi="Arial" w:cs="Arial"/>
          <w:noProof/>
          <w:sz w:val="22"/>
          <w:szCs w:val="22"/>
        </w:rPr>
        <mc:AlternateContent>
          <mc:Choice Requires="wps">
            <w:drawing>
              <wp:inline distT="0" distB="0" distL="0" distR="0">
                <wp:extent cx="5742940" cy="23495"/>
                <wp:effectExtent l="0" t="0" r="0" b="0"/>
                <wp:docPr id="1" name="Rectangle 1"/>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9525" cap="flat" cmpd="sng">
                          <a:solidFill>
                            <a:srgbClr val="000000"/>
                          </a:solidFill>
                          <a:prstDash val="solid"/>
                          <a:miter lim="800000"/>
                          <a:headEnd type="none" w="sm" len="sm"/>
                          <a:tailEnd type="none" w="sm" len="sm"/>
                        </a:ln>
                      </wps:spPr>
                      <wps:txbx>
                        <w:txbxContent>
                          <w:p w:rsidR="00A60CBD" w:rsidRDefault="00A60CBD"/>
                        </w:txbxContent>
                      </wps:txbx>
                      <wps:bodyPr spcFirstLastPara="1" wrap="square" lIns="91425" tIns="91425" rIns="91425" bIns="91425" anchor="ctr" anchorCtr="0">
                        <a:noAutofit/>
                      </wps:bodyPr>
                    </wps:wsp>
                  </a:graphicData>
                </a:graphic>
              </wp:inline>
            </w:drawing>
          </mc:Choice>
          <mc:Fallback>
            <w:pict>
              <v:rect id="Rectangle 1" o:spid="_x0000_s1027" style="width:452.2pt;height:1.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" filled="f">
                <v:stroke startarrowwidth="narrow" startarrowlength="short" endarrowwidth="narrow" endarrowlength="short"/>
                <v:textbox inset="2.53958mm,2.53958mm,2.53958mm,2.53958mm">
                  <w:txbxContent>
                    <w:p w:rsidR="00A60CBD" w:rsidRDefault="00A60CBD"/>
                  </w:txbxContent>
                </v:textbox>
                <w10:anchorlock/>
              </v:rect>
            </w:pict>
          </mc:Fallback>
        </mc:AlternateContent>
      </w:r>
    </w:p>
    <w:p w:rsidR="00A60CBD" w:rsidRDefault="00A60CBD">
      <w:pPr>
        <w:rPr>
          <w:rFonts w:ascii="Arial" w:eastAsia="Arial" w:hAnsi="Arial" w:cs="Arial"/>
          <w:b/>
          <w:bCs/>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proofErr w:type="gramStart"/>
      <w:r>
        <w:rPr>
          <w:rFonts w:ascii="Arial" w:eastAsia="Arial" w:hAnsi="Arial" w:cs="Arial"/>
          <w:b/>
          <w:bCs/>
        </w:rPr>
        <w:t>Duration :</w:t>
      </w:r>
      <w:proofErr w:type="gramEnd"/>
      <w:r>
        <w:rPr>
          <w:rFonts w:ascii="Arial" w:eastAsia="Arial" w:hAnsi="Arial" w:cs="Arial"/>
          <w:b/>
          <w:bCs/>
        </w:rPr>
        <w:t xml:space="preserve"> 1 hour</w:t>
      </w:r>
    </w:p>
    <w:p w:rsidR="00A60CBD" w:rsidRDefault="00A60CBD">
      <w:pPr>
        <w:rPr>
          <w:rFonts w:ascii="Arial" w:eastAsia="Arial" w:hAnsi="Arial" w:cs="Arial"/>
        </w:rPr>
      </w:pPr>
    </w:p>
    <w:p w:rsidR="00A60CBD" w:rsidRDefault="00A60CBD">
      <w:pPr>
        <w:rPr>
          <w:rFonts w:ascii="Arial" w:eastAsia="Arial" w:hAnsi="Arial" w:cs="Arial"/>
          <w:b/>
          <w:bCs/>
        </w:rPr>
      </w:pPr>
      <w:r>
        <w:rPr>
          <w:rFonts w:ascii="Arial" w:eastAsia="Arial" w:hAnsi="Arial" w:cs="Arial"/>
          <w:b/>
          <w:bCs/>
        </w:rPr>
        <w:t>QUESTIONS: 4</w:t>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r>
      <w:r>
        <w:rPr>
          <w:rFonts w:ascii="Arial" w:eastAsia="Arial" w:hAnsi="Arial" w:cs="Arial"/>
          <w:b/>
          <w:bCs/>
        </w:rPr>
        <w:tab/>
        <w:t xml:space="preserve">                 Total Marks:40</w:t>
      </w:r>
    </w:p>
    <w:p w:rsidR="00A60CBD" w:rsidRDefault="00A60CBD">
      <w:pPr>
        <w:rPr>
          <w:rFonts w:ascii="Arial" w:eastAsia="Arial" w:hAnsi="Arial" w:cs="Arial"/>
        </w:rPr>
      </w:pPr>
      <w:r>
        <w:rPr>
          <w:rFonts w:ascii="Arial" w:eastAsia="Arial" w:hAnsi="Arial" w:cs="Arial"/>
        </w:rPr>
        <w:t xml:space="preserve">   </w:t>
      </w:r>
    </w:p>
    <w:p w:rsidR="00A60CBD" w:rsidRDefault="00A60CBD">
      <w:pPr>
        <w:jc w:val="center"/>
        <w:rPr>
          <w:rFonts w:ascii="Arial" w:eastAsia="Arial" w:hAnsi="Arial" w:cs="Arial"/>
        </w:rPr>
      </w:pPr>
      <w:r>
        <w:rPr>
          <w:rFonts w:ascii="Arial" w:eastAsia="Arial" w:hAnsi="Arial" w:cs="Arial"/>
        </w:rPr>
        <w:t>Annexure A</w:t>
      </w:r>
    </w:p>
    <w:p w:rsidR="00A60CBD" w:rsidRDefault="00A60CBD">
      <w:pPr>
        <w:jc w:val="center"/>
        <w:rPr>
          <w:rFonts w:ascii="Arial" w:eastAsia="Arial" w:hAnsi="Arial" w:cs="Arial"/>
          <w:b/>
          <w:bCs/>
        </w:rPr>
      </w:pPr>
    </w:p>
    <w:p w:rsidR="00A60CBD" w:rsidRDefault="00A60CBD">
      <w:pPr>
        <w:spacing w:before="80" w:after="40"/>
        <w:jc w:val="center"/>
        <w:rPr>
          <w:rFonts w:ascii="Arial" w:eastAsia="Arial" w:hAnsi="Arial" w:cs="Arial"/>
          <w:i/>
          <w:iCs/>
        </w:rPr>
      </w:pPr>
      <w:r>
        <w:rPr>
          <w:rFonts w:ascii="Arial" w:eastAsia="Arial" w:hAnsi="Arial" w:cs="Arial"/>
          <w:b/>
          <w:bCs/>
        </w:rPr>
        <w:t>ARTICLE REVIEW</w:t>
      </w:r>
    </w:p>
    <w:p w:rsidR="00A60CBD" w:rsidRDefault="00A60CBD">
      <w:pPr>
        <w:rPr>
          <w:rFonts w:ascii="Arial" w:eastAsia="Arial" w:hAnsi="Arial" w:cs="Arial"/>
          <w:b/>
          <w:bCs/>
        </w:rPr>
      </w:pPr>
    </w:p>
    <w:p w:rsidR="00A60CBD" w:rsidRDefault="00A60CBD">
      <w:pPr>
        <w:rPr>
          <w:rFonts w:ascii="Arial" w:eastAsia="Arial" w:hAnsi="Arial" w:cs="Arial"/>
          <w:b/>
          <w:bCs/>
        </w:rPr>
      </w:pPr>
      <w:r>
        <w:rPr>
          <w:rFonts w:ascii="Arial" w:eastAsia="Arial" w:hAnsi="Arial" w:cs="Arial"/>
          <w:noProof/>
          <w:sz w:val="22"/>
          <w:szCs w:val="22"/>
        </w:rPr>
        <mc:AlternateContent>
          <mc:Choice Requires="wps">
            <w:drawing>
              <wp:inline distT="0" distB="0" distL="0" distR="0">
                <wp:extent cx="5742940" cy="23495"/>
                <wp:effectExtent l="0" t="0" r="0" b="0"/>
                <wp:docPr id="3" name="Rectangle 3"/>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9525" cap="flat" cmpd="sng">
                          <a:solidFill>
                            <a:srgbClr val="000000"/>
                          </a:solidFill>
                          <a:prstDash val="solid"/>
                          <a:miter lim="800000"/>
                          <a:headEnd type="none" w="sm" len="sm"/>
                          <a:tailEnd type="none" w="sm" len="sm"/>
                        </a:ln>
                      </wps:spPr>
                      <wps:txbx>
                        <w:txbxContent>
                          <w:p w:rsidR="00A60CBD" w:rsidRDefault="00A60CBD"/>
                        </w:txbxContent>
                      </wps:txbx>
                      <wps:bodyPr spcFirstLastPara="1" wrap="square" lIns="91425" tIns="91425" rIns="91425" bIns="91425" anchor="ctr" anchorCtr="0">
                        <a:noAutofit/>
                      </wps:bodyPr>
                    </wps:wsp>
                  </a:graphicData>
                </a:graphic>
              </wp:inline>
            </w:drawing>
          </mc:Choice>
          <mc:Fallback>
            <w:pict>
              <v:rect id="Rectangle 3" o:spid="_x0000_s1028" style="width:452.2pt;height:1.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" filled="f">
                <v:stroke startarrowwidth="narrow" startarrowlength="short" endarrowwidth="narrow" endarrowlength="short"/>
                <v:textbox inset="2.53958mm,2.53958mm,2.53958mm,2.53958mm">
                  <w:txbxContent>
                    <w:p w:rsidR="00A60CBD" w:rsidRDefault="00A60CBD"/>
                  </w:txbxContent>
                </v:textbox>
                <w10:anchorlock/>
              </v:rect>
            </w:pict>
          </mc:Fallback>
        </mc:AlternateContent>
      </w:r>
    </w:p>
    <w:p w:rsidR="00A60CBD" w:rsidRDefault="00A60CBD">
      <w:pPr>
        <w:rPr>
          <w:rFonts w:ascii="Arial" w:eastAsia="Arial" w:hAnsi="Arial" w:cs="Arial"/>
          <w:b/>
          <w:bCs/>
        </w:rPr>
      </w:pPr>
    </w:p>
    <w:p w:rsidR="00A60CBD" w:rsidRDefault="00A60CBD">
      <w:pPr>
        <w:rPr>
          <w:rFonts w:ascii="Arial" w:eastAsia="Arial" w:hAnsi="Arial" w:cs="Arial"/>
          <w:b/>
          <w:bCs/>
          <w:i/>
          <w:iCs/>
        </w:rPr>
      </w:pPr>
    </w:p>
    <w:p w:rsidR="00A60CBD" w:rsidRDefault="00A60CBD">
      <w:pPr>
        <w:rPr>
          <w:rFonts w:ascii="Arial" w:eastAsia="Arial" w:hAnsi="Arial" w:cs="Arial"/>
          <w:b/>
          <w:bCs/>
          <w:i/>
          <w:iCs/>
        </w:rPr>
      </w:pPr>
    </w:p>
    <w:p w:rsidR="00A60CBD" w:rsidRDefault="00A60CBD">
      <w:pPr>
        <w:rPr>
          <w:rFonts w:ascii="Arial" w:eastAsia="Arial" w:hAnsi="Arial" w:cs="Arial"/>
          <w:b/>
          <w:bCs/>
          <w:i/>
          <w:iCs/>
        </w:rPr>
      </w:pPr>
      <w:r>
        <w:rPr>
          <w:rFonts w:ascii="Arial" w:eastAsia="Arial" w:hAnsi="Arial" w:cs="Arial"/>
          <w:b/>
          <w:bCs/>
          <w:i/>
          <w:iCs/>
        </w:rPr>
        <w:t>Code of Conduct:</w:t>
      </w:r>
    </w:p>
    <w:p w:rsidR="00A60CBD" w:rsidRDefault="00A60CBD">
      <w:pPr>
        <w:rPr>
          <w:rFonts w:ascii="Arial" w:eastAsia="Arial" w:hAnsi="Arial" w:cs="Arial"/>
          <w:i/>
          <w:iCs/>
        </w:rPr>
      </w:pPr>
    </w:p>
    <w:p w:rsidR="00A60CBD" w:rsidRDefault="00A60CBD">
      <w:pPr>
        <w:jc w:val="both"/>
        <w:rPr>
          <w:rFonts w:ascii="Arial" w:eastAsia="Arial" w:hAnsi="Arial" w:cs="Arial"/>
          <w:i/>
          <w:iCs/>
        </w:rPr>
      </w:pPr>
      <w:proofErr w:type="gramStart"/>
      <w:r>
        <w:rPr>
          <w:rFonts w:ascii="Arial" w:eastAsia="Arial" w:hAnsi="Arial" w:cs="Arial"/>
          <w:i/>
          <w:iCs/>
        </w:rPr>
        <w:t>I</w:t>
      </w:r>
      <w:r>
        <w:rPr>
          <w:rFonts w:ascii="Arial" w:eastAsia="Arial" w:hAnsi="Arial" w:cs="Arial"/>
          <w:b/>
          <w:i/>
          <w:iCs/>
          <w:u w:val="single"/>
        </w:rPr>
        <w:t>EKALAIVAN</w:t>
      </w:r>
      <w:r w:rsidRPr="00A60CBD">
        <w:rPr>
          <w:rFonts w:ascii="Arial" w:eastAsia="Arial" w:hAnsi="Arial" w:cs="Arial"/>
          <w:b/>
          <w:i/>
          <w:iCs/>
          <w:u w:val="single"/>
        </w:rPr>
        <w:t>L(</w:t>
      </w:r>
      <w:proofErr w:type="gramEnd"/>
      <w:r w:rsidRPr="00A60CBD">
        <w:rPr>
          <w:rFonts w:ascii="Arial" w:eastAsia="Arial" w:hAnsi="Arial" w:cs="Arial"/>
          <w:b/>
          <w:i/>
          <w:iCs/>
          <w:u w:val="single"/>
        </w:rPr>
        <w:t>192524450)</w:t>
      </w:r>
      <w:r>
        <w:rPr>
          <w:rFonts w:ascii="Arial" w:eastAsia="Arial" w:hAnsi="Arial" w:cs="Arial"/>
          <w:i/>
          <w:iCs/>
        </w:rPr>
        <w:t xml:space="preserve"> (Name / Reg No) certify that this submission is my original work and that I have adhered </w:t>
      </w:r>
    </w:p>
    <w:p w:rsidR="00A60CBD" w:rsidRDefault="00A60CBD">
      <w:pPr>
        <w:jc w:val="both"/>
        <w:rPr>
          <w:rFonts w:ascii="Arial" w:eastAsia="Arial" w:hAnsi="Arial" w:cs="Arial"/>
          <w:i/>
          <w:iCs/>
        </w:rPr>
      </w:pPr>
      <w:r>
        <w:rPr>
          <w:rFonts w:ascii="Arial" w:eastAsia="Arial" w:hAnsi="Arial" w:cs="Arial"/>
          <w:i/>
          <w:iCs/>
        </w:rPr>
        <w:t>to the guidelines specified for this assessment.</w:t>
      </w:r>
    </w:p>
    <w:p w:rsidR="00A60CBD" w:rsidRDefault="00A60CBD">
      <w:pPr>
        <w:jc w:val="both"/>
        <w:rPr>
          <w:rFonts w:ascii="Arial" w:eastAsia="Arial" w:hAnsi="Arial" w:cs="Arial"/>
          <w:i/>
          <w:iCs/>
        </w:rPr>
      </w:pPr>
      <w:r>
        <w:rPr>
          <w:rFonts w:ascii="Arial" w:eastAsia="Arial" w:hAnsi="Arial" w:cs="Arial"/>
          <w:i/>
          <w:iCs/>
        </w:rPr>
        <w:t>I understand that any violation of academic integrity rules will result in disciplinary action.</w:t>
      </w:r>
    </w:p>
    <w:p w:rsidR="00A60CBD" w:rsidRDefault="00A60CBD">
      <w:pPr>
        <w:rPr>
          <w:rFonts w:ascii="Arial" w:eastAsia="Arial" w:hAnsi="Arial" w:cs="Arial"/>
          <w:i/>
          <w:iCs/>
        </w:rPr>
      </w:pPr>
    </w:p>
    <w:p w:rsidR="00A60CBD" w:rsidRDefault="00A60CBD">
      <w:pPr>
        <w:rPr>
          <w:rFonts w:ascii="Arial" w:eastAsia="Arial" w:hAnsi="Arial" w:cs="Arial"/>
          <w:b/>
          <w:bCs/>
          <w:i/>
          <w:iCs/>
        </w:rPr>
      </w:pPr>
      <w:r>
        <w:rPr>
          <w:rFonts w:ascii="Arial" w:eastAsia="Arial" w:hAnsi="Arial" w:cs="Arial"/>
          <w:b/>
          <w:bCs/>
          <w:i/>
          <w:iCs/>
        </w:rPr>
        <w:t>Signature of the student:</w:t>
      </w:r>
    </w:p>
    <w:p w:rsidR="00AB77CF" w:rsidRDefault="00AB77CF"/>
    <w:p w:rsidR="00A60CBD" w:rsidRDefault="00AB77CF">
      <w:pPr>
        <w:rPr>
          <w:rFonts w:ascii="Arial" w:eastAsia="Arial" w:hAnsi="Arial" w:cs="Arial"/>
        </w:rPr>
      </w:pPr>
      <w:bookmarkStart w:id="0" w:name="_GoBack"/>
      <w:r>
        <w:rPr>
          <w:noProof/>
        </w:rPr>
        <w:drawing>
          <wp:inline distT="0" distB="0" distL="0" distR="0">
            <wp:extent cx="1555375" cy="466725"/>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75467" cy="472754"/>
                    </a:xfrm>
                    <a:prstGeom prst="rect">
                      <a:avLst/>
                    </a:prstGeom>
                    <a:noFill/>
                    <a:ln>
                      <a:noFill/>
                    </a:ln>
                  </pic:spPr>
                </pic:pic>
              </a:graphicData>
            </a:graphic>
          </wp:inline>
        </w:drawing>
      </w:r>
      <w:bookmarkEnd w:id="0"/>
      <w:r w:rsidR="00A60CBD">
        <w:br w:type="page"/>
      </w:r>
    </w:p>
    <w:p w:rsidR="00A60CBD" w:rsidRDefault="00A60CBD">
      <w:pPr>
        <w:jc w:val="center"/>
        <w:rPr>
          <w:rFonts w:ascii="Arial" w:eastAsia="Arial" w:hAnsi="Arial" w:cs="Arial"/>
          <w:sz w:val="24"/>
          <w:szCs w:val="24"/>
        </w:rPr>
      </w:pPr>
      <w:r>
        <w:rPr>
          <w:rFonts w:ascii="Arial" w:eastAsia="Arial" w:hAnsi="Arial" w:cs="Arial"/>
          <w:sz w:val="24"/>
          <w:szCs w:val="24"/>
        </w:rPr>
        <w:lastRenderedPageBreak/>
        <w:t>Annexure A</w:t>
      </w:r>
    </w:p>
    <w:p w:rsidR="00A60CBD" w:rsidRDefault="00A60CBD">
      <w:pPr>
        <w:jc w:val="center"/>
        <w:rPr>
          <w:rFonts w:ascii="Arial" w:eastAsia="Arial" w:hAnsi="Arial" w:cs="Arial"/>
          <w:b/>
          <w:bCs/>
        </w:rPr>
      </w:pPr>
    </w:p>
    <w:p w:rsidR="00A60CBD" w:rsidRDefault="00A60CBD">
      <w:pPr>
        <w:pBdr>
          <w:bottom w:val="single" w:sz="6" w:space="1" w:color="000000"/>
        </w:pBdr>
        <w:spacing w:after="60"/>
        <w:jc w:val="center"/>
        <w:rPr>
          <w:rFonts w:ascii="Arial" w:eastAsia="Arial" w:hAnsi="Arial" w:cs="Arial"/>
          <w:b/>
          <w:bCs/>
          <w:sz w:val="24"/>
          <w:szCs w:val="24"/>
        </w:rPr>
      </w:pPr>
      <w:r>
        <w:rPr>
          <w:rFonts w:ascii="Arial" w:eastAsia="Arial" w:hAnsi="Arial" w:cs="Arial"/>
          <w:b/>
          <w:bCs/>
          <w:sz w:val="24"/>
          <w:szCs w:val="24"/>
        </w:rPr>
        <w:t>ARTICLE REVIEW</w:t>
      </w:r>
    </w:p>
    <w:p w:rsidR="00A60CBD" w:rsidRDefault="00A60CBD">
      <w:pPr>
        <w:pBdr>
          <w:bottom w:val="single" w:sz="6" w:space="1" w:color="000000"/>
        </w:pBdr>
        <w:spacing w:after="60"/>
        <w:jc w:val="center"/>
        <w:rPr>
          <w:rFonts w:ascii="Arial" w:eastAsia="Arial" w:hAnsi="Arial" w:cs="Arial"/>
          <w:b/>
          <w:bCs/>
          <w:sz w:val="24"/>
          <w:szCs w:val="24"/>
        </w:rPr>
      </w:pPr>
    </w:p>
    <w:p w:rsidR="00A60CBD" w:rsidRDefault="00A60CBD">
      <w:pPr>
        <w:tabs>
          <w:tab w:val="left" w:pos="9810"/>
        </w:tabs>
        <w:spacing w:before="100" w:after="40"/>
        <w:rPr>
          <w:rFonts w:ascii="Arial" w:eastAsia="Arial" w:hAnsi="Arial" w:cs="Arial"/>
          <w:b/>
          <w:bCs/>
          <w:sz w:val="22"/>
          <w:szCs w:val="22"/>
          <w:u w:val="single"/>
        </w:rPr>
      </w:pPr>
    </w:p>
    <w:p w:rsidR="00A60CBD" w:rsidRDefault="00A60CBD">
      <w:pPr>
        <w:tabs>
          <w:tab w:val="left" w:pos="9810"/>
        </w:tabs>
        <w:spacing w:before="100" w:after="40"/>
        <w:ind w:right="802"/>
        <w:rPr>
          <w:rFonts w:ascii="Arial" w:eastAsia="Arial" w:hAnsi="Arial" w:cs="Arial"/>
        </w:rPr>
      </w:pPr>
      <w:r>
        <w:rPr>
          <w:rFonts w:ascii="Arial" w:eastAsia="Arial" w:hAnsi="Arial" w:cs="Arial"/>
          <w:b/>
          <w:bCs/>
          <w:sz w:val="22"/>
          <w:szCs w:val="22"/>
          <w:u w:val="single"/>
        </w:rPr>
        <w:t>INSTRUCTIONS</w:t>
      </w:r>
    </w:p>
    <w:p w:rsidR="00A60CBD" w:rsidRDefault="00A60CBD">
      <w:pPr>
        <w:tabs>
          <w:tab w:val="left" w:pos="9810"/>
        </w:tabs>
        <w:spacing w:after="40"/>
        <w:ind w:right="802"/>
        <w:jc w:val="both"/>
        <w:rPr>
          <w:rFonts w:ascii="Arial" w:eastAsia="Arial" w:hAnsi="Arial" w:cs="Arial"/>
        </w:rPr>
      </w:pPr>
      <w:r>
        <w:rPr>
          <w:rFonts w:ascii="Arial" w:eastAsia="Arial" w:hAnsi="Arial" w:cs="Arial"/>
          <w:sz w:val="22"/>
          <w:szCs w:val="22"/>
        </w:rPr>
        <w:t xml:space="preserve">Select any ONE peer-reviewed research article (published after 2019) from IEEE Xplore, Springer, Elsevier, or ACM Digital Library related to any of the following topics: </w:t>
      </w:r>
      <w:r>
        <w:rPr>
          <w:rFonts w:ascii="Arial" w:eastAsia="Arial" w:hAnsi="Arial" w:cs="Arial"/>
          <w:i/>
          <w:iCs/>
          <w:sz w:val="22"/>
          <w:szCs w:val="22"/>
        </w:rPr>
        <w:t>Inductive Learning, Decision Trees, Statistical Learning Methods (Naïve Bayes / Logistic Regression / SVM), or Reinforcement Learning applications.</w:t>
      </w:r>
    </w:p>
    <w:p w:rsidR="00A60CBD" w:rsidRDefault="00A60CBD">
      <w:pPr>
        <w:tabs>
          <w:tab w:val="left" w:pos="9810"/>
        </w:tabs>
        <w:spacing w:after="80"/>
        <w:ind w:right="802"/>
        <w:jc w:val="both"/>
        <w:rPr>
          <w:rFonts w:ascii="Arial" w:eastAsia="Arial" w:hAnsi="Arial" w:cs="Arial"/>
        </w:rPr>
      </w:pPr>
      <w:r>
        <w:rPr>
          <w:rFonts w:ascii="Arial" w:eastAsia="Arial" w:hAnsi="Arial" w:cs="Arial"/>
          <w:i/>
          <w:iCs/>
          <w:sz w:val="22"/>
          <w:szCs w:val="22"/>
        </w:rPr>
        <w:t>Submit: (</w:t>
      </w:r>
      <w:proofErr w:type="spellStart"/>
      <w:r>
        <w:rPr>
          <w:rFonts w:ascii="Arial" w:eastAsia="Arial" w:hAnsi="Arial" w:cs="Arial"/>
          <w:i/>
          <w:iCs/>
          <w:sz w:val="22"/>
          <w:szCs w:val="22"/>
        </w:rPr>
        <w:t>i</w:t>
      </w:r>
      <w:proofErr w:type="spellEnd"/>
      <w:r>
        <w:rPr>
          <w:rFonts w:ascii="Arial" w:eastAsia="Arial" w:hAnsi="Arial" w:cs="Arial"/>
          <w:i/>
          <w:iCs/>
          <w:sz w:val="22"/>
          <w:szCs w:val="22"/>
        </w:rPr>
        <w:t xml:space="preserve">) Article citation </w:t>
      </w:r>
      <w:proofErr w:type="gramStart"/>
      <w:r>
        <w:rPr>
          <w:rFonts w:ascii="Arial" w:eastAsia="Arial" w:hAnsi="Arial" w:cs="Arial"/>
          <w:i/>
          <w:iCs/>
          <w:sz w:val="22"/>
          <w:szCs w:val="22"/>
        </w:rPr>
        <w:t>details  (</w:t>
      </w:r>
      <w:proofErr w:type="gramEnd"/>
      <w:r>
        <w:rPr>
          <w:rFonts w:ascii="Arial" w:eastAsia="Arial" w:hAnsi="Arial" w:cs="Arial"/>
          <w:i/>
          <w:iCs/>
          <w:sz w:val="22"/>
          <w:szCs w:val="22"/>
        </w:rPr>
        <w:t>ii) PDF or valid DOI link  (iii) Written review as per the tasks below.</w:t>
      </w:r>
    </w:p>
    <w:p w:rsidR="00A60CBD" w:rsidRDefault="00A60CBD">
      <w:pPr>
        <w:tabs>
          <w:tab w:val="left" w:pos="9810"/>
        </w:tabs>
        <w:spacing w:before="80" w:after="40"/>
        <w:ind w:right="802"/>
        <w:jc w:val="both"/>
        <w:rPr>
          <w:rFonts w:ascii="Arial" w:eastAsia="Arial" w:hAnsi="Arial" w:cs="Arial"/>
          <w:b/>
          <w:bCs/>
          <w:sz w:val="22"/>
          <w:szCs w:val="22"/>
        </w:rPr>
      </w:pPr>
    </w:p>
    <w:p w:rsidR="00A60CBD" w:rsidRDefault="00A60CBD">
      <w:pPr>
        <w:tabs>
          <w:tab w:val="left" w:pos="9810"/>
        </w:tabs>
        <w:spacing w:before="80" w:after="40"/>
        <w:ind w:right="802"/>
        <w:jc w:val="both"/>
        <w:rPr>
          <w:rFonts w:ascii="Arial" w:eastAsia="Arial" w:hAnsi="Arial" w:cs="Arial"/>
        </w:rPr>
      </w:pPr>
      <w:r>
        <w:rPr>
          <w:rFonts w:ascii="Arial" w:eastAsia="Arial" w:hAnsi="Arial" w:cs="Arial"/>
          <w:b/>
          <w:bCs/>
          <w:sz w:val="22"/>
          <w:szCs w:val="22"/>
        </w:rPr>
        <w:t xml:space="preserve">Task 1: Article Summary  </w:t>
      </w:r>
      <w:r>
        <w:rPr>
          <w:rFonts w:ascii="Arial" w:eastAsia="Arial" w:hAnsi="Arial" w:cs="Arial"/>
          <w:b/>
          <w:bCs/>
          <w:i/>
          <w:iCs/>
          <w:sz w:val="22"/>
          <w:szCs w:val="22"/>
        </w:rPr>
        <w:t xml:space="preserve"> </w:t>
      </w:r>
    </w:p>
    <w:p w:rsidR="00A60CBD" w:rsidRDefault="00A60CBD">
      <w:pPr>
        <w:tabs>
          <w:tab w:val="left" w:pos="9810"/>
        </w:tabs>
        <w:spacing w:after="30"/>
        <w:ind w:right="802"/>
        <w:jc w:val="both"/>
        <w:rPr>
          <w:rFonts w:ascii="Arial" w:eastAsia="Arial" w:hAnsi="Arial" w:cs="Arial"/>
        </w:rPr>
      </w:pPr>
      <w:r>
        <w:rPr>
          <w:rFonts w:ascii="Arial" w:eastAsia="Arial" w:hAnsi="Arial" w:cs="Arial"/>
          <w:b/>
          <w:bCs/>
          <w:sz w:val="22"/>
          <w:szCs w:val="22"/>
        </w:rPr>
        <w:t xml:space="preserve">(a) </w:t>
      </w:r>
      <w:r>
        <w:rPr>
          <w:rFonts w:ascii="Arial" w:eastAsia="Arial" w:hAnsi="Arial" w:cs="Arial"/>
          <w:sz w:val="22"/>
          <w:szCs w:val="22"/>
        </w:rPr>
        <w:t xml:space="preserve">Provide the full citation of the article (Author(s), Title, Journal/Conference, Year, DOI). State the domain/application area and the specific ML problem addressed.  </w:t>
      </w:r>
    </w:p>
    <w:p w:rsidR="00A60CBD" w:rsidRDefault="00A60CBD">
      <w:pPr>
        <w:tabs>
          <w:tab w:val="left" w:pos="9810"/>
        </w:tabs>
        <w:spacing w:before="30" w:after="60"/>
        <w:ind w:right="802"/>
        <w:jc w:val="both"/>
        <w:rPr>
          <w:rFonts w:ascii="Arial" w:eastAsia="Arial" w:hAnsi="Arial" w:cs="Arial"/>
        </w:rPr>
      </w:pPr>
      <w:r>
        <w:rPr>
          <w:rFonts w:ascii="Arial" w:eastAsia="Arial" w:hAnsi="Arial" w:cs="Arial"/>
          <w:b/>
          <w:bCs/>
          <w:sz w:val="22"/>
          <w:szCs w:val="22"/>
        </w:rPr>
        <w:t xml:space="preserve">(b) </w:t>
      </w:r>
      <w:proofErr w:type="spellStart"/>
      <w:r>
        <w:rPr>
          <w:rFonts w:ascii="Arial" w:eastAsia="Arial" w:hAnsi="Arial" w:cs="Arial"/>
          <w:sz w:val="22"/>
          <w:szCs w:val="22"/>
        </w:rPr>
        <w:t>Summarise</w:t>
      </w:r>
      <w:proofErr w:type="spellEnd"/>
      <w:r>
        <w:rPr>
          <w:rFonts w:ascii="Arial" w:eastAsia="Arial" w:hAnsi="Arial" w:cs="Arial"/>
          <w:sz w:val="22"/>
          <w:szCs w:val="22"/>
        </w:rPr>
        <w:t xml:space="preserve"> the key objective of the article in your own words (150–200 words). Clearly state the research gap the authors identified and how they proposed to fill it. </w:t>
      </w:r>
    </w:p>
    <w:p w:rsidR="00A60CBD" w:rsidRDefault="00A60CBD">
      <w:pPr>
        <w:tabs>
          <w:tab w:val="left" w:pos="9810"/>
        </w:tabs>
        <w:spacing w:before="60" w:after="40"/>
        <w:ind w:right="802"/>
        <w:jc w:val="both"/>
        <w:rPr>
          <w:rFonts w:ascii="Arial" w:eastAsia="Arial" w:hAnsi="Arial" w:cs="Arial"/>
          <w:b/>
          <w:bCs/>
          <w:sz w:val="22"/>
          <w:szCs w:val="22"/>
        </w:rPr>
      </w:pPr>
    </w:p>
    <w:p w:rsidR="00A60CBD" w:rsidRDefault="00A60CBD">
      <w:pPr>
        <w:tabs>
          <w:tab w:val="left" w:pos="9810"/>
        </w:tabs>
        <w:spacing w:before="60" w:after="40"/>
        <w:ind w:right="802"/>
        <w:jc w:val="both"/>
        <w:rPr>
          <w:rFonts w:ascii="Arial" w:eastAsia="Arial" w:hAnsi="Arial" w:cs="Arial"/>
        </w:rPr>
      </w:pPr>
      <w:r>
        <w:rPr>
          <w:rFonts w:ascii="Arial" w:eastAsia="Arial" w:hAnsi="Arial" w:cs="Arial"/>
          <w:b/>
          <w:bCs/>
          <w:sz w:val="22"/>
          <w:szCs w:val="22"/>
        </w:rPr>
        <w:t xml:space="preserve">Task 2: Methodology Analysis </w:t>
      </w:r>
      <w:r>
        <w:rPr>
          <w:rFonts w:ascii="Arial" w:eastAsia="Arial" w:hAnsi="Arial" w:cs="Arial"/>
          <w:b/>
          <w:bCs/>
          <w:i/>
          <w:iCs/>
          <w:sz w:val="22"/>
          <w:szCs w:val="22"/>
        </w:rPr>
        <w:t xml:space="preserve"> </w:t>
      </w:r>
    </w:p>
    <w:p w:rsidR="00A60CBD" w:rsidRDefault="00A60CBD">
      <w:pPr>
        <w:tabs>
          <w:tab w:val="left" w:pos="9810"/>
        </w:tabs>
        <w:spacing w:after="30"/>
        <w:ind w:right="802"/>
        <w:jc w:val="both"/>
        <w:rPr>
          <w:rFonts w:ascii="Arial" w:eastAsia="Arial" w:hAnsi="Arial" w:cs="Arial"/>
        </w:rPr>
      </w:pPr>
      <w:r>
        <w:rPr>
          <w:rFonts w:ascii="Arial" w:eastAsia="Arial" w:hAnsi="Arial" w:cs="Arial"/>
          <w:b/>
          <w:bCs/>
          <w:sz w:val="22"/>
          <w:szCs w:val="22"/>
        </w:rPr>
        <w:t xml:space="preserve">(a) </w:t>
      </w:r>
      <w:r>
        <w:rPr>
          <w:rFonts w:ascii="Arial" w:eastAsia="Arial" w:hAnsi="Arial" w:cs="Arial"/>
          <w:sz w:val="22"/>
          <w:szCs w:val="22"/>
        </w:rPr>
        <w:t xml:space="preserve">Explain the ML technique(s) used in the article (e.g., Decision Tree variant, RL algorithm, Statistical model). Describe the dataset used—size, features, source, and how it was prepared.  </w:t>
      </w:r>
    </w:p>
    <w:p w:rsidR="00A60CBD" w:rsidRDefault="00A60CBD">
      <w:pPr>
        <w:tabs>
          <w:tab w:val="left" w:pos="9810"/>
        </w:tabs>
        <w:spacing w:before="30" w:after="60"/>
        <w:ind w:right="802"/>
        <w:jc w:val="both"/>
        <w:rPr>
          <w:rFonts w:ascii="Arial" w:eastAsia="Arial" w:hAnsi="Arial" w:cs="Arial"/>
        </w:rPr>
      </w:pPr>
      <w:r>
        <w:rPr>
          <w:rFonts w:ascii="Arial" w:eastAsia="Arial" w:hAnsi="Arial" w:cs="Arial"/>
          <w:b/>
          <w:bCs/>
          <w:sz w:val="22"/>
          <w:szCs w:val="22"/>
        </w:rPr>
        <w:t xml:space="preserve">(b) </w:t>
      </w:r>
      <w:r>
        <w:rPr>
          <w:rFonts w:ascii="Arial" w:eastAsia="Arial" w:hAnsi="Arial" w:cs="Arial"/>
          <w:sz w:val="22"/>
          <w:szCs w:val="22"/>
        </w:rPr>
        <w:t>Map the technique to CO 4 topics (Inductive Learning / Decision Trees / Statistical Learning / RL). Identify one methodological strength and one limitation in the authors' approach.</w:t>
      </w:r>
    </w:p>
    <w:p w:rsidR="00A60CBD" w:rsidRDefault="00A60CBD">
      <w:pPr>
        <w:tabs>
          <w:tab w:val="left" w:pos="9810"/>
        </w:tabs>
        <w:spacing w:before="60" w:after="40"/>
        <w:ind w:right="802"/>
        <w:jc w:val="both"/>
        <w:rPr>
          <w:rFonts w:ascii="Arial" w:eastAsia="Arial" w:hAnsi="Arial" w:cs="Arial"/>
          <w:b/>
          <w:bCs/>
          <w:sz w:val="22"/>
          <w:szCs w:val="22"/>
        </w:rPr>
      </w:pPr>
    </w:p>
    <w:p w:rsidR="00A60CBD" w:rsidRDefault="00A60CBD">
      <w:pPr>
        <w:tabs>
          <w:tab w:val="left" w:pos="9810"/>
        </w:tabs>
        <w:spacing w:before="60" w:after="40"/>
        <w:ind w:right="802"/>
        <w:jc w:val="both"/>
        <w:rPr>
          <w:rFonts w:ascii="Arial" w:eastAsia="Arial" w:hAnsi="Arial" w:cs="Arial"/>
        </w:rPr>
      </w:pPr>
      <w:r>
        <w:rPr>
          <w:rFonts w:ascii="Arial" w:eastAsia="Arial" w:hAnsi="Arial" w:cs="Arial"/>
          <w:b/>
          <w:bCs/>
          <w:sz w:val="22"/>
          <w:szCs w:val="22"/>
        </w:rPr>
        <w:t xml:space="preserve">Task 3: Results &amp; Critical Evaluation </w:t>
      </w:r>
      <w:r>
        <w:rPr>
          <w:rFonts w:ascii="Arial" w:eastAsia="Arial" w:hAnsi="Arial" w:cs="Arial"/>
          <w:b/>
          <w:bCs/>
          <w:i/>
          <w:iCs/>
          <w:sz w:val="22"/>
          <w:szCs w:val="22"/>
        </w:rPr>
        <w:t xml:space="preserve">  </w:t>
      </w:r>
    </w:p>
    <w:p w:rsidR="00A60CBD" w:rsidRDefault="00A60CBD">
      <w:pPr>
        <w:tabs>
          <w:tab w:val="left" w:pos="9810"/>
        </w:tabs>
        <w:spacing w:after="30"/>
        <w:ind w:right="802"/>
        <w:jc w:val="both"/>
        <w:rPr>
          <w:rFonts w:ascii="Arial" w:eastAsia="Arial" w:hAnsi="Arial" w:cs="Arial"/>
          <w:b/>
          <w:bCs/>
        </w:rPr>
      </w:pPr>
      <w:r>
        <w:rPr>
          <w:rFonts w:ascii="Arial" w:eastAsia="Arial" w:hAnsi="Arial" w:cs="Arial"/>
          <w:b/>
          <w:bCs/>
          <w:sz w:val="22"/>
          <w:szCs w:val="22"/>
        </w:rPr>
        <w:t xml:space="preserve">(a) </w:t>
      </w:r>
      <w:r>
        <w:rPr>
          <w:rFonts w:ascii="Arial" w:eastAsia="Arial" w:hAnsi="Arial" w:cs="Arial"/>
          <w:sz w:val="22"/>
          <w:szCs w:val="22"/>
        </w:rPr>
        <w:t xml:space="preserve">Report the key results (accuracy, F1-Score, AUC-ROC, reward convergence, etc.) as presented by the authors. Create a comparative table if multiple models are benchmarked.  </w:t>
      </w:r>
    </w:p>
    <w:p w:rsidR="00A60CBD" w:rsidRDefault="00A60CBD">
      <w:pPr>
        <w:tabs>
          <w:tab w:val="left" w:pos="9810"/>
        </w:tabs>
        <w:spacing w:after="30"/>
        <w:ind w:right="802"/>
        <w:jc w:val="both"/>
        <w:rPr>
          <w:rFonts w:ascii="Arial" w:eastAsia="Arial" w:hAnsi="Arial" w:cs="Arial"/>
        </w:rPr>
      </w:pPr>
      <w:r>
        <w:rPr>
          <w:rFonts w:ascii="Arial" w:eastAsia="Arial" w:hAnsi="Arial" w:cs="Arial"/>
          <w:b/>
          <w:bCs/>
          <w:sz w:val="22"/>
          <w:szCs w:val="22"/>
        </w:rPr>
        <w:t xml:space="preserve">(b) </w:t>
      </w:r>
      <w:r>
        <w:rPr>
          <w:rFonts w:ascii="Arial" w:eastAsia="Arial" w:hAnsi="Arial" w:cs="Arial"/>
          <w:sz w:val="22"/>
          <w:szCs w:val="22"/>
        </w:rPr>
        <w:t xml:space="preserve">Critically evaluate the results: Are the reported metrics realistic? Are there potential biases (dataset, evaluation protocol)? What additional experiments would strengthen the findings?  </w:t>
      </w:r>
    </w:p>
    <w:p w:rsidR="00A60CBD" w:rsidRDefault="00A60CBD">
      <w:pPr>
        <w:tabs>
          <w:tab w:val="left" w:pos="9810"/>
        </w:tabs>
        <w:spacing w:before="30" w:after="60"/>
        <w:ind w:right="802"/>
        <w:jc w:val="both"/>
        <w:rPr>
          <w:rFonts w:ascii="Arial" w:eastAsia="Arial" w:hAnsi="Arial" w:cs="Arial"/>
        </w:rPr>
      </w:pPr>
      <w:r>
        <w:rPr>
          <w:rFonts w:ascii="Arial" w:eastAsia="Arial" w:hAnsi="Arial" w:cs="Arial"/>
          <w:b/>
          <w:bCs/>
          <w:sz w:val="22"/>
          <w:szCs w:val="22"/>
        </w:rPr>
        <w:t xml:space="preserve">(c) </w:t>
      </w:r>
      <w:r>
        <w:rPr>
          <w:rFonts w:ascii="Arial" w:eastAsia="Arial" w:hAnsi="Arial" w:cs="Arial"/>
          <w:sz w:val="22"/>
          <w:szCs w:val="22"/>
        </w:rPr>
        <w:t xml:space="preserve">Discuss real-world applicability: Where can this technique be deployed? What are the challenges in scaling the solution to industry (data availability, compute, ethical issues)? </w:t>
      </w:r>
    </w:p>
    <w:p w:rsidR="00A60CBD" w:rsidRDefault="00A60CBD">
      <w:pPr>
        <w:tabs>
          <w:tab w:val="left" w:pos="9810"/>
        </w:tabs>
        <w:spacing w:before="60" w:after="40"/>
        <w:ind w:right="802"/>
        <w:jc w:val="both"/>
        <w:rPr>
          <w:rFonts w:ascii="Arial" w:eastAsia="Arial" w:hAnsi="Arial" w:cs="Arial"/>
          <w:b/>
          <w:bCs/>
          <w:sz w:val="22"/>
          <w:szCs w:val="22"/>
        </w:rPr>
      </w:pPr>
    </w:p>
    <w:p w:rsidR="00A60CBD" w:rsidRDefault="00A60CBD">
      <w:pPr>
        <w:tabs>
          <w:tab w:val="left" w:pos="9810"/>
        </w:tabs>
        <w:spacing w:before="60" w:after="40"/>
        <w:ind w:right="802"/>
        <w:jc w:val="both"/>
        <w:rPr>
          <w:rFonts w:ascii="Arial" w:eastAsia="Arial" w:hAnsi="Arial" w:cs="Arial"/>
        </w:rPr>
      </w:pPr>
      <w:r>
        <w:rPr>
          <w:rFonts w:ascii="Arial" w:eastAsia="Arial" w:hAnsi="Arial" w:cs="Arial"/>
          <w:b/>
          <w:bCs/>
          <w:sz w:val="22"/>
          <w:szCs w:val="22"/>
        </w:rPr>
        <w:t>Task 4: Reflection &amp; Learning Outcome</w:t>
      </w:r>
      <w:r>
        <w:rPr>
          <w:rFonts w:ascii="Arial" w:eastAsia="Arial" w:hAnsi="Arial" w:cs="Arial"/>
          <w:b/>
          <w:bCs/>
          <w:i/>
          <w:iCs/>
          <w:sz w:val="22"/>
          <w:szCs w:val="22"/>
        </w:rPr>
        <w:t xml:space="preserve"> </w:t>
      </w:r>
    </w:p>
    <w:p w:rsidR="00A60CBD" w:rsidRDefault="00A60CBD">
      <w:pPr>
        <w:tabs>
          <w:tab w:val="left" w:pos="9810"/>
        </w:tabs>
        <w:spacing w:after="30"/>
        <w:ind w:right="802"/>
        <w:jc w:val="both"/>
        <w:rPr>
          <w:rFonts w:ascii="Arial" w:eastAsia="Arial" w:hAnsi="Arial" w:cs="Arial"/>
          <w:b/>
          <w:bCs/>
        </w:rPr>
      </w:pPr>
      <w:r>
        <w:rPr>
          <w:rFonts w:ascii="Arial" w:eastAsia="Arial" w:hAnsi="Arial" w:cs="Arial"/>
          <w:b/>
          <w:bCs/>
          <w:sz w:val="22"/>
          <w:szCs w:val="22"/>
        </w:rPr>
        <w:t xml:space="preserve">(a) </w:t>
      </w:r>
      <w:r>
        <w:rPr>
          <w:rFonts w:ascii="Arial" w:eastAsia="Arial" w:hAnsi="Arial" w:cs="Arial"/>
          <w:sz w:val="22"/>
          <w:szCs w:val="22"/>
        </w:rPr>
        <w:t xml:space="preserve">State three key insights you gained from reading the article that deepen your understanding of CO 4 topics. Connect each insight to a specific concept from the course syllabus.  </w:t>
      </w:r>
    </w:p>
    <w:p w:rsidR="00A60CBD" w:rsidRDefault="00A60CBD">
      <w:pPr>
        <w:tabs>
          <w:tab w:val="left" w:pos="9810"/>
        </w:tabs>
        <w:spacing w:after="30"/>
        <w:ind w:right="802"/>
        <w:jc w:val="both"/>
        <w:rPr>
          <w:rFonts w:ascii="Arial" w:eastAsia="Arial" w:hAnsi="Arial" w:cs="Arial"/>
        </w:rPr>
      </w:pPr>
      <w:r>
        <w:rPr>
          <w:rFonts w:ascii="Arial" w:eastAsia="Arial" w:hAnsi="Arial" w:cs="Arial"/>
          <w:b/>
          <w:bCs/>
          <w:sz w:val="22"/>
          <w:szCs w:val="22"/>
        </w:rPr>
        <w:t xml:space="preserve">(b) </w:t>
      </w:r>
      <w:r>
        <w:rPr>
          <w:rFonts w:ascii="Arial" w:eastAsia="Arial" w:hAnsi="Arial" w:cs="Arial"/>
          <w:sz w:val="22"/>
          <w:szCs w:val="22"/>
        </w:rPr>
        <w:t xml:space="preserve">If you were to extend this research, propose one novel experiment or enhancement (different dataset / improved algorithm / new application domain). Justify its feasibility and expected impact.  </w:t>
      </w:r>
    </w:p>
    <w:p w:rsidR="00A60CBD" w:rsidRDefault="00A60CBD">
      <w:pPr>
        <w:pBdr>
          <w:bottom w:val="single" w:sz="6" w:space="1" w:color="000000"/>
        </w:pBdr>
        <w:tabs>
          <w:tab w:val="left" w:pos="9810"/>
        </w:tabs>
        <w:spacing w:before="80" w:after="80"/>
        <w:ind w:right="802"/>
        <w:jc w:val="both"/>
        <w:rPr>
          <w:rFonts w:ascii="Arial" w:eastAsia="Arial" w:hAnsi="Arial" w:cs="Arial"/>
        </w:rPr>
      </w:pPr>
    </w:p>
    <w:p w:rsidR="00A60CBD" w:rsidRDefault="00A60CBD">
      <w:pPr>
        <w:tabs>
          <w:tab w:val="left" w:pos="9810"/>
        </w:tabs>
        <w:spacing w:before="60" w:after="40"/>
        <w:ind w:right="802"/>
        <w:jc w:val="both"/>
        <w:rPr>
          <w:rFonts w:ascii="Arial" w:eastAsia="Arial" w:hAnsi="Arial" w:cs="Arial"/>
          <w:b/>
          <w:bCs/>
          <w:i/>
          <w:iCs/>
        </w:rPr>
      </w:pPr>
    </w:p>
    <w:p w:rsidR="00A60CBD" w:rsidRDefault="00A60CBD">
      <w:pPr>
        <w:tabs>
          <w:tab w:val="left" w:pos="9810"/>
        </w:tabs>
        <w:spacing w:before="60" w:after="40"/>
        <w:ind w:right="802"/>
        <w:jc w:val="both"/>
        <w:rPr>
          <w:rFonts w:ascii="Arial" w:eastAsia="Arial" w:hAnsi="Arial" w:cs="Arial"/>
          <w:b/>
          <w:bCs/>
          <w:i/>
          <w:iCs/>
        </w:rPr>
      </w:pPr>
    </w:p>
    <w:p w:rsidR="00A60CBD" w:rsidRDefault="00A60CBD">
      <w:pPr>
        <w:tabs>
          <w:tab w:val="left" w:pos="9810"/>
        </w:tabs>
        <w:spacing w:before="60" w:after="40"/>
        <w:ind w:right="802"/>
        <w:jc w:val="both"/>
        <w:rPr>
          <w:rFonts w:ascii="Arial" w:eastAsia="Arial" w:hAnsi="Arial" w:cs="Arial"/>
          <w:b/>
          <w:bCs/>
          <w:i/>
          <w:iCs/>
        </w:rPr>
      </w:pPr>
    </w:p>
    <w:p w:rsidR="00A60CBD" w:rsidRDefault="00A60CBD">
      <w:pPr>
        <w:ind w:right="802"/>
        <w:jc w:val="both"/>
        <w:rPr>
          <w:rFonts w:ascii="Arial" w:eastAsia="Arial" w:hAnsi="Arial" w:cs="Arial"/>
          <w:b/>
          <w:bCs/>
          <w:sz w:val="24"/>
          <w:szCs w:val="24"/>
          <w:u w:val="single"/>
        </w:rPr>
      </w:pPr>
      <w:r>
        <w:br w:type="page"/>
      </w:r>
    </w:p>
    <w:p w:rsidR="00A60CBD" w:rsidRDefault="00A60CBD">
      <w:pPr>
        <w:tabs>
          <w:tab w:val="left" w:pos="9810"/>
        </w:tabs>
        <w:spacing w:before="120" w:after="80"/>
        <w:jc w:val="both"/>
        <w:rPr>
          <w:rFonts w:ascii="Arial" w:eastAsia="Arial" w:hAnsi="Arial" w:cs="Arial"/>
          <w:b/>
          <w:bCs/>
          <w:sz w:val="24"/>
          <w:szCs w:val="24"/>
          <w:u w:val="single"/>
        </w:rPr>
      </w:pPr>
    </w:p>
    <w:p w:rsidR="00A60CBD" w:rsidRDefault="00A60CBD">
      <w:pPr>
        <w:tabs>
          <w:tab w:val="left" w:pos="9810"/>
        </w:tabs>
        <w:spacing w:before="120" w:after="80"/>
        <w:rPr>
          <w:rFonts w:ascii="Arial" w:eastAsia="Arial" w:hAnsi="Arial" w:cs="Arial"/>
          <w:b/>
          <w:bCs/>
          <w:sz w:val="24"/>
          <w:szCs w:val="24"/>
          <w:u w:val="single"/>
        </w:rPr>
      </w:pPr>
    </w:p>
    <w:p w:rsidR="00A60CBD" w:rsidRDefault="00A60CBD">
      <w:pPr>
        <w:tabs>
          <w:tab w:val="left" w:pos="9810"/>
        </w:tabs>
        <w:spacing w:before="120" w:after="80"/>
        <w:rPr>
          <w:rFonts w:ascii="Arial" w:eastAsia="Arial" w:hAnsi="Arial" w:cs="Arial"/>
          <w:b/>
          <w:bCs/>
          <w:sz w:val="24"/>
          <w:szCs w:val="24"/>
          <w:u w:val="single"/>
        </w:rPr>
      </w:pPr>
    </w:p>
    <w:p w:rsidR="00A60CBD" w:rsidRDefault="00A60CBD">
      <w:pPr>
        <w:tabs>
          <w:tab w:val="left" w:pos="9810"/>
        </w:tabs>
        <w:spacing w:before="120" w:after="80"/>
        <w:rPr>
          <w:rFonts w:ascii="Arial" w:eastAsia="Arial" w:hAnsi="Arial" w:cs="Arial"/>
          <w:b/>
          <w:bCs/>
          <w:sz w:val="24"/>
          <w:szCs w:val="24"/>
          <w:u w:val="single"/>
        </w:rPr>
      </w:pPr>
      <w:r>
        <w:rPr>
          <w:rFonts w:ascii="Arial" w:eastAsia="Arial" w:hAnsi="Arial" w:cs="Arial"/>
          <w:b/>
          <w:bCs/>
          <w:sz w:val="24"/>
          <w:szCs w:val="24"/>
          <w:u w:val="single"/>
        </w:rPr>
        <w:t>RUBRICS FOR CALCULATION:</w:t>
      </w:r>
    </w:p>
    <w:p w:rsidR="00A60CBD" w:rsidRDefault="00A60CBD">
      <w:pPr>
        <w:tabs>
          <w:tab w:val="left" w:pos="9810"/>
        </w:tabs>
        <w:spacing w:before="120" w:after="80"/>
        <w:rPr>
          <w:rFonts w:ascii="Arial" w:eastAsia="Arial" w:hAnsi="Arial" w:cs="Arial"/>
          <w:b/>
          <w:bCs/>
          <w:sz w:val="24"/>
          <w:szCs w:val="24"/>
          <w:u w:val="single"/>
        </w:rPr>
      </w:pPr>
    </w:p>
    <w:tbl>
      <w:tblPr>
        <w:tblStyle w:val="Style12"/>
        <w:tblW w:w="9450" w:type="dxa"/>
        <w:tblInd w:w="0" w:type="dxa"/>
        <w:tblLayout w:type="fixed"/>
        <w:tblLook w:val="04A0" w:firstRow="1" w:lastRow="0" w:firstColumn="1" w:lastColumn="0" w:noHBand="0" w:noVBand="1"/>
      </w:tblPr>
      <w:tblGrid>
        <w:gridCol w:w="1530"/>
        <w:gridCol w:w="1350"/>
        <w:gridCol w:w="2040"/>
        <w:gridCol w:w="1485"/>
        <w:gridCol w:w="1590"/>
        <w:gridCol w:w="1455"/>
      </w:tblGrid>
      <w:tr w:rsidR="00A60CBD">
        <w:trPr>
          <w:trHeight w:val="525"/>
        </w:trPr>
        <w:tc>
          <w:tcPr>
            <w:tcW w:w="1530" w:type="dxa"/>
            <w:tcBorders>
              <w:top w:val="single" w:sz="4" w:space="0" w:color="000000"/>
              <w:left w:val="single" w:sz="4" w:space="0" w:color="000000"/>
              <w:bottom w:val="single" w:sz="4" w:space="0" w:color="000000"/>
              <w:right w:val="single" w:sz="4" w:space="0" w:color="000000"/>
            </w:tcBorders>
            <w:vAlign w:val="center"/>
          </w:tcPr>
          <w:p w:rsidR="00A60CBD" w:rsidRDefault="00A60CBD">
            <w:pPr>
              <w:rPr>
                <w:rFonts w:ascii="Arial" w:eastAsia="Arial" w:hAnsi="Arial" w:cs="Arial"/>
                <w:b/>
                <w:bCs/>
                <w:color w:val="000000"/>
              </w:rPr>
            </w:pPr>
            <w:r>
              <w:rPr>
                <w:rFonts w:ascii="Arial" w:eastAsia="Arial" w:hAnsi="Arial" w:cs="Arial"/>
                <w:b/>
                <w:bCs/>
                <w:color w:val="000000"/>
              </w:rPr>
              <w:t>Criteria</w:t>
            </w:r>
          </w:p>
        </w:tc>
        <w:tc>
          <w:tcPr>
            <w:tcW w:w="1350" w:type="dxa"/>
            <w:tcBorders>
              <w:top w:val="single" w:sz="4" w:space="0" w:color="000000"/>
              <w:left w:val="nil"/>
              <w:bottom w:val="single" w:sz="4" w:space="0" w:color="000000"/>
              <w:right w:val="single" w:sz="4" w:space="0" w:color="000000"/>
            </w:tcBorders>
            <w:vAlign w:val="center"/>
          </w:tcPr>
          <w:p w:rsidR="00A60CBD" w:rsidRDefault="00A60CBD">
            <w:pPr>
              <w:jc w:val="center"/>
              <w:rPr>
                <w:rFonts w:ascii="Arial" w:eastAsia="Arial" w:hAnsi="Arial" w:cs="Arial"/>
                <w:b/>
                <w:bCs/>
                <w:color w:val="000000"/>
              </w:rPr>
            </w:pPr>
            <w:r>
              <w:rPr>
                <w:rFonts w:ascii="Arial" w:eastAsia="Arial" w:hAnsi="Arial" w:cs="Arial"/>
                <w:b/>
                <w:bCs/>
                <w:color w:val="000000"/>
              </w:rPr>
              <w:t>Weightage (%)</w:t>
            </w:r>
          </w:p>
        </w:tc>
        <w:tc>
          <w:tcPr>
            <w:tcW w:w="2040" w:type="dxa"/>
            <w:tcBorders>
              <w:top w:val="single" w:sz="4" w:space="0" w:color="000000"/>
              <w:left w:val="nil"/>
              <w:bottom w:val="single" w:sz="4" w:space="0" w:color="000000"/>
              <w:right w:val="single" w:sz="4" w:space="0" w:color="000000"/>
            </w:tcBorders>
            <w:vAlign w:val="center"/>
          </w:tcPr>
          <w:p w:rsidR="00A60CBD" w:rsidRDefault="00A60CBD">
            <w:pPr>
              <w:rPr>
                <w:rFonts w:ascii="Arial" w:eastAsia="Arial" w:hAnsi="Arial" w:cs="Arial"/>
                <w:b/>
                <w:bCs/>
                <w:color w:val="000000"/>
              </w:rPr>
            </w:pPr>
            <w:r>
              <w:rPr>
                <w:rFonts w:ascii="Arial" w:eastAsia="Arial" w:hAnsi="Arial" w:cs="Arial"/>
                <w:b/>
                <w:bCs/>
                <w:color w:val="000000"/>
              </w:rPr>
              <w:t>Level 4 (Exemplary)</w:t>
            </w:r>
          </w:p>
        </w:tc>
        <w:tc>
          <w:tcPr>
            <w:tcW w:w="1485" w:type="dxa"/>
            <w:tcBorders>
              <w:top w:val="single" w:sz="4" w:space="0" w:color="000000"/>
              <w:left w:val="nil"/>
              <w:bottom w:val="single" w:sz="4" w:space="0" w:color="000000"/>
              <w:right w:val="single" w:sz="4" w:space="0" w:color="000000"/>
            </w:tcBorders>
            <w:vAlign w:val="center"/>
          </w:tcPr>
          <w:p w:rsidR="00A60CBD" w:rsidRDefault="00A60CBD">
            <w:pPr>
              <w:rPr>
                <w:rFonts w:ascii="Arial" w:eastAsia="Arial" w:hAnsi="Arial" w:cs="Arial"/>
                <w:b/>
                <w:bCs/>
                <w:color w:val="000000"/>
              </w:rPr>
            </w:pPr>
            <w:r>
              <w:rPr>
                <w:rFonts w:ascii="Arial" w:eastAsia="Arial" w:hAnsi="Arial" w:cs="Arial"/>
                <w:b/>
                <w:bCs/>
                <w:color w:val="000000"/>
              </w:rPr>
              <w:t>Level 3 (Proficient)</w:t>
            </w:r>
          </w:p>
        </w:tc>
        <w:tc>
          <w:tcPr>
            <w:tcW w:w="1590" w:type="dxa"/>
            <w:tcBorders>
              <w:top w:val="single" w:sz="4" w:space="0" w:color="000000"/>
              <w:left w:val="nil"/>
              <w:bottom w:val="single" w:sz="4" w:space="0" w:color="000000"/>
              <w:right w:val="single" w:sz="4" w:space="0" w:color="000000"/>
            </w:tcBorders>
            <w:vAlign w:val="center"/>
          </w:tcPr>
          <w:p w:rsidR="00A60CBD" w:rsidRDefault="00A60CBD">
            <w:pPr>
              <w:ind w:right="-108"/>
              <w:rPr>
                <w:rFonts w:ascii="Arial" w:eastAsia="Arial" w:hAnsi="Arial" w:cs="Arial"/>
                <w:b/>
                <w:bCs/>
                <w:color w:val="000000"/>
              </w:rPr>
            </w:pPr>
            <w:r>
              <w:rPr>
                <w:rFonts w:ascii="Arial" w:eastAsia="Arial" w:hAnsi="Arial" w:cs="Arial"/>
                <w:b/>
                <w:bCs/>
                <w:color w:val="000000"/>
              </w:rPr>
              <w:t>Level 2 (Developing)</w:t>
            </w:r>
          </w:p>
        </w:tc>
        <w:tc>
          <w:tcPr>
            <w:tcW w:w="1455" w:type="dxa"/>
            <w:tcBorders>
              <w:top w:val="single" w:sz="4" w:space="0" w:color="000000"/>
              <w:left w:val="nil"/>
              <w:bottom w:val="single" w:sz="4" w:space="0" w:color="000000"/>
              <w:right w:val="single" w:sz="4" w:space="0" w:color="000000"/>
            </w:tcBorders>
            <w:vAlign w:val="center"/>
          </w:tcPr>
          <w:p w:rsidR="00A60CBD" w:rsidRDefault="00A60CBD">
            <w:pPr>
              <w:rPr>
                <w:rFonts w:ascii="Arial" w:eastAsia="Arial" w:hAnsi="Arial" w:cs="Arial"/>
                <w:b/>
                <w:bCs/>
                <w:color w:val="000000"/>
              </w:rPr>
            </w:pPr>
            <w:r>
              <w:rPr>
                <w:rFonts w:ascii="Arial" w:eastAsia="Arial" w:hAnsi="Arial" w:cs="Arial"/>
                <w:b/>
                <w:bCs/>
                <w:color w:val="000000"/>
              </w:rPr>
              <w:t>Level 1 (Beginning)</w:t>
            </w:r>
          </w:p>
        </w:tc>
      </w:tr>
      <w:tr w:rsidR="00A60CBD">
        <w:trPr>
          <w:trHeight w:val="825"/>
        </w:trPr>
        <w:tc>
          <w:tcPr>
            <w:tcW w:w="1530" w:type="dxa"/>
            <w:tcBorders>
              <w:top w:val="nil"/>
              <w:left w:val="single" w:sz="4" w:space="0" w:color="000000"/>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Understanding of Article</w:t>
            </w:r>
          </w:p>
        </w:tc>
        <w:tc>
          <w:tcPr>
            <w:tcW w:w="1350" w:type="dxa"/>
            <w:tcBorders>
              <w:top w:val="nil"/>
              <w:left w:val="nil"/>
              <w:bottom w:val="single" w:sz="4" w:space="0" w:color="000000"/>
              <w:right w:val="single" w:sz="4" w:space="0" w:color="000000"/>
            </w:tcBorders>
            <w:vAlign w:val="center"/>
          </w:tcPr>
          <w:p w:rsidR="00A60CBD" w:rsidRDefault="00A60CBD">
            <w:pPr>
              <w:jc w:val="center"/>
              <w:rPr>
                <w:rFonts w:ascii="Arial" w:eastAsia="Arial" w:hAnsi="Arial" w:cs="Arial"/>
                <w:color w:val="000000"/>
              </w:rPr>
            </w:pPr>
            <w:r>
              <w:rPr>
                <w:rFonts w:ascii="Arial" w:eastAsia="Arial" w:hAnsi="Arial" w:cs="Arial"/>
                <w:color w:val="000000"/>
              </w:rPr>
              <w:t>20%</w:t>
            </w:r>
          </w:p>
        </w:tc>
        <w:tc>
          <w:tcPr>
            <w:tcW w:w="204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Demonstrates clear and in-depth understanding of the article’s purpose, concepts, and arguments</w:t>
            </w:r>
          </w:p>
        </w:tc>
        <w:tc>
          <w:tcPr>
            <w:tcW w:w="148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Shows good understanding with minor gaps</w:t>
            </w:r>
          </w:p>
        </w:tc>
        <w:tc>
          <w:tcPr>
            <w:tcW w:w="159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Partial understanding; misses key ideas</w:t>
            </w:r>
          </w:p>
        </w:tc>
        <w:tc>
          <w:tcPr>
            <w:tcW w:w="145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Lacks understanding of the article</w:t>
            </w:r>
          </w:p>
        </w:tc>
      </w:tr>
      <w:tr w:rsidR="00A60CBD">
        <w:trPr>
          <w:trHeight w:val="825"/>
        </w:trPr>
        <w:tc>
          <w:tcPr>
            <w:tcW w:w="1530" w:type="dxa"/>
            <w:tcBorders>
              <w:top w:val="nil"/>
              <w:left w:val="single" w:sz="4" w:space="0" w:color="000000"/>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Summary</w:t>
            </w:r>
          </w:p>
        </w:tc>
        <w:tc>
          <w:tcPr>
            <w:tcW w:w="1350" w:type="dxa"/>
            <w:tcBorders>
              <w:top w:val="nil"/>
              <w:left w:val="nil"/>
              <w:bottom w:val="single" w:sz="4" w:space="0" w:color="000000"/>
              <w:right w:val="single" w:sz="4" w:space="0" w:color="000000"/>
            </w:tcBorders>
            <w:vAlign w:val="center"/>
          </w:tcPr>
          <w:p w:rsidR="00A60CBD" w:rsidRDefault="00A60CBD">
            <w:pPr>
              <w:jc w:val="center"/>
              <w:rPr>
                <w:rFonts w:ascii="Arial" w:eastAsia="Arial" w:hAnsi="Arial" w:cs="Arial"/>
                <w:color w:val="000000"/>
              </w:rPr>
            </w:pPr>
            <w:r>
              <w:rPr>
                <w:rFonts w:ascii="Arial" w:eastAsia="Arial" w:hAnsi="Arial" w:cs="Arial"/>
                <w:color w:val="000000"/>
              </w:rPr>
              <w:t>20%</w:t>
            </w:r>
          </w:p>
        </w:tc>
        <w:tc>
          <w:tcPr>
            <w:tcW w:w="204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Provides concise and accurate summary highlighting all key points</w:t>
            </w:r>
          </w:p>
        </w:tc>
        <w:tc>
          <w:tcPr>
            <w:tcW w:w="148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Covers most key points with minor omissions</w:t>
            </w:r>
          </w:p>
        </w:tc>
        <w:tc>
          <w:tcPr>
            <w:tcW w:w="159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Incomplete or partially accurate summary</w:t>
            </w:r>
          </w:p>
        </w:tc>
        <w:tc>
          <w:tcPr>
            <w:tcW w:w="145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Poor or incorrect summary</w:t>
            </w:r>
          </w:p>
        </w:tc>
      </w:tr>
      <w:tr w:rsidR="00A60CBD">
        <w:trPr>
          <w:trHeight w:val="825"/>
        </w:trPr>
        <w:tc>
          <w:tcPr>
            <w:tcW w:w="1530" w:type="dxa"/>
            <w:tcBorders>
              <w:top w:val="nil"/>
              <w:left w:val="single" w:sz="4" w:space="0" w:color="000000"/>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Critical Analysis</w:t>
            </w:r>
          </w:p>
        </w:tc>
        <w:tc>
          <w:tcPr>
            <w:tcW w:w="1350" w:type="dxa"/>
            <w:tcBorders>
              <w:top w:val="nil"/>
              <w:left w:val="nil"/>
              <w:bottom w:val="single" w:sz="4" w:space="0" w:color="000000"/>
              <w:right w:val="single" w:sz="4" w:space="0" w:color="000000"/>
            </w:tcBorders>
            <w:vAlign w:val="center"/>
          </w:tcPr>
          <w:p w:rsidR="00A60CBD" w:rsidRDefault="00A60CBD">
            <w:pPr>
              <w:jc w:val="center"/>
              <w:rPr>
                <w:rFonts w:ascii="Arial" w:eastAsia="Arial" w:hAnsi="Arial" w:cs="Arial"/>
                <w:color w:val="000000"/>
              </w:rPr>
            </w:pPr>
            <w:r>
              <w:rPr>
                <w:rFonts w:ascii="Arial" w:eastAsia="Arial" w:hAnsi="Arial" w:cs="Arial"/>
                <w:color w:val="000000"/>
              </w:rPr>
              <w:t>25%</w:t>
            </w:r>
          </w:p>
        </w:tc>
        <w:tc>
          <w:tcPr>
            <w:tcW w:w="204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Provides insightful critique with strong reasoning and evaluation</w:t>
            </w:r>
          </w:p>
        </w:tc>
        <w:tc>
          <w:tcPr>
            <w:tcW w:w="148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Provides reasonable analysis with some justification</w:t>
            </w:r>
          </w:p>
        </w:tc>
        <w:tc>
          <w:tcPr>
            <w:tcW w:w="159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Superficial analysis; limited evaluation</w:t>
            </w:r>
          </w:p>
        </w:tc>
        <w:tc>
          <w:tcPr>
            <w:tcW w:w="145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No meaningful analysis</w:t>
            </w:r>
          </w:p>
        </w:tc>
      </w:tr>
      <w:tr w:rsidR="00A60CBD">
        <w:trPr>
          <w:trHeight w:val="825"/>
        </w:trPr>
        <w:tc>
          <w:tcPr>
            <w:tcW w:w="1530" w:type="dxa"/>
            <w:tcBorders>
              <w:top w:val="nil"/>
              <w:left w:val="single" w:sz="4" w:space="0" w:color="000000"/>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Use of Evidence</w:t>
            </w:r>
          </w:p>
        </w:tc>
        <w:tc>
          <w:tcPr>
            <w:tcW w:w="1350" w:type="dxa"/>
            <w:tcBorders>
              <w:top w:val="nil"/>
              <w:left w:val="nil"/>
              <w:bottom w:val="single" w:sz="4" w:space="0" w:color="000000"/>
              <w:right w:val="single" w:sz="4" w:space="0" w:color="000000"/>
            </w:tcBorders>
            <w:vAlign w:val="center"/>
          </w:tcPr>
          <w:p w:rsidR="00A60CBD" w:rsidRDefault="00A60CBD">
            <w:pPr>
              <w:jc w:val="center"/>
              <w:rPr>
                <w:rFonts w:ascii="Arial" w:eastAsia="Arial" w:hAnsi="Arial" w:cs="Arial"/>
                <w:color w:val="000000"/>
              </w:rPr>
            </w:pPr>
            <w:r>
              <w:rPr>
                <w:rFonts w:ascii="Arial" w:eastAsia="Arial" w:hAnsi="Arial" w:cs="Arial"/>
                <w:color w:val="000000"/>
              </w:rPr>
              <w:t>15%</w:t>
            </w:r>
          </w:p>
        </w:tc>
        <w:tc>
          <w:tcPr>
            <w:tcW w:w="204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Effectively uses examples, data, or references to support review</w:t>
            </w:r>
          </w:p>
        </w:tc>
        <w:tc>
          <w:tcPr>
            <w:tcW w:w="148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Uses some supporting evidence with minor gaps</w:t>
            </w:r>
          </w:p>
        </w:tc>
        <w:tc>
          <w:tcPr>
            <w:tcW w:w="159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Limited or weak supporting evidence</w:t>
            </w:r>
          </w:p>
        </w:tc>
        <w:tc>
          <w:tcPr>
            <w:tcW w:w="145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No supporting evidence provided</w:t>
            </w:r>
          </w:p>
        </w:tc>
      </w:tr>
      <w:tr w:rsidR="00A60CBD">
        <w:trPr>
          <w:trHeight w:val="825"/>
        </w:trPr>
        <w:tc>
          <w:tcPr>
            <w:tcW w:w="1530" w:type="dxa"/>
            <w:tcBorders>
              <w:top w:val="nil"/>
              <w:left w:val="single" w:sz="4" w:space="0" w:color="000000"/>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Organization</w:t>
            </w:r>
          </w:p>
        </w:tc>
        <w:tc>
          <w:tcPr>
            <w:tcW w:w="1350" w:type="dxa"/>
            <w:tcBorders>
              <w:top w:val="nil"/>
              <w:left w:val="nil"/>
              <w:bottom w:val="single" w:sz="4" w:space="0" w:color="000000"/>
              <w:right w:val="single" w:sz="4" w:space="0" w:color="000000"/>
            </w:tcBorders>
            <w:vAlign w:val="center"/>
          </w:tcPr>
          <w:p w:rsidR="00A60CBD" w:rsidRDefault="00A60CBD">
            <w:pPr>
              <w:jc w:val="center"/>
              <w:rPr>
                <w:rFonts w:ascii="Arial" w:eastAsia="Arial" w:hAnsi="Arial" w:cs="Arial"/>
                <w:color w:val="000000"/>
              </w:rPr>
            </w:pPr>
            <w:r>
              <w:rPr>
                <w:rFonts w:ascii="Arial" w:eastAsia="Arial" w:hAnsi="Arial" w:cs="Arial"/>
                <w:color w:val="000000"/>
              </w:rPr>
              <w:t>20%</w:t>
            </w:r>
          </w:p>
        </w:tc>
        <w:tc>
          <w:tcPr>
            <w:tcW w:w="204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Well-structured, clear, and coherent writing with proper language and flow</w:t>
            </w:r>
          </w:p>
        </w:tc>
        <w:tc>
          <w:tcPr>
            <w:tcW w:w="148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Generally clear with minor issues</w:t>
            </w:r>
          </w:p>
        </w:tc>
        <w:tc>
          <w:tcPr>
            <w:tcW w:w="1590"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Poor organization; lacks clarity</w:t>
            </w:r>
          </w:p>
        </w:tc>
        <w:tc>
          <w:tcPr>
            <w:tcW w:w="1455" w:type="dxa"/>
            <w:tcBorders>
              <w:top w:val="nil"/>
              <w:left w:val="nil"/>
              <w:bottom w:val="single" w:sz="4" w:space="0" w:color="000000"/>
              <w:right w:val="single" w:sz="4" w:space="0" w:color="000000"/>
            </w:tcBorders>
            <w:vAlign w:val="center"/>
          </w:tcPr>
          <w:p w:rsidR="00A60CBD" w:rsidRDefault="00A60CBD">
            <w:pPr>
              <w:rPr>
                <w:rFonts w:ascii="Arial" w:eastAsia="Arial" w:hAnsi="Arial" w:cs="Arial"/>
                <w:color w:val="000000"/>
              </w:rPr>
            </w:pPr>
            <w:r>
              <w:rPr>
                <w:rFonts w:ascii="Arial" w:eastAsia="Arial" w:hAnsi="Arial" w:cs="Arial"/>
                <w:color w:val="000000"/>
              </w:rPr>
              <w:t>Disorganized and difficult to understand</w:t>
            </w:r>
          </w:p>
        </w:tc>
      </w:tr>
    </w:tbl>
    <w:p w:rsidR="00A60CBD" w:rsidRDefault="00A60CBD">
      <w:pPr>
        <w:tabs>
          <w:tab w:val="left" w:pos="9810"/>
        </w:tabs>
        <w:spacing w:before="120" w:after="80"/>
        <w:rPr>
          <w:rFonts w:ascii="Arial" w:eastAsia="Arial" w:hAnsi="Arial" w:cs="Arial"/>
          <w:b/>
          <w:bCs/>
          <w:sz w:val="24"/>
          <w:szCs w:val="24"/>
          <w:u w:val="single"/>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A60CBD" w:rsidRDefault="00A60CBD">
      <w:pPr>
        <w:spacing w:after="60"/>
        <w:jc w:val="center"/>
        <w:rPr>
          <w:rFonts w:eastAsia="Calibri"/>
          <w:b/>
          <w:bCs/>
          <w:sz w:val="32"/>
          <w:szCs w:val="32"/>
        </w:rPr>
      </w:pPr>
    </w:p>
    <w:p w:rsidR="00D53ACE" w:rsidRPr="00A60CBD" w:rsidRDefault="00A60CBD">
      <w:pPr>
        <w:spacing w:after="60"/>
        <w:jc w:val="center"/>
        <w:rPr>
          <w:sz w:val="32"/>
          <w:szCs w:val="32"/>
        </w:rPr>
      </w:pPr>
      <w:r w:rsidRPr="00A60CBD">
        <w:rPr>
          <w:rFonts w:eastAsia="Calibri"/>
          <w:b/>
          <w:bCs/>
          <w:sz w:val="32"/>
          <w:szCs w:val="32"/>
        </w:rPr>
        <w:lastRenderedPageBreak/>
        <w:t>SIMATS ENGINEERING</w:t>
      </w:r>
    </w:p>
    <w:p w:rsidR="00D53ACE" w:rsidRPr="00A60CBD" w:rsidRDefault="00A60CBD">
      <w:pPr>
        <w:spacing w:after="60"/>
        <w:jc w:val="center"/>
        <w:rPr>
          <w:sz w:val="32"/>
          <w:szCs w:val="32"/>
        </w:rPr>
      </w:pPr>
      <w:r w:rsidRPr="00A60CBD">
        <w:rPr>
          <w:rFonts w:eastAsia="Calibri"/>
          <w:b/>
          <w:bCs/>
          <w:color w:val="1F4E79"/>
          <w:sz w:val="32"/>
          <w:szCs w:val="32"/>
        </w:rPr>
        <w:t>ASSESSMENT TOOL 2 — ARTICLE REVIEW (ANSWER SCRIPT)</w:t>
      </w:r>
    </w:p>
    <w:p w:rsidR="00D53ACE" w:rsidRPr="00A60CBD" w:rsidRDefault="00A60CBD">
      <w:pPr>
        <w:spacing w:after="300"/>
        <w:jc w:val="center"/>
        <w:rPr>
          <w:b/>
          <w:sz w:val="28"/>
          <w:szCs w:val="28"/>
        </w:rPr>
      </w:pPr>
      <w:r w:rsidRPr="00A60CBD">
        <w:rPr>
          <w:rFonts w:eastAsia="Calibri"/>
          <w:b/>
          <w:i/>
          <w:iCs/>
          <w:sz w:val="28"/>
          <w:szCs w:val="28"/>
        </w:rPr>
        <w:t>Course: Artificial Intelligence (CSA17</w:t>
      </w:r>
      <w:proofErr w:type="gramStart"/>
      <w:r w:rsidRPr="00A60CBD">
        <w:rPr>
          <w:rFonts w:eastAsia="Calibri"/>
          <w:b/>
          <w:i/>
          <w:iCs/>
          <w:sz w:val="28"/>
          <w:szCs w:val="28"/>
        </w:rPr>
        <w:t>)  |</w:t>
      </w:r>
      <w:proofErr w:type="gramEnd"/>
      <w:r w:rsidRPr="00A60CBD">
        <w:rPr>
          <w:rFonts w:eastAsia="Calibri"/>
          <w:b/>
          <w:i/>
          <w:iCs/>
          <w:sz w:val="28"/>
          <w:szCs w:val="28"/>
        </w:rPr>
        <w:t xml:space="preserve">  CO4  |  Annexure A</w:t>
      </w:r>
    </w:p>
    <w:p w:rsidR="00D53ACE" w:rsidRPr="00A60CBD" w:rsidRDefault="00A60CBD" w:rsidP="00A60CBD">
      <w:pPr>
        <w:pStyle w:val="Heading2"/>
        <w:spacing w:before="240" w:after="120"/>
        <w:jc w:val="both"/>
        <w:rPr>
          <w:sz w:val="28"/>
          <w:szCs w:val="28"/>
        </w:rPr>
      </w:pPr>
      <w:r w:rsidRPr="00A60CBD">
        <w:rPr>
          <w:rFonts w:eastAsia="Calibri"/>
          <w:b/>
          <w:bCs/>
          <w:color w:val="2E5A88"/>
          <w:sz w:val="28"/>
          <w:szCs w:val="28"/>
        </w:rPr>
        <w:t>Selected Article</w:t>
      </w:r>
    </w:p>
    <w:p w:rsidR="00D53ACE" w:rsidRDefault="00A60CBD">
      <w:pPr>
        <w:spacing w:after="120" w:line="276" w:lineRule="auto"/>
      </w:pPr>
      <w:r>
        <w:rPr>
          <w:rFonts w:ascii="Calibri" w:eastAsia="Calibri" w:hAnsi="Calibri" w:cs="Calibri"/>
          <w:i/>
          <w:iCs/>
          <w:sz w:val="22"/>
          <w:szCs w:val="22"/>
        </w:rPr>
        <w:t xml:space="preserve">A. C. </w:t>
      </w:r>
      <w:proofErr w:type="spellStart"/>
      <w:r>
        <w:rPr>
          <w:rFonts w:ascii="Calibri" w:eastAsia="Calibri" w:hAnsi="Calibri" w:cs="Calibri"/>
          <w:i/>
          <w:iCs/>
          <w:sz w:val="22"/>
          <w:szCs w:val="22"/>
        </w:rPr>
        <w:t>Lyngdoh</w:t>
      </w:r>
      <w:proofErr w:type="spellEnd"/>
      <w:r>
        <w:rPr>
          <w:rFonts w:ascii="Calibri" w:eastAsia="Calibri" w:hAnsi="Calibri" w:cs="Calibri"/>
          <w:i/>
          <w:iCs/>
          <w:sz w:val="22"/>
          <w:szCs w:val="22"/>
        </w:rPr>
        <w:t xml:space="preserve">, N. A. Choudhury, and S. </w:t>
      </w:r>
      <w:proofErr w:type="spellStart"/>
      <w:r>
        <w:rPr>
          <w:rFonts w:ascii="Calibri" w:eastAsia="Calibri" w:hAnsi="Calibri" w:cs="Calibri"/>
          <w:i/>
          <w:iCs/>
          <w:sz w:val="22"/>
          <w:szCs w:val="22"/>
        </w:rPr>
        <w:t>Moulik</w:t>
      </w:r>
      <w:proofErr w:type="spellEnd"/>
      <w:r>
        <w:rPr>
          <w:rFonts w:ascii="Calibri" w:eastAsia="Calibri" w:hAnsi="Calibri" w:cs="Calibri"/>
          <w:i/>
          <w:iCs/>
          <w:sz w:val="22"/>
          <w:szCs w:val="22"/>
        </w:rPr>
        <w:t>, "Diabetes Disease Prediction Using Machine Learning Algorithms," in Proceedings of the 2020 IEEE-EMBS Conference on Biomedical Engineering and Sciences (IECBES), Langkawi Island, Malaysia, 1–3 March 2021, pp. 517–521.</w:t>
      </w:r>
    </w:p>
    <w:p w:rsidR="00D53ACE" w:rsidRDefault="00A60CBD">
      <w:pPr>
        <w:spacing w:after="120" w:line="276" w:lineRule="auto"/>
      </w:pPr>
      <w:r>
        <w:rPr>
          <w:rFonts w:ascii="Calibri" w:eastAsia="Calibri" w:hAnsi="Calibri" w:cs="Calibri"/>
          <w:sz w:val="22"/>
          <w:szCs w:val="22"/>
        </w:rPr>
        <w:t>DOI: 10.1109/IECBES48179.2021.9398759</w:t>
      </w:r>
    </w:p>
    <w:p w:rsidR="00D53ACE" w:rsidRDefault="00AB77CF">
      <w:pPr>
        <w:spacing w:after="120"/>
      </w:pPr>
      <w:hyperlink r:id="rId6" w:history="1">
        <w:r w:rsidR="00A60CBD">
          <w:rPr>
            <w:rFonts w:ascii="Calibri" w:eastAsia="Calibri" w:hAnsi="Calibri" w:cs="Calibri"/>
            <w:color w:val="1155CC"/>
            <w:sz w:val="22"/>
            <w:szCs w:val="22"/>
            <w:u w:val="single"/>
          </w:rPr>
          <w:t>https://doi.org/10.1109/IECBES48179.2021.9398759</w:t>
        </w:r>
      </w:hyperlink>
    </w:p>
    <w:p w:rsidR="00D53ACE" w:rsidRDefault="00AB77CF">
      <w:pPr>
        <w:spacing w:after="120"/>
      </w:pPr>
      <w:hyperlink r:id="rId7" w:history="1">
        <w:r w:rsidR="00A60CBD">
          <w:rPr>
            <w:rFonts w:ascii="Calibri" w:eastAsia="Calibri" w:hAnsi="Calibri" w:cs="Calibri"/>
            <w:color w:val="1155CC"/>
            <w:sz w:val="22"/>
            <w:szCs w:val="22"/>
            <w:u w:val="single"/>
          </w:rPr>
          <w:t>IEEE Xplore record: https://ieeexplore.ieee.org/document/9398759</w:t>
        </w:r>
      </w:hyperlink>
    </w:p>
    <w:p w:rsidR="00D53ACE" w:rsidRDefault="00A60CBD">
      <w:pPr>
        <w:spacing w:after="120" w:line="276" w:lineRule="auto"/>
      </w:pPr>
      <w:r>
        <w:rPr>
          <w:rFonts w:ascii="Calibri" w:eastAsia="Calibri" w:hAnsi="Calibri" w:cs="Calibri"/>
          <w:i/>
          <w:iCs/>
          <w:color w:val="666666"/>
        </w:rPr>
        <w:t>Note: this is a genuine, verifiable IEEE Xplore conference paper (topic: Decision Trees / Statistical Learning applied to disease prediction, within CO4 scope). The review below is based on the published abstract, the methodology as described by the authors and corroborated by multiple works that cite this paper; the exact per-algorithm figures in Task 3 are reproduced from the sources cited and should be cross-checked against the full PDF/IEEE Xplore page before final submission, since secondary citations of this paper report slightly different numbers for individual classifiers.</w:t>
      </w:r>
    </w:p>
    <w:p w:rsidR="00D53ACE" w:rsidRPr="00A60CBD" w:rsidRDefault="00A60CBD" w:rsidP="00A60CBD">
      <w:pPr>
        <w:pStyle w:val="Heading1"/>
        <w:spacing w:before="300" w:after="150"/>
        <w:jc w:val="both"/>
        <w:rPr>
          <w:sz w:val="28"/>
          <w:szCs w:val="28"/>
        </w:rPr>
      </w:pPr>
      <w:r w:rsidRPr="00A60CBD">
        <w:rPr>
          <w:rFonts w:eastAsia="Calibri"/>
          <w:b/>
          <w:bCs/>
          <w:color w:val="1F4E79"/>
          <w:sz w:val="28"/>
          <w:szCs w:val="28"/>
        </w:rPr>
        <w:t>Task 1: Article Summary</w:t>
      </w:r>
    </w:p>
    <w:p w:rsidR="00D53ACE" w:rsidRPr="00A60CBD" w:rsidRDefault="00A60CBD" w:rsidP="00A60CBD">
      <w:pPr>
        <w:spacing w:before="180" w:after="90"/>
        <w:jc w:val="both"/>
        <w:rPr>
          <w:sz w:val="28"/>
          <w:szCs w:val="28"/>
        </w:rPr>
      </w:pPr>
      <w:r w:rsidRPr="00A60CBD">
        <w:rPr>
          <w:rFonts w:eastAsia="Calibri"/>
          <w:b/>
          <w:bCs/>
          <w:sz w:val="28"/>
          <w:szCs w:val="28"/>
        </w:rPr>
        <w:t>(a) Full Citation, Domain &amp; ML Problem</w:t>
      </w:r>
    </w:p>
    <w:p w:rsidR="00D53ACE" w:rsidRPr="00A60CBD" w:rsidRDefault="00A60CBD" w:rsidP="00A60CBD">
      <w:pPr>
        <w:spacing w:after="120" w:line="276" w:lineRule="auto"/>
        <w:jc w:val="both"/>
        <w:rPr>
          <w:sz w:val="28"/>
          <w:szCs w:val="28"/>
        </w:rPr>
      </w:pPr>
      <w:r w:rsidRPr="00A60CBD">
        <w:rPr>
          <w:rFonts w:eastAsia="Calibri"/>
          <w:sz w:val="28"/>
          <w:szCs w:val="28"/>
        </w:rPr>
        <w:t xml:space="preserve">Citation: </w:t>
      </w:r>
      <w:proofErr w:type="spellStart"/>
      <w:r w:rsidRPr="00A60CBD">
        <w:rPr>
          <w:rFonts w:eastAsia="Calibri"/>
          <w:sz w:val="28"/>
          <w:szCs w:val="28"/>
        </w:rPr>
        <w:t>Lyngdoh</w:t>
      </w:r>
      <w:proofErr w:type="spellEnd"/>
      <w:r w:rsidRPr="00A60CBD">
        <w:rPr>
          <w:rFonts w:eastAsia="Calibri"/>
          <w:sz w:val="28"/>
          <w:szCs w:val="28"/>
        </w:rPr>
        <w:t xml:space="preserve">, A. C., Choudhury, N. A., &amp; </w:t>
      </w:r>
      <w:proofErr w:type="spellStart"/>
      <w:r w:rsidRPr="00A60CBD">
        <w:rPr>
          <w:rFonts w:eastAsia="Calibri"/>
          <w:sz w:val="28"/>
          <w:szCs w:val="28"/>
        </w:rPr>
        <w:t>Moulik</w:t>
      </w:r>
      <w:proofErr w:type="spellEnd"/>
      <w:r w:rsidRPr="00A60CBD">
        <w:rPr>
          <w:rFonts w:eastAsia="Calibri"/>
          <w:sz w:val="28"/>
          <w:szCs w:val="28"/>
        </w:rPr>
        <w:t>, S. (2021). Diabetes Disease Prediction Using Machine Learning Algorithms. In 2020 IEEE-EMBS Conference on Biomedical Engineering and Sciences (IECBES), Langkawi Island, Malaysia, pp. 517–521. DOI: 10.1109/IECBES48179.2021.9398759.</w:t>
      </w:r>
    </w:p>
    <w:p w:rsidR="00D53ACE" w:rsidRPr="00A60CBD" w:rsidRDefault="00A60CBD" w:rsidP="00A60CBD">
      <w:pPr>
        <w:spacing w:after="120" w:line="276" w:lineRule="auto"/>
        <w:jc w:val="both"/>
        <w:rPr>
          <w:sz w:val="28"/>
          <w:szCs w:val="28"/>
        </w:rPr>
      </w:pPr>
      <w:r w:rsidRPr="00A60CBD">
        <w:rPr>
          <w:rFonts w:eastAsia="Calibri"/>
          <w:sz w:val="28"/>
          <w:szCs w:val="28"/>
        </w:rPr>
        <w:t>Domain / application area: Healthcare analytics — early prediction/diagnosis of Diabetes Mellitus using patient physiological records.</w:t>
      </w:r>
    </w:p>
    <w:p w:rsidR="00D53ACE" w:rsidRPr="00A60CBD" w:rsidRDefault="00A60CBD" w:rsidP="00A60CBD">
      <w:pPr>
        <w:spacing w:after="120" w:line="276" w:lineRule="auto"/>
        <w:jc w:val="both"/>
        <w:rPr>
          <w:sz w:val="28"/>
          <w:szCs w:val="28"/>
        </w:rPr>
      </w:pPr>
      <w:r w:rsidRPr="00A60CBD">
        <w:rPr>
          <w:rFonts w:eastAsia="Calibri"/>
          <w:sz w:val="28"/>
          <w:szCs w:val="28"/>
        </w:rPr>
        <w:t xml:space="preserve">Specific ML problem addressed: Binary supervised classification — predicting whether a patient is diabetic or non-diabetic from clinical </w:t>
      </w:r>
      <w:proofErr w:type="gramStart"/>
      <w:r w:rsidRPr="00A60CBD">
        <w:rPr>
          <w:rFonts w:eastAsia="Calibri"/>
          <w:sz w:val="28"/>
          <w:szCs w:val="28"/>
        </w:rPr>
        <w:t>attributes, and</w:t>
      </w:r>
      <w:proofErr w:type="gramEnd"/>
      <w:r w:rsidRPr="00A60CBD">
        <w:rPr>
          <w:rFonts w:eastAsia="Calibri"/>
          <w:sz w:val="28"/>
          <w:szCs w:val="28"/>
        </w:rPr>
        <w:t xml:space="preserve"> comparing multiple classical ML algorithms (K-Nearest Neighbors, Naïve Bayes, Decision Tree, Random Forest, and Support Vector Machine) to identify which gives the best trade-off between prediction accuracy and computational cost.</w:t>
      </w:r>
    </w:p>
    <w:p w:rsidR="00D53ACE" w:rsidRPr="00A60CBD" w:rsidRDefault="00A60CBD" w:rsidP="00A60CBD">
      <w:pPr>
        <w:spacing w:before="180" w:after="90"/>
        <w:jc w:val="both"/>
        <w:rPr>
          <w:sz w:val="28"/>
          <w:szCs w:val="28"/>
        </w:rPr>
      </w:pPr>
      <w:r w:rsidRPr="00A60CBD">
        <w:rPr>
          <w:rFonts w:eastAsia="Calibri"/>
          <w:b/>
          <w:bCs/>
          <w:sz w:val="28"/>
          <w:szCs w:val="28"/>
        </w:rPr>
        <w:t>(b) Summary (Key Objective &amp; Research Gap)</w:t>
      </w:r>
    </w:p>
    <w:p w:rsidR="00D53ACE" w:rsidRPr="00A60CBD" w:rsidRDefault="00A60CBD" w:rsidP="00A60CBD">
      <w:pPr>
        <w:spacing w:after="120" w:line="276" w:lineRule="auto"/>
        <w:jc w:val="both"/>
        <w:rPr>
          <w:sz w:val="28"/>
          <w:szCs w:val="28"/>
        </w:rPr>
      </w:pPr>
      <w:r w:rsidRPr="00A60CBD">
        <w:rPr>
          <w:rFonts w:eastAsia="Calibri"/>
          <w:sz w:val="28"/>
          <w:szCs w:val="28"/>
        </w:rPr>
        <w:t xml:space="preserve">The authors address the growing global burden of diabetes by building and comparing five supervised classifiers — KNN, Naïve Bayes, Decision Tree, Random Forest, and SVM — on a patient-record dataset containing standard diagnostic attributes (glucose level, BMI, blood pressure, insulin, age, and related measures), the same type of features used in the widely-used Pima Indians Diabetes Database. Their key objective is not just to report the </w:t>
      </w:r>
      <w:r w:rsidRPr="00A60CBD">
        <w:rPr>
          <w:rFonts w:eastAsia="Calibri"/>
          <w:sz w:val="28"/>
          <w:szCs w:val="28"/>
        </w:rPr>
        <w:lastRenderedPageBreak/>
        <w:t xml:space="preserve">single highest accuracy, but to systematically </w:t>
      </w:r>
      <w:proofErr w:type="spellStart"/>
      <w:r w:rsidRPr="00A60CBD">
        <w:rPr>
          <w:rFonts w:eastAsia="Calibri"/>
          <w:sz w:val="28"/>
          <w:szCs w:val="28"/>
        </w:rPr>
        <w:t>analyse</w:t>
      </w:r>
      <w:proofErr w:type="spellEnd"/>
      <w:r w:rsidRPr="00A60CBD">
        <w:rPr>
          <w:rFonts w:eastAsia="Calibri"/>
          <w:sz w:val="28"/>
          <w:szCs w:val="28"/>
        </w:rPr>
        <w:t xml:space="preserve"> why different classifiers over- or under-fit this dataset, and to identify a model that is both accurate and computationally efficient enough for practical screening use. The research gap they identify is that much of the prior literature reports a single 'best' accuracy figure without diagnosing why weaker models fail (overfitting vs underfitting) or without discussing computational time, which matters for real-time or resource-constrained clinical deployment. They address this gap by </w:t>
      </w:r>
      <w:proofErr w:type="spellStart"/>
      <w:r w:rsidRPr="00A60CBD">
        <w:rPr>
          <w:rFonts w:eastAsia="Calibri"/>
          <w:sz w:val="28"/>
          <w:szCs w:val="28"/>
        </w:rPr>
        <w:t>visualising</w:t>
      </w:r>
      <w:proofErr w:type="spellEnd"/>
      <w:r w:rsidRPr="00A60CBD">
        <w:rPr>
          <w:rFonts w:eastAsia="Calibri"/>
          <w:sz w:val="28"/>
          <w:szCs w:val="28"/>
        </w:rPr>
        <w:t xml:space="preserve"> training-versus-testing accuracy for every classifier, explicitly attributing performance gaps to overfitting/underfitting, and reporting relative computation time alongside accuracy — giving a more diagnostic, deployment-aware comparison than a single leaderboard number.</w:t>
      </w:r>
    </w:p>
    <w:p w:rsidR="00D53ACE" w:rsidRPr="00A60CBD" w:rsidRDefault="00A60CBD" w:rsidP="00A60CBD">
      <w:pPr>
        <w:pStyle w:val="Heading1"/>
        <w:spacing w:before="300" w:after="150"/>
        <w:jc w:val="both"/>
        <w:rPr>
          <w:sz w:val="28"/>
          <w:szCs w:val="28"/>
        </w:rPr>
      </w:pPr>
      <w:r w:rsidRPr="00A60CBD">
        <w:rPr>
          <w:rFonts w:eastAsia="Calibri"/>
          <w:b/>
          <w:bCs/>
          <w:color w:val="1F4E79"/>
          <w:sz w:val="28"/>
          <w:szCs w:val="28"/>
        </w:rPr>
        <w:t>Task 2: Methodology Analysis</w:t>
      </w:r>
    </w:p>
    <w:p w:rsidR="00D53ACE" w:rsidRPr="00A60CBD" w:rsidRDefault="00A60CBD" w:rsidP="00A60CBD">
      <w:pPr>
        <w:spacing w:before="180" w:after="90"/>
        <w:jc w:val="both"/>
        <w:rPr>
          <w:sz w:val="28"/>
          <w:szCs w:val="28"/>
        </w:rPr>
      </w:pPr>
      <w:r w:rsidRPr="00A60CBD">
        <w:rPr>
          <w:rFonts w:eastAsia="Calibri"/>
          <w:b/>
          <w:bCs/>
          <w:sz w:val="28"/>
          <w:szCs w:val="28"/>
        </w:rPr>
        <w:t>(a) ML Techniques &amp; Dataset</w:t>
      </w:r>
    </w:p>
    <w:p w:rsidR="00D53ACE" w:rsidRPr="00A60CBD" w:rsidRDefault="00A60CBD" w:rsidP="00A60CBD">
      <w:pPr>
        <w:spacing w:after="120" w:line="276" w:lineRule="auto"/>
        <w:jc w:val="both"/>
        <w:rPr>
          <w:sz w:val="28"/>
          <w:szCs w:val="28"/>
        </w:rPr>
      </w:pPr>
      <w:r w:rsidRPr="00A60CBD">
        <w:rPr>
          <w:rFonts w:eastAsia="Calibri"/>
          <w:sz w:val="28"/>
          <w:szCs w:val="28"/>
        </w:rPr>
        <w:t>Techniques used: five classical supervised learning algorithms are benchmarked against each other — K-Nearest Neighbors (instance-based/lazy learner), Naïve Bayes (a statistical, probabilistic classifier based on Bayes' theorem with a feature-independence assumption), a Decision Tree Classifier (a recursive, information-gain/Gini-based rule induction model), Random Forest (an ensemble of decision trees), and Support Vector Machine (a margin-</w:t>
      </w:r>
      <w:proofErr w:type="spellStart"/>
      <w:r w:rsidRPr="00A60CBD">
        <w:rPr>
          <w:rFonts w:eastAsia="Calibri"/>
          <w:sz w:val="28"/>
          <w:szCs w:val="28"/>
        </w:rPr>
        <w:t>maximising</w:t>
      </w:r>
      <w:proofErr w:type="spellEnd"/>
      <w:r w:rsidRPr="00A60CBD">
        <w:rPr>
          <w:rFonts w:eastAsia="Calibri"/>
          <w:sz w:val="28"/>
          <w:szCs w:val="28"/>
        </w:rPr>
        <w:t xml:space="preserve"> statistical learning model). This places the paper's methodology across two CO4 pillars at once: Decision-Tree-based learning and Statistical Learning.</w:t>
      </w:r>
    </w:p>
    <w:p w:rsidR="00D53ACE" w:rsidRPr="00A60CBD" w:rsidRDefault="00A60CBD" w:rsidP="00A60CBD">
      <w:pPr>
        <w:spacing w:after="120" w:line="276" w:lineRule="auto"/>
        <w:jc w:val="both"/>
        <w:rPr>
          <w:sz w:val="28"/>
          <w:szCs w:val="28"/>
        </w:rPr>
      </w:pPr>
      <w:r w:rsidRPr="00A60CBD">
        <w:rPr>
          <w:rFonts w:eastAsia="Calibri"/>
          <w:sz w:val="28"/>
          <w:szCs w:val="28"/>
        </w:rPr>
        <w:t>Dataset: the study uses patient-level diagnostic records of the kind found in the Pima Indians Diabetes Database (PIDD) published by the National Institute of Diabetes and Digestive and Kidney Diseases — a benchmark of 768 female patient records with 8 diagnostic features (number of pregnancies, glucose concentration, diastolic blood pressure, skin-fold thickness, serum insulin, BMI, diabetes pedigree function, and age) and a binary outcome label (diabetic / non-diabetic).</w:t>
      </w:r>
    </w:p>
    <w:p w:rsidR="00D53ACE" w:rsidRPr="00A60CBD" w:rsidRDefault="00A60CBD" w:rsidP="00A60CBD">
      <w:pPr>
        <w:spacing w:after="120" w:line="276" w:lineRule="auto"/>
        <w:jc w:val="both"/>
        <w:rPr>
          <w:sz w:val="28"/>
          <w:szCs w:val="28"/>
        </w:rPr>
      </w:pPr>
      <w:r w:rsidRPr="00A60CBD">
        <w:rPr>
          <w:rFonts w:eastAsia="Calibri"/>
          <w:sz w:val="28"/>
          <w:szCs w:val="28"/>
        </w:rPr>
        <w:t xml:space="preserve">Preparation: the data is cleaned (handling physiologically-impossible zero values in fields such as glucose/BMI/insulin, which are treated as missing), the features are </w:t>
      </w:r>
      <w:proofErr w:type="spellStart"/>
      <w:r w:rsidRPr="00A60CBD">
        <w:rPr>
          <w:rFonts w:eastAsia="Calibri"/>
          <w:sz w:val="28"/>
          <w:szCs w:val="28"/>
        </w:rPr>
        <w:t>normalised</w:t>
      </w:r>
      <w:proofErr w:type="spellEnd"/>
      <w:r w:rsidRPr="00A60CBD">
        <w:rPr>
          <w:rFonts w:eastAsia="Calibri"/>
          <w:sz w:val="28"/>
          <w:szCs w:val="28"/>
        </w:rPr>
        <w:t>, and the set is split into training and testing partitions before each of the five classifiers is trained and cross-validated, with training and testing accuracy tracked separately so overfitting/underfitting can be diagnosed per model.</w:t>
      </w:r>
    </w:p>
    <w:p w:rsidR="00D53ACE" w:rsidRPr="00A60CBD" w:rsidRDefault="00A60CBD" w:rsidP="00A60CBD">
      <w:pPr>
        <w:spacing w:before="180" w:after="90"/>
        <w:jc w:val="both"/>
        <w:rPr>
          <w:sz w:val="28"/>
          <w:szCs w:val="28"/>
        </w:rPr>
      </w:pPr>
      <w:r w:rsidRPr="00A60CBD">
        <w:rPr>
          <w:rFonts w:eastAsia="Calibri"/>
          <w:b/>
          <w:bCs/>
          <w:sz w:val="28"/>
          <w:szCs w:val="28"/>
        </w:rPr>
        <w:t>(b) Mapping to CO4 &amp; Strength/Limitation</w:t>
      </w:r>
    </w:p>
    <w:p w:rsidR="00D53ACE" w:rsidRPr="00A60CBD" w:rsidRDefault="00A60CBD" w:rsidP="00A60CBD">
      <w:pPr>
        <w:spacing w:after="120" w:line="276" w:lineRule="auto"/>
        <w:jc w:val="both"/>
        <w:rPr>
          <w:sz w:val="28"/>
          <w:szCs w:val="28"/>
        </w:rPr>
      </w:pPr>
      <w:r w:rsidRPr="00A60CBD">
        <w:rPr>
          <w:rFonts w:eastAsia="Calibri"/>
          <w:sz w:val="28"/>
          <w:szCs w:val="28"/>
        </w:rPr>
        <w:t>Mapping to CO4 topics:</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lastRenderedPageBreak/>
        <w:t>Decision Trees — the Decision Tree Classifier (and its ensemble extension, Random Forest) directly instantiates the CO4 decision-tree topic, including implicit feature-importance/split-quality reasoning.</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Statistical Learning — Naïve Bayes and SVM instantiate the statistical-learning-methods topic (probabilistic and margin-based models respectively).</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 xml:space="preserve">Inductive Learning — all five models are trained inductively from labelled historical patient examples to </w:t>
      </w:r>
      <w:proofErr w:type="spellStart"/>
      <w:r w:rsidRPr="00A60CBD">
        <w:rPr>
          <w:rFonts w:eastAsia="Calibri"/>
          <w:sz w:val="28"/>
          <w:szCs w:val="28"/>
        </w:rPr>
        <w:t>generalise</w:t>
      </w:r>
      <w:proofErr w:type="spellEnd"/>
      <w:r w:rsidRPr="00A60CBD">
        <w:rPr>
          <w:rFonts w:eastAsia="Calibri"/>
          <w:sz w:val="28"/>
          <w:szCs w:val="28"/>
        </w:rPr>
        <w:t xml:space="preserve"> to unseen patients, the core CO4 inductive-learning idea.</w:t>
      </w:r>
    </w:p>
    <w:p w:rsidR="00D53ACE" w:rsidRPr="00A60CBD" w:rsidRDefault="00A60CBD" w:rsidP="00A60CBD">
      <w:pPr>
        <w:spacing w:after="120" w:line="276" w:lineRule="auto"/>
        <w:jc w:val="both"/>
        <w:rPr>
          <w:sz w:val="28"/>
          <w:szCs w:val="28"/>
        </w:rPr>
      </w:pPr>
      <w:r w:rsidRPr="00A60CBD">
        <w:rPr>
          <w:rFonts w:eastAsia="Calibri"/>
          <w:sz w:val="28"/>
          <w:szCs w:val="28"/>
        </w:rPr>
        <w:t>Methodological strength: comparing five conceptually different algorithm families (instance-based, probabilistic, tree-based, ensemble, and margin-based) on the same dataset under the same protocol gives a fair, like-for-like benchmark and lets the authors attribute performance differences to the algorithm itself rather than to inconsistent data handling — this is stronger than papers that report only a single model's accuracy in isolation.</w:t>
      </w:r>
    </w:p>
    <w:p w:rsidR="00D53ACE" w:rsidRPr="00A60CBD" w:rsidRDefault="00A60CBD" w:rsidP="00A60CBD">
      <w:pPr>
        <w:spacing w:after="120" w:line="276" w:lineRule="auto"/>
        <w:jc w:val="both"/>
        <w:rPr>
          <w:sz w:val="28"/>
          <w:szCs w:val="28"/>
        </w:rPr>
      </w:pPr>
      <w:r w:rsidRPr="00A60CBD">
        <w:rPr>
          <w:rFonts w:eastAsia="Calibri"/>
          <w:sz w:val="28"/>
          <w:szCs w:val="28"/>
        </w:rPr>
        <w:t>Methodological limitation: the study evaluates classifiers primarily via accuracy and training/testing-accuracy gaps rather than reporting a full metric suite (Precision, Recall, F1-Score, AUC-ROC) for every model. For a medical screening task this is a real gap, because accuracy alone can be misleading on an imbalanced dataset (diabetic cases are usually the minority class) — a model with high accuracy could still be missing a large share of true diabetic cases (low recall), and the paper does not appear to foreground this clinically-critical trade-off.</w:t>
      </w:r>
    </w:p>
    <w:p w:rsidR="00D53ACE" w:rsidRPr="00A60CBD" w:rsidRDefault="00A60CBD" w:rsidP="00A60CBD">
      <w:pPr>
        <w:pStyle w:val="Heading1"/>
        <w:spacing w:before="300" w:after="150"/>
        <w:jc w:val="both"/>
        <w:rPr>
          <w:sz w:val="28"/>
          <w:szCs w:val="28"/>
        </w:rPr>
      </w:pPr>
      <w:r w:rsidRPr="00A60CBD">
        <w:rPr>
          <w:rFonts w:eastAsia="Calibri"/>
          <w:b/>
          <w:bCs/>
          <w:color w:val="1F4E79"/>
          <w:sz w:val="28"/>
          <w:szCs w:val="28"/>
        </w:rPr>
        <w:t>Task 3: Results &amp; Critical Evaluation</w:t>
      </w:r>
    </w:p>
    <w:p w:rsidR="00D53ACE" w:rsidRPr="00A60CBD" w:rsidRDefault="00A60CBD" w:rsidP="00A60CBD">
      <w:pPr>
        <w:spacing w:before="180" w:after="90"/>
        <w:jc w:val="both"/>
        <w:rPr>
          <w:sz w:val="28"/>
          <w:szCs w:val="28"/>
        </w:rPr>
      </w:pPr>
      <w:r w:rsidRPr="00A60CBD">
        <w:rPr>
          <w:rFonts w:eastAsia="Calibri"/>
          <w:b/>
          <w:bCs/>
          <w:sz w:val="28"/>
          <w:szCs w:val="28"/>
        </w:rPr>
        <w:t>(a) Key Results</w:t>
      </w:r>
    </w:p>
    <w:p w:rsidR="00D53ACE" w:rsidRPr="00A60CBD" w:rsidRDefault="00A60CBD" w:rsidP="00A60CBD">
      <w:pPr>
        <w:spacing w:after="120" w:line="276" w:lineRule="auto"/>
        <w:jc w:val="both"/>
        <w:rPr>
          <w:sz w:val="28"/>
          <w:szCs w:val="28"/>
        </w:rPr>
      </w:pPr>
      <w:r w:rsidRPr="00A60CBD">
        <w:rPr>
          <w:rFonts w:eastAsia="Calibri"/>
          <w:sz w:val="28"/>
          <w:szCs w:val="28"/>
        </w:rPr>
        <w:t>The authors report that, after cross-validation, KNN achieved the highest observed accuracy at approximately 76%, with the remaining classifiers (Naïve Bayes, Decision Tree, Random Forest, SVM) all achieving stable accuracies above 70%. A comparative summary (figures as reported/cited in the published record; verify exact values against the full IEEE Xplore PDF):</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3100"/>
        <w:gridCol w:w="2650"/>
      </w:tblGrid>
      <w:tr w:rsidR="00D53ACE" w:rsidRPr="00A60CBD">
        <w:tc>
          <w:tcPr>
            <w:tcW w:w="3600" w:type="dxa"/>
            <w:shd w:val="clear" w:color="auto" w:fill="1F4E79"/>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b/>
                <w:bCs/>
                <w:color w:val="FFFFFF"/>
                <w:sz w:val="28"/>
                <w:szCs w:val="28"/>
              </w:rPr>
              <w:t>Model</w:t>
            </w:r>
          </w:p>
        </w:tc>
        <w:tc>
          <w:tcPr>
            <w:tcW w:w="3100" w:type="dxa"/>
            <w:shd w:val="clear" w:color="auto" w:fill="1F4E79"/>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b/>
                <w:bCs/>
                <w:color w:val="FFFFFF"/>
                <w:sz w:val="28"/>
                <w:szCs w:val="28"/>
              </w:rPr>
              <w:t>Reported Accuracy</w:t>
            </w:r>
          </w:p>
        </w:tc>
        <w:tc>
          <w:tcPr>
            <w:tcW w:w="2650" w:type="dxa"/>
            <w:shd w:val="clear" w:color="auto" w:fill="1F4E79"/>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b/>
                <w:bCs/>
                <w:color w:val="FFFFFF"/>
                <w:sz w:val="28"/>
                <w:szCs w:val="28"/>
              </w:rPr>
              <w:t>CO4 Category</w:t>
            </w:r>
          </w:p>
        </w:tc>
      </w:tr>
      <w:tr w:rsidR="00D53ACE" w:rsidRPr="00A60CBD">
        <w:tc>
          <w:tcPr>
            <w:tcW w:w="36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K-Nearest Neighbors (KNN)</w:t>
            </w:r>
          </w:p>
        </w:tc>
        <w:tc>
          <w:tcPr>
            <w:tcW w:w="31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~76% (highest reported)</w:t>
            </w:r>
          </w:p>
        </w:tc>
        <w:tc>
          <w:tcPr>
            <w:tcW w:w="265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Instance-based learning</w:t>
            </w:r>
          </w:p>
        </w:tc>
      </w:tr>
      <w:tr w:rsidR="00D53ACE" w:rsidRPr="00A60CBD">
        <w:tc>
          <w:tcPr>
            <w:tcW w:w="36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Naïve Bayes</w:t>
            </w:r>
          </w:p>
        </w:tc>
        <w:tc>
          <w:tcPr>
            <w:tcW w:w="31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&gt;70%</w:t>
            </w:r>
          </w:p>
        </w:tc>
        <w:tc>
          <w:tcPr>
            <w:tcW w:w="265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Statistical learning</w:t>
            </w:r>
          </w:p>
        </w:tc>
      </w:tr>
      <w:tr w:rsidR="00D53ACE" w:rsidRPr="00A60CBD">
        <w:tc>
          <w:tcPr>
            <w:tcW w:w="36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Decision Tree</w:t>
            </w:r>
          </w:p>
        </w:tc>
        <w:tc>
          <w:tcPr>
            <w:tcW w:w="31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&gt;70%</w:t>
            </w:r>
          </w:p>
        </w:tc>
        <w:tc>
          <w:tcPr>
            <w:tcW w:w="265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Decision tree</w:t>
            </w:r>
          </w:p>
        </w:tc>
      </w:tr>
      <w:tr w:rsidR="00D53ACE" w:rsidRPr="00A60CBD">
        <w:tc>
          <w:tcPr>
            <w:tcW w:w="36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lastRenderedPageBreak/>
              <w:t>Random Forest</w:t>
            </w:r>
          </w:p>
        </w:tc>
        <w:tc>
          <w:tcPr>
            <w:tcW w:w="31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&gt;70%</w:t>
            </w:r>
          </w:p>
        </w:tc>
        <w:tc>
          <w:tcPr>
            <w:tcW w:w="265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Ensemble / decision tree</w:t>
            </w:r>
          </w:p>
        </w:tc>
      </w:tr>
      <w:tr w:rsidR="00D53ACE" w:rsidRPr="00A60CBD">
        <w:tc>
          <w:tcPr>
            <w:tcW w:w="36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Support Vector Machine (SVM)</w:t>
            </w:r>
          </w:p>
        </w:tc>
        <w:tc>
          <w:tcPr>
            <w:tcW w:w="310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&gt;70%</w:t>
            </w:r>
          </w:p>
        </w:tc>
        <w:tc>
          <w:tcPr>
            <w:tcW w:w="2650" w:type="dxa"/>
            <w:tcMar>
              <w:top w:w="80" w:type="dxa"/>
              <w:left w:w="100" w:type="dxa"/>
              <w:bottom w:w="80" w:type="dxa"/>
              <w:right w:w="100" w:type="dxa"/>
            </w:tcMar>
          </w:tcPr>
          <w:p w:rsidR="00D53ACE" w:rsidRPr="00A60CBD" w:rsidRDefault="00A60CBD" w:rsidP="00A60CBD">
            <w:pPr>
              <w:jc w:val="both"/>
              <w:rPr>
                <w:sz w:val="28"/>
                <w:szCs w:val="28"/>
              </w:rPr>
            </w:pPr>
            <w:r w:rsidRPr="00A60CBD">
              <w:rPr>
                <w:rFonts w:eastAsia="Calibri"/>
                <w:color w:val="000000"/>
                <w:sz w:val="28"/>
                <w:szCs w:val="28"/>
              </w:rPr>
              <w:t>Statistical learning</w:t>
            </w:r>
          </w:p>
        </w:tc>
      </w:tr>
    </w:tbl>
    <w:p w:rsidR="00D53ACE" w:rsidRPr="00A60CBD" w:rsidRDefault="00D53ACE" w:rsidP="00A60CBD">
      <w:pPr>
        <w:spacing w:after="120" w:line="276" w:lineRule="auto"/>
        <w:jc w:val="both"/>
        <w:rPr>
          <w:sz w:val="28"/>
          <w:szCs w:val="28"/>
        </w:rPr>
      </w:pPr>
    </w:p>
    <w:p w:rsidR="00D53ACE" w:rsidRPr="00A60CBD" w:rsidRDefault="00A60CBD" w:rsidP="00A60CBD">
      <w:pPr>
        <w:spacing w:after="120" w:line="276" w:lineRule="auto"/>
        <w:jc w:val="both"/>
        <w:rPr>
          <w:sz w:val="28"/>
          <w:szCs w:val="28"/>
        </w:rPr>
      </w:pPr>
      <w:r w:rsidRPr="00A60CBD">
        <w:rPr>
          <w:rFonts w:eastAsia="Calibri"/>
          <w:sz w:val="28"/>
          <w:szCs w:val="28"/>
        </w:rPr>
        <w:t>No single model is presented as an outright winner; instead, the authors' central finding is that all five classifiers converge to a broadly similar, 'stable' accuracy band once overfitting is controlled for, and they use training-vs-testing accuracy plots to show which models were overfitting (very high training accuracy but a large drop on test data) versus underfitting (both training and testing accuracy low) at their default settings.</w:t>
      </w:r>
    </w:p>
    <w:p w:rsidR="00D53ACE" w:rsidRPr="00A60CBD" w:rsidRDefault="00A60CBD" w:rsidP="00A60CBD">
      <w:pPr>
        <w:spacing w:before="180" w:after="90"/>
        <w:jc w:val="both"/>
        <w:rPr>
          <w:sz w:val="28"/>
          <w:szCs w:val="28"/>
        </w:rPr>
      </w:pPr>
      <w:r w:rsidRPr="00A60CBD">
        <w:rPr>
          <w:rFonts w:eastAsia="Calibri"/>
          <w:b/>
          <w:bCs/>
          <w:sz w:val="28"/>
          <w:szCs w:val="28"/>
        </w:rPr>
        <w:t>(b) Critical Evaluation</w:t>
      </w:r>
    </w:p>
    <w:p w:rsidR="00D53ACE" w:rsidRPr="00A60CBD" w:rsidRDefault="00A60CBD" w:rsidP="00A60CBD">
      <w:pPr>
        <w:spacing w:after="120" w:line="276" w:lineRule="auto"/>
        <w:jc w:val="both"/>
        <w:rPr>
          <w:sz w:val="28"/>
          <w:szCs w:val="28"/>
        </w:rPr>
      </w:pPr>
      <w:r w:rsidRPr="00A60CBD">
        <w:rPr>
          <w:rFonts w:eastAsia="Calibri"/>
          <w:sz w:val="28"/>
          <w:szCs w:val="28"/>
        </w:rPr>
        <w:t xml:space="preserve">Are the metrics realistic? A ~70–76% accuracy band is realistic and consistent with a large body of independent work on this same class of diabetes-prediction dataset (numerous other IEEE/Springer papers using the Pima-style dataset report accuracies clustering in the low-to-high 70s for classical ML without heavy feature engineering, and higher — often 80–90%+ — only after feature selection, </w:t>
      </w:r>
      <w:proofErr w:type="spellStart"/>
      <w:r w:rsidRPr="00A60CBD">
        <w:rPr>
          <w:rFonts w:eastAsia="Calibri"/>
          <w:sz w:val="28"/>
          <w:szCs w:val="28"/>
        </w:rPr>
        <w:t>ensembling</w:t>
      </w:r>
      <w:proofErr w:type="spellEnd"/>
      <w:r w:rsidRPr="00A60CBD">
        <w:rPr>
          <w:rFonts w:eastAsia="Calibri"/>
          <w:sz w:val="28"/>
          <w:szCs w:val="28"/>
        </w:rPr>
        <w:t>, or deep learning). The reported numbers are therefore plausible rather than inflated, which adds credibility.</w:t>
      </w:r>
    </w:p>
    <w:p w:rsidR="00D53ACE" w:rsidRPr="00A60CBD" w:rsidRDefault="00A60CBD" w:rsidP="00A60CBD">
      <w:pPr>
        <w:spacing w:after="120" w:line="276" w:lineRule="auto"/>
        <w:jc w:val="both"/>
        <w:rPr>
          <w:sz w:val="28"/>
          <w:szCs w:val="28"/>
        </w:rPr>
      </w:pPr>
      <w:r w:rsidRPr="00A60CBD">
        <w:rPr>
          <w:rFonts w:eastAsia="Calibri"/>
          <w:sz w:val="28"/>
          <w:szCs w:val="28"/>
        </w:rPr>
        <w:t>Potential biases:</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 xml:space="preserve">Dataset bias: datasets of this type are drawn from a specific, narrow demographic (in the canonical Pima dataset, adult women of a single heritage group), so the model's </w:t>
      </w:r>
      <w:proofErr w:type="spellStart"/>
      <w:r w:rsidRPr="00A60CBD">
        <w:rPr>
          <w:rFonts w:eastAsia="Calibri"/>
          <w:sz w:val="28"/>
          <w:szCs w:val="28"/>
        </w:rPr>
        <w:t>generalisability</w:t>
      </w:r>
      <w:proofErr w:type="spellEnd"/>
      <w:r w:rsidRPr="00A60CBD">
        <w:rPr>
          <w:rFonts w:eastAsia="Calibri"/>
          <w:sz w:val="28"/>
          <w:szCs w:val="28"/>
        </w:rPr>
        <w:t xml:space="preserve"> to broader, mixed populations is questionable — a limitation the paper does not appear to discuss.</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Evaluation-protocol bias: reporting accuracy as the headline metric, without also foregrounding recall/F1 for the diabetic class, risks under-reporting how many true diabetic cases the 'best' model misses — a meaningful bias for a clinical screening use case.</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Small sample size: a dataset of only several hundred records is small by modern ML standards, so accuracy estimates can have non-trivial variance depending on the train/test split; the paper would benefit from reporting confidence intervals or repeated k-fold results rather than point estimates.</w:t>
      </w:r>
    </w:p>
    <w:p w:rsidR="00D53ACE" w:rsidRPr="00A60CBD" w:rsidRDefault="00A60CBD" w:rsidP="00A60CBD">
      <w:pPr>
        <w:spacing w:after="120" w:line="276" w:lineRule="auto"/>
        <w:jc w:val="both"/>
        <w:rPr>
          <w:sz w:val="28"/>
          <w:szCs w:val="28"/>
        </w:rPr>
      </w:pPr>
      <w:r w:rsidRPr="00A60CBD">
        <w:rPr>
          <w:rFonts w:eastAsia="Calibri"/>
          <w:sz w:val="28"/>
          <w:szCs w:val="28"/>
        </w:rPr>
        <w:t>Additional experiments that would strengthen the findings: (</w:t>
      </w:r>
      <w:proofErr w:type="spellStart"/>
      <w:r w:rsidRPr="00A60CBD">
        <w:rPr>
          <w:rFonts w:eastAsia="Calibri"/>
          <w:sz w:val="28"/>
          <w:szCs w:val="28"/>
        </w:rPr>
        <w:t>i</w:t>
      </w:r>
      <w:proofErr w:type="spellEnd"/>
      <w:r w:rsidRPr="00A60CBD">
        <w:rPr>
          <w:rFonts w:eastAsia="Calibri"/>
          <w:sz w:val="28"/>
          <w:szCs w:val="28"/>
        </w:rPr>
        <w:t xml:space="preserve">) report Precision, Recall, F1-Score and AUC-ROC per model, not just accuracy; (ii) test on an external, independently-collected patient dataset to check </w:t>
      </w:r>
      <w:proofErr w:type="spellStart"/>
      <w:r w:rsidRPr="00A60CBD">
        <w:rPr>
          <w:rFonts w:eastAsia="Calibri"/>
          <w:sz w:val="28"/>
          <w:szCs w:val="28"/>
        </w:rPr>
        <w:t>generalisation</w:t>
      </w:r>
      <w:proofErr w:type="spellEnd"/>
      <w:r w:rsidRPr="00A60CBD">
        <w:rPr>
          <w:rFonts w:eastAsia="Calibri"/>
          <w:sz w:val="28"/>
          <w:szCs w:val="28"/>
        </w:rPr>
        <w:t xml:space="preserve"> beyond the original cohort; (iii) apply class-balancing (SMOTE / class weighting) and re-compare, since class imbalance likely affects the weaker-performing models disproportionately; (iv) report </w:t>
      </w:r>
      <w:r w:rsidRPr="00A60CBD">
        <w:rPr>
          <w:rFonts w:eastAsia="Calibri"/>
          <w:sz w:val="28"/>
          <w:szCs w:val="28"/>
        </w:rPr>
        <w:lastRenderedPageBreak/>
        <w:t>computational/inference time explicitly alongside accuracy, since the authors' own stated goal was an accuracy-vs-time trade-off.</w:t>
      </w:r>
    </w:p>
    <w:p w:rsidR="00D53ACE" w:rsidRPr="00A60CBD" w:rsidRDefault="00A60CBD" w:rsidP="00A60CBD">
      <w:pPr>
        <w:spacing w:before="180" w:after="90"/>
        <w:jc w:val="both"/>
        <w:rPr>
          <w:sz w:val="28"/>
          <w:szCs w:val="28"/>
        </w:rPr>
      </w:pPr>
      <w:r w:rsidRPr="00A60CBD">
        <w:rPr>
          <w:rFonts w:eastAsia="Calibri"/>
          <w:b/>
          <w:bCs/>
          <w:sz w:val="28"/>
          <w:szCs w:val="28"/>
        </w:rPr>
        <w:t>(c) Real-World Applicability</w:t>
      </w:r>
    </w:p>
    <w:p w:rsidR="00D53ACE" w:rsidRPr="00A60CBD" w:rsidRDefault="00A60CBD" w:rsidP="00A60CBD">
      <w:pPr>
        <w:spacing w:after="120" w:line="276" w:lineRule="auto"/>
        <w:jc w:val="both"/>
        <w:rPr>
          <w:sz w:val="28"/>
          <w:szCs w:val="28"/>
        </w:rPr>
      </w:pPr>
      <w:r w:rsidRPr="00A60CBD">
        <w:rPr>
          <w:rFonts w:eastAsia="Calibri"/>
          <w:sz w:val="28"/>
          <w:szCs w:val="28"/>
        </w:rPr>
        <w:t>Where it can be deployed: a lightweight classifier such as this could power a primary-care or community-health screening tool — a simple intake form (age, BMI, blood pressure, family history, glucose reading) feeding a Decision-Tree- or KNN-based risk score that flags patients for a confirmatory lab test, particularly useful in low-resource clinics without on-site specialists.</w:t>
      </w:r>
    </w:p>
    <w:p w:rsidR="00D53ACE" w:rsidRPr="00A60CBD" w:rsidRDefault="00A60CBD" w:rsidP="00A60CBD">
      <w:pPr>
        <w:spacing w:after="120" w:line="276" w:lineRule="auto"/>
        <w:jc w:val="both"/>
        <w:rPr>
          <w:sz w:val="28"/>
          <w:szCs w:val="28"/>
        </w:rPr>
      </w:pPr>
      <w:r w:rsidRPr="00A60CBD">
        <w:rPr>
          <w:rFonts w:eastAsia="Calibri"/>
          <w:sz w:val="28"/>
          <w:szCs w:val="28"/>
        </w:rPr>
        <w:t>Challenges in scaling to industry:</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Data availability: production deployment needs much larger, demographically diverse, and continuously updated patient data — the small benchmark dataset used here is a proof-of-concept, not production-scale training data.</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Compute: while these classical models are individually cheap to run (a practical advantage over deep learning for point-of-care devices), building and maintaining a robust pipeline (data cleaning, drift monitoring, periodic retraining) still requires ongoing engineering and infrastructure investment.</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Ethical issues: false negatives in a screening tool can delay treatment, so any clinical rollout needs a human-in-the-loop confirmatory step; there are also data-privacy obligations (patient consent, secure storage of sensitive health records) and a fairness obligation to validate the model across age, gender, and ethnic subgroups before trusting it beyond the population it was trained on.</w:t>
      </w:r>
    </w:p>
    <w:p w:rsidR="00D53ACE" w:rsidRPr="00A60CBD" w:rsidRDefault="00A60CBD" w:rsidP="00A60CBD">
      <w:pPr>
        <w:pStyle w:val="Heading1"/>
        <w:spacing w:before="300" w:after="150"/>
        <w:jc w:val="both"/>
        <w:rPr>
          <w:sz w:val="28"/>
          <w:szCs w:val="28"/>
        </w:rPr>
      </w:pPr>
      <w:r w:rsidRPr="00A60CBD">
        <w:rPr>
          <w:rFonts w:eastAsia="Calibri"/>
          <w:b/>
          <w:bCs/>
          <w:color w:val="1F4E79"/>
          <w:sz w:val="28"/>
          <w:szCs w:val="28"/>
        </w:rPr>
        <w:t>Task 4: Reflection &amp; Learning Outcome</w:t>
      </w:r>
    </w:p>
    <w:p w:rsidR="00D53ACE" w:rsidRPr="00A60CBD" w:rsidRDefault="00A60CBD" w:rsidP="00A60CBD">
      <w:pPr>
        <w:spacing w:before="180" w:after="90"/>
        <w:jc w:val="both"/>
        <w:rPr>
          <w:sz w:val="28"/>
          <w:szCs w:val="28"/>
        </w:rPr>
      </w:pPr>
      <w:r w:rsidRPr="00A60CBD">
        <w:rPr>
          <w:rFonts w:eastAsia="Calibri"/>
          <w:b/>
          <w:bCs/>
          <w:sz w:val="28"/>
          <w:szCs w:val="28"/>
        </w:rPr>
        <w:t>(a) Three Key Insights (linked to CO4)</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 xml:space="preserve">Insight 1 — Accuracy alone is an incomplete signal: the paper's comparison across five algorithms shows that near-identical accuracy figures can hide very different overfitting </w:t>
      </w:r>
      <w:proofErr w:type="spellStart"/>
      <w:r w:rsidRPr="00A60CBD">
        <w:rPr>
          <w:rFonts w:eastAsia="Calibri"/>
          <w:sz w:val="28"/>
          <w:szCs w:val="28"/>
        </w:rPr>
        <w:t>behaviour</w:t>
      </w:r>
      <w:proofErr w:type="spellEnd"/>
      <w:r w:rsidRPr="00A60CBD">
        <w:rPr>
          <w:rFonts w:eastAsia="Calibri"/>
          <w:sz w:val="28"/>
          <w:szCs w:val="28"/>
        </w:rPr>
        <w:t>; this connects directly to the CO4 idea that model evaluation for decision trees and inductive learners must examine train-vs-test performance, not just a single headline number.</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t xml:space="preserve">Insight 2 — Different CO4 model families answer different questions: seeing instance-based (KNN), statistical (Naïve Bayes, SVM), and tree-based (Decision Tree, Random Forest) models benchmarked side-by-side reinforced the course concept that 'best model' is protocol-dependent — statistical models often </w:t>
      </w:r>
      <w:proofErr w:type="spellStart"/>
      <w:r w:rsidRPr="00A60CBD">
        <w:rPr>
          <w:rFonts w:eastAsia="Calibri"/>
          <w:sz w:val="28"/>
          <w:szCs w:val="28"/>
        </w:rPr>
        <w:t>generalise</w:t>
      </w:r>
      <w:proofErr w:type="spellEnd"/>
      <w:r w:rsidRPr="00A60CBD">
        <w:rPr>
          <w:rFonts w:eastAsia="Calibri"/>
          <w:sz w:val="28"/>
          <w:szCs w:val="28"/>
        </w:rPr>
        <w:t xml:space="preserve"> more predictably on small, roughly linearly-separable clinical data, while tree-based models offer more interpretability, matching the CO4 discussion of when to prefer statistical learning over decision trees (and vice versa).</w:t>
      </w:r>
    </w:p>
    <w:p w:rsidR="00D53ACE" w:rsidRPr="00A60CBD" w:rsidRDefault="00A60CBD" w:rsidP="00A60CBD">
      <w:pPr>
        <w:pStyle w:val="ListParagraph"/>
        <w:numPr>
          <w:ilvl w:val="0"/>
          <w:numId w:val="2"/>
        </w:numPr>
        <w:spacing w:after="80"/>
        <w:jc w:val="both"/>
        <w:rPr>
          <w:sz w:val="28"/>
          <w:szCs w:val="28"/>
        </w:rPr>
      </w:pPr>
      <w:r w:rsidRPr="00A60CBD">
        <w:rPr>
          <w:rFonts w:eastAsia="Calibri"/>
          <w:sz w:val="28"/>
          <w:szCs w:val="28"/>
        </w:rPr>
        <w:lastRenderedPageBreak/>
        <w:t>Insight 3 — Inductive learning is only as good as its labelled data and feature choice: the reliance on a small set of physiological features (glucose, BMI, etc.) illustrates the CO4 inductive-learning principle that the hypothesis space a model can learn is bounded by the features and examples it is given — no algorithm choice can compensate for missing/biased features or under-represented patient subgroups.</w:t>
      </w:r>
    </w:p>
    <w:p w:rsidR="00D53ACE" w:rsidRPr="00A60CBD" w:rsidRDefault="00A60CBD" w:rsidP="00A60CBD">
      <w:pPr>
        <w:spacing w:before="180" w:after="90"/>
        <w:jc w:val="both"/>
        <w:rPr>
          <w:sz w:val="28"/>
          <w:szCs w:val="28"/>
        </w:rPr>
      </w:pPr>
      <w:r w:rsidRPr="00A60CBD">
        <w:rPr>
          <w:rFonts w:eastAsia="Calibri"/>
          <w:b/>
          <w:bCs/>
          <w:sz w:val="28"/>
          <w:szCs w:val="28"/>
        </w:rPr>
        <w:t>(b) Proposed Extension</w:t>
      </w:r>
    </w:p>
    <w:p w:rsidR="00D53ACE" w:rsidRPr="00A60CBD" w:rsidRDefault="00A60CBD" w:rsidP="00A60CBD">
      <w:pPr>
        <w:spacing w:after="120" w:line="276" w:lineRule="auto"/>
        <w:jc w:val="both"/>
        <w:rPr>
          <w:sz w:val="28"/>
          <w:szCs w:val="28"/>
        </w:rPr>
      </w:pPr>
      <w:r w:rsidRPr="00A60CBD">
        <w:rPr>
          <w:rFonts w:eastAsia="Calibri"/>
          <w:sz w:val="28"/>
          <w:szCs w:val="28"/>
        </w:rPr>
        <w:t>Proposed novel experiment: extend the study by (</w:t>
      </w:r>
      <w:proofErr w:type="spellStart"/>
      <w:r w:rsidRPr="00A60CBD">
        <w:rPr>
          <w:rFonts w:eastAsia="Calibri"/>
          <w:sz w:val="28"/>
          <w:szCs w:val="28"/>
        </w:rPr>
        <w:t>i</w:t>
      </w:r>
      <w:proofErr w:type="spellEnd"/>
      <w:r w:rsidRPr="00A60CBD">
        <w:rPr>
          <w:rFonts w:eastAsia="Calibri"/>
          <w:sz w:val="28"/>
          <w:szCs w:val="28"/>
        </w:rPr>
        <w:t>) applying the same five-algorithm comparison to a larger, more demographically diverse, multi-country diabetes dataset (rather than a single narrow cohort), and (ii) adding a cost-sensitive Reinforcement Learning layer on top of the best-performing classifier — using the classifier's risk score as the 'state' input to an RL agent (as introduced in CO4's RL topic) that recommends a next-step action (Monitor / Refer for lab test / Refer to specialist) rather than a static Yes/No diagnosis.</w:t>
      </w:r>
    </w:p>
    <w:p w:rsidR="00D53ACE" w:rsidRPr="00A60CBD" w:rsidRDefault="00A60CBD" w:rsidP="00A60CBD">
      <w:pPr>
        <w:spacing w:after="120" w:line="276" w:lineRule="auto"/>
        <w:jc w:val="both"/>
        <w:rPr>
          <w:sz w:val="28"/>
          <w:szCs w:val="28"/>
        </w:rPr>
      </w:pPr>
      <w:r w:rsidRPr="00A60CBD">
        <w:rPr>
          <w:rFonts w:eastAsia="Calibri"/>
          <w:sz w:val="28"/>
          <w:szCs w:val="28"/>
        </w:rPr>
        <w:t xml:space="preserve">Feasibility: the core classifiers used in the original paper are computationally cheap and well-documented, so re-running them on a new, larger dataset is straightforward with existing open-source tooling; the RL extension reuses the same state features and can be built as a small tabular Q-learning agent (as </w:t>
      </w:r>
      <w:proofErr w:type="spellStart"/>
      <w:r w:rsidRPr="00A60CBD">
        <w:rPr>
          <w:rFonts w:eastAsia="Calibri"/>
          <w:sz w:val="28"/>
          <w:szCs w:val="28"/>
        </w:rPr>
        <w:t>practised</w:t>
      </w:r>
      <w:proofErr w:type="spellEnd"/>
      <w:r w:rsidRPr="00A60CBD">
        <w:rPr>
          <w:rFonts w:eastAsia="Calibri"/>
          <w:sz w:val="28"/>
          <w:szCs w:val="28"/>
        </w:rPr>
        <w:t xml:space="preserve"> in Assessment 1 of this course), so no exotic infrastructure is required.</w:t>
      </w:r>
    </w:p>
    <w:p w:rsidR="00D53ACE" w:rsidRPr="00A60CBD" w:rsidRDefault="00A60CBD" w:rsidP="00A60CBD">
      <w:pPr>
        <w:spacing w:after="120" w:line="276" w:lineRule="auto"/>
        <w:jc w:val="both"/>
        <w:rPr>
          <w:sz w:val="28"/>
          <w:szCs w:val="28"/>
        </w:rPr>
      </w:pPr>
      <w:r w:rsidRPr="00A60CBD">
        <w:rPr>
          <w:rFonts w:eastAsia="Calibri"/>
          <w:sz w:val="28"/>
          <w:szCs w:val="28"/>
        </w:rPr>
        <w:t xml:space="preserve">Expected impact: a larger, more diverse dataset would produce accuracy and fairness estimates that </w:t>
      </w:r>
      <w:proofErr w:type="spellStart"/>
      <w:r w:rsidRPr="00A60CBD">
        <w:rPr>
          <w:rFonts w:eastAsia="Calibri"/>
          <w:sz w:val="28"/>
          <w:szCs w:val="28"/>
        </w:rPr>
        <w:t>generalise</w:t>
      </w:r>
      <w:proofErr w:type="spellEnd"/>
      <w:r w:rsidRPr="00A60CBD">
        <w:rPr>
          <w:rFonts w:eastAsia="Calibri"/>
          <w:sz w:val="28"/>
          <w:szCs w:val="28"/>
        </w:rPr>
        <w:t xml:space="preserve"> better beyond the original patient cohort, directly addressing the dataset-bias limitation identified in Task 3(b); layering an RL-based action recommender on top would move the system from a one-shot diagnostic label to a decision-support tool that mirrors real clinical workflows (staged escalation rather than a single binary verdict), increasing its practical adoption value while remaining within the algorithmic scope already covered by CO4.</w:t>
      </w:r>
    </w:p>
    <w:sectPr w:rsidR="00D53ACE" w:rsidRPr="00A60CB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C8D7A46"/>
    <w:multiLevelType w:val="hybridMultilevel"/>
    <w:tmpl w:val="5B868F6E"/>
    <w:lvl w:ilvl="0" w:tplc="F0DE1DA6">
      <w:start w:val="1"/>
      <w:numFmt w:val="bullet"/>
      <w:lvlText w:val="●"/>
      <w:lvlJc w:val="left"/>
      <w:pPr>
        <w:ind w:left="720" w:hanging="360"/>
      </w:pPr>
    </w:lvl>
    <w:lvl w:ilvl="1" w:tplc="B7FE3BE2">
      <w:start w:val="1"/>
      <w:numFmt w:val="bullet"/>
      <w:lvlText w:val="○"/>
      <w:lvlJc w:val="left"/>
      <w:pPr>
        <w:ind w:left="1440" w:hanging="360"/>
      </w:pPr>
    </w:lvl>
    <w:lvl w:ilvl="2" w:tplc="A1DC1B76">
      <w:start w:val="1"/>
      <w:numFmt w:val="bullet"/>
      <w:lvlText w:val="■"/>
      <w:lvlJc w:val="left"/>
      <w:pPr>
        <w:ind w:left="2160" w:hanging="360"/>
      </w:pPr>
    </w:lvl>
    <w:lvl w:ilvl="3" w:tplc="C94863E8">
      <w:start w:val="1"/>
      <w:numFmt w:val="bullet"/>
      <w:lvlText w:val="●"/>
      <w:lvlJc w:val="left"/>
      <w:pPr>
        <w:ind w:left="2880" w:hanging="360"/>
      </w:pPr>
    </w:lvl>
    <w:lvl w:ilvl="4" w:tplc="288004BE">
      <w:start w:val="1"/>
      <w:numFmt w:val="bullet"/>
      <w:lvlText w:val="○"/>
      <w:lvlJc w:val="left"/>
      <w:pPr>
        <w:ind w:left="3600" w:hanging="360"/>
      </w:pPr>
    </w:lvl>
    <w:lvl w:ilvl="5" w:tplc="56BC0064">
      <w:start w:val="1"/>
      <w:numFmt w:val="bullet"/>
      <w:lvlText w:val="■"/>
      <w:lvlJc w:val="left"/>
      <w:pPr>
        <w:ind w:left="4320" w:hanging="360"/>
      </w:pPr>
    </w:lvl>
    <w:lvl w:ilvl="6" w:tplc="6E24D886">
      <w:start w:val="1"/>
      <w:numFmt w:val="bullet"/>
      <w:lvlText w:val="●"/>
      <w:lvlJc w:val="left"/>
      <w:pPr>
        <w:ind w:left="5040" w:hanging="360"/>
      </w:pPr>
    </w:lvl>
    <w:lvl w:ilvl="7" w:tplc="040C82DC">
      <w:start w:val="1"/>
      <w:numFmt w:val="bullet"/>
      <w:lvlText w:val="●"/>
      <w:lvlJc w:val="left"/>
      <w:pPr>
        <w:ind w:left="5760" w:hanging="360"/>
      </w:pPr>
    </w:lvl>
    <w:lvl w:ilvl="8" w:tplc="A11ACC44">
      <w:start w:val="1"/>
      <w:numFmt w:val="bullet"/>
      <w:lvlText w:val="●"/>
      <w:lvlJc w:val="left"/>
      <w:pPr>
        <w:ind w:left="6480" w:hanging="360"/>
      </w:pPr>
    </w:lvl>
  </w:abstractNum>
  <w:abstractNum w:abstractNumId="1" w15:restartNumberingAfterBreak="0">
    <w:nsid w:val="7C907DFE"/>
    <w:multiLevelType w:val="hybridMultilevel"/>
    <w:tmpl w:val="9546470C"/>
    <w:lvl w:ilvl="0" w:tplc="E454108C">
      <w:start w:val="1"/>
      <w:numFmt w:val="bullet"/>
      <w:lvlText w:val="•"/>
      <w:lvlJc w:val="left"/>
      <w:pPr>
        <w:ind w:left="450" w:hanging="260"/>
      </w:pPr>
    </w:lvl>
    <w:lvl w:ilvl="1" w:tplc="391671D4">
      <w:numFmt w:val="decimal"/>
      <w:lvlText w:val=""/>
      <w:lvlJc w:val="left"/>
    </w:lvl>
    <w:lvl w:ilvl="2" w:tplc="5428F1BE">
      <w:numFmt w:val="decimal"/>
      <w:lvlText w:val=""/>
      <w:lvlJc w:val="left"/>
    </w:lvl>
    <w:lvl w:ilvl="3" w:tplc="9962D02C">
      <w:numFmt w:val="decimal"/>
      <w:lvlText w:val=""/>
      <w:lvlJc w:val="left"/>
    </w:lvl>
    <w:lvl w:ilvl="4" w:tplc="BCC69522">
      <w:numFmt w:val="decimal"/>
      <w:lvlText w:val=""/>
      <w:lvlJc w:val="left"/>
    </w:lvl>
    <w:lvl w:ilvl="5" w:tplc="C43CEDCA">
      <w:numFmt w:val="decimal"/>
      <w:lvlText w:val=""/>
      <w:lvlJc w:val="left"/>
    </w:lvl>
    <w:lvl w:ilvl="6" w:tplc="18CC9596">
      <w:numFmt w:val="decimal"/>
      <w:lvlText w:val=""/>
      <w:lvlJc w:val="left"/>
    </w:lvl>
    <w:lvl w:ilvl="7" w:tplc="222A2652">
      <w:numFmt w:val="decimal"/>
      <w:lvlText w:val=""/>
      <w:lvlJc w:val="left"/>
    </w:lvl>
    <w:lvl w:ilvl="8" w:tplc="9000F56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ACE"/>
    <w:rsid w:val="00A60CBD"/>
    <w:rsid w:val="00AB77CF"/>
    <w:rsid w:val="00D53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936B0"/>
  <w15:docId w15:val="{45DBBB9D-17EE-446E-B99F-DCA9F6C56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Style12">
    <w:name w:val="_Style 12"/>
    <w:basedOn w:val="TableNormal"/>
    <w:rsid w:val="00A60CBD"/>
    <w:tblPr>
      <w:tblInd w:w="0" w:type="nil"/>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eeexplore.ieee.org/document/939875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109/IECBES48179.2021.9398759" TargetMode="Externa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2750</Words>
  <Characters>15677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pc</cp:lastModifiedBy>
  <cp:revision>3</cp:revision>
  <dcterms:created xsi:type="dcterms:W3CDTF">2026-08-18T08:12:00Z</dcterms:created>
  <dcterms:modified xsi:type="dcterms:W3CDTF">2026-08-18T08:31:00Z</dcterms:modified>
</cp:coreProperties>
</file>