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6"/>
        </w:rPr>
        <w:t>CHASING PAVEMENTS</w:t>
      </w:r>
    </w:p>
    <w:p>
      <w:pPr>
        <w:jc w:val="center"/>
      </w:pPr>
      <w:r>
        <w:rPr>
          <w:rFonts w:ascii="Arial" w:hAnsi="Arial"/>
          <w:color w:val="2E75B6"/>
          <w:sz w:val="36"/>
        </w:rPr>
        <w:t>Research Progress Tracker</w:t>
      </w:r>
    </w:p>
    <w:p>
      <w:pPr>
        <w:jc w:val="center"/>
      </w:pPr>
      <w:r>
        <w:rPr>
          <w:color w:val="2E75B6"/>
        </w:rPr>
        <w:t>____________________________________________________________</w:t>
      </w:r>
    </w:p>
    <w:p>
      <w:pPr>
        <w:jc w:val="center"/>
      </w:pPr>
      <w:r>
        <w:rPr>
          <w:rFonts w:ascii="Arial" w:hAnsi="Arial"/>
          <w:i/>
          <w:color w:val="595959"/>
          <w:sz w:val="28"/>
        </w:rPr>
        <w:t>The Output Cost of Unpaved Roads in Sub-Saharan Africa</w:t>
      </w:r>
    </w:p>
    <w:p>
      <w:pPr>
        <w:jc w:val="center"/>
      </w:pPr>
      <w:r>
        <w:rPr>
          <w:rFonts w:ascii="Arial" w:hAnsi="Arial"/>
          <w:color w:val="595959"/>
          <w:sz w:val="24"/>
        </w:rPr>
        <w:t>April 7, 2026</w:t>
      </w:r>
    </w:p>
    <w:p>
      <w:pPr>
        <w:jc w:val="center"/>
      </w:pPr>
      <w:r>
        <w:rPr>
          <w:rFonts w:ascii="Arial" w:hAnsi="Arial"/>
          <w:color w:val="999999"/>
          <w:sz w:val="20"/>
        </w:rPr>
        <w:t>DRAFT — For Internal Use</w:t>
      </w:r>
    </w:p>
    <w:p>
      <w:r>
        <w:br w:type="page"/>
      </w:r>
    </w:p>
    <w:p>
      <w:pPr>
        <w:pStyle w:val="Heading1"/>
      </w:pPr>
      <w:r>
        <w:t>1. Project Status Overview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1F4E79"/>
          </w:tcPr>
          <w:p>
            <w:r/>
            <w:r>
              <w:rPr>
                <w:rFonts w:ascii="Arial" w:hAnsi="Arial"/>
                <w:b/>
                <w:color w:val="FFFFFF"/>
                <w:sz w:val="20"/>
              </w:rPr>
              <w:t>Phase</w:t>
            </w:r>
          </w:p>
        </w:tc>
        <w:tc>
          <w:tcPr>
            <w:tcW w:type="dxa" w:w="2592"/>
            <w:shd w:val="clear" w:color="auto" w:fill="1F4E79"/>
          </w:tcPr>
          <w:p>
            <w:r/>
            <w:r>
              <w:rPr>
                <w:rFonts w:ascii="Arial" w:hAnsi="Arial"/>
                <w:b/>
                <w:color w:val="FFFFFF"/>
                <w:sz w:val="20"/>
              </w:rPr>
              <w:t>Description</w:t>
            </w:r>
          </w:p>
        </w:tc>
        <w:tc>
          <w:tcPr>
            <w:tcW w:type="dxa" w:w="2160"/>
            <w:shd w:val="clear" w:color="auto" w:fill="1F4E79"/>
          </w:tcPr>
          <w:p>
            <w:r/>
            <w:r>
              <w:rPr>
                <w:rFonts w:ascii="Arial" w:hAnsi="Arial"/>
                <w:b/>
                <w:color w:val="FFFFFF"/>
                <w:sz w:val="20"/>
              </w:rPr>
              <w:t>Status</w:t>
            </w:r>
          </w:p>
        </w:tc>
        <w:tc>
          <w:tcPr>
            <w:tcW w:type="dxa" w:w="4608"/>
            <w:shd w:val="clear" w:color="auto" w:fill="1F4E79"/>
          </w:tcPr>
          <w:p>
            <w:r/>
            <w:r>
              <w:rPr>
                <w:rFonts w:ascii="Arial" w:hAnsi="Arial"/>
                <w:b/>
                <w:color w:val="FFFFFF"/>
                <w:sz w:val="20"/>
              </w:rPr>
              <w:t>Notes</w:t>
            </w:r>
          </w:p>
        </w:tc>
      </w:tr>
      <w:tr>
        <w:tc>
          <w:tcPr>
            <w:tcW w:type="dxa" w:w="1152"/>
            <w:shd w:val="clear" w:color="auto" w:fill="E8F0FE"/>
          </w:tcPr>
          <w:p>
            <w:r/>
            <w:r>
              <w:rPr>
                <w:rFonts w:ascii="Arial" w:hAnsi="Arial"/>
                <w:sz w:val="20"/>
              </w:rPr>
              <w:t>Phase 1</w:t>
            </w:r>
          </w:p>
        </w:tc>
        <w:tc>
          <w:tcPr>
            <w:tcW w:type="dxa" w:w="2592"/>
            <w:shd w:val="clear" w:color="auto" w:fill="E8F0FE"/>
          </w:tcPr>
          <w:p>
            <w:r/>
            <w:r>
              <w:rPr>
                <w:rFonts w:ascii="Arial" w:hAnsi="Arial"/>
                <w:sz w:val="20"/>
              </w:rPr>
              <w:t>Data Ingestion &amp; Spatial Setup</w:t>
            </w:r>
          </w:p>
        </w:tc>
        <w:tc>
          <w:tcPr>
            <w:tcW w:type="dxa" w:w="2160"/>
            <w:shd w:val="clear" w:color="auto" w:fill="E8F0FE"/>
          </w:tcPr>
          <w:p>
            <w:r/>
            <w:r>
              <w:rPr>
                <w:rFonts w:ascii="Arial" w:hAnsi="Arial"/>
                <w:sz w:val="20"/>
              </w:rPr>
              <w:t>COMPLETE (Tanzania)</w:t>
            </w:r>
          </w:p>
        </w:tc>
        <w:tc>
          <w:tcPr>
            <w:tcW w:type="dxa" w:w="4608"/>
            <w:shd w:val="clear" w:color="auto" w:fill="E8F0FE"/>
          </w:tcPr>
          <w:p>
            <w:r/>
            <w:r>
              <w:rPr>
                <w:rFonts w:ascii="Arial" w:hAnsi="Arial"/>
                <w:sz w:val="20"/>
              </w:rPr>
              <w:t>OSM road network extracted, 677K km, surface classified. 2.2% paved, 66.5% unpaved, 31.3% unknown.</w:t>
            </w:r>
          </w:p>
        </w:tc>
      </w:tr>
      <w:tr>
        <w:tc>
          <w:tcPr>
            <w:tcW w:type="dxa" w:w="1152"/>
          </w:tcPr>
          <w:p>
            <w:r/>
            <w:r>
              <w:rPr>
                <w:rFonts w:ascii="Arial" w:hAnsi="Arial"/>
                <w:sz w:val="20"/>
              </w:rPr>
              <w:t>Phase 2</w:t>
            </w:r>
          </w:p>
        </w:tc>
        <w:tc>
          <w:tcPr>
            <w:tcW w:type="dxa" w:w="2592"/>
          </w:tcPr>
          <w:p>
            <w:r/>
            <w:r>
              <w:rPr>
                <w:rFonts w:ascii="Arial" w:hAnsi="Arial"/>
                <w:sz w:val="20"/>
              </w:rPr>
              <w:t>Trade Cost Computation</w:t>
            </w:r>
          </w:p>
        </w:tc>
        <w:tc>
          <w:tcPr>
            <w:tcW w:type="dxa" w:w="2160"/>
          </w:tcPr>
          <w:p>
            <w:r/>
            <w:r>
              <w:rPr>
                <w:rFonts w:ascii="Arial" w:hAnsi="Arial"/>
                <w:sz w:val="20"/>
              </w:rPr>
              <w:t>COMPLETE (Tanzania)</w:t>
            </w:r>
          </w:p>
        </w:tc>
        <w:tc>
          <w:tcPr>
            <w:tcW w:type="dxa" w:w="4608"/>
          </w:tcPr>
          <w:p>
            <w:r/>
            <w:r>
              <w:rPr>
                <w:rFonts w:ascii="Arial" w:hAnsi="Arial"/>
                <w:sz w:val="20"/>
              </w:rPr>
              <w:t>Graph built (2M nodes, 95.8% connected). Baseline and counterfactual 186×186 trade cost matrices computed. Mean trade cost reduction: 31.2%.</w:t>
            </w:r>
          </w:p>
        </w:tc>
      </w:tr>
      <w:tr>
        <w:tc>
          <w:tcPr>
            <w:tcW w:type="dxa" w:w="1152"/>
            <w:shd w:val="clear" w:color="auto" w:fill="E8F0FE"/>
          </w:tcPr>
          <w:p>
            <w:r/>
            <w:r>
              <w:rPr>
                <w:rFonts w:ascii="Arial" w:hAnsi="Arial"/>
                <w:sz w:val="20"/>
              </w:rPr>
              <w:t>Phase 3</w:t>
            </w:r>
          </w:p>
        </w:tc>
        <w:tc>
          <w:tcPr>
            <w:tcW w:type="dxa" w:w="2592"/>
            <w:shd w:val="clear" w:color="auto" w:fill="E8F0FE"/>
          </w:tcPr>
          <w:p>
            <w:r/>
            <w:r>
              <w:rPr>
                <w:rFonts w:ascii="Arial" w:hAnsi="Arial"/>
                <w:sz w:val="20"/>
              </w:rPr>
              <w:t>Model Calibration</w:t>
            </w:r>
          </w:p>
        </w:tc>
        <w:tc>
          <w:tcPr>
            <w:tcW w:type="dxa" w:w="2160"/>
            <w:shd w:val="clear" w:color="auto" w:fill="E8F0FE"/>
          </w:tcPr>
          <w:p>
            <w:r/>
            <w:r>
              <w:rPr>
                <w:rFonts w:ascii="Arial" w:hAnsi="Arial"/>
                <w:sz w:val="20"/>
              </w:rPr>
              <w:t>NOT STARTED</w:t>
            </w:r>
          </w:p>
        </w:tc>
        <w:tc>
          <w:tcPr>
            <w:tcW w:type="dxa" w:w="4608"/>
            <w:shd w:val="clear" w:color="auto" w:fill="E8F0FE"/>
          </w:tcPr>
          <w:p>
            <w:r/>
            <w:r>
              <w:rPr>
                <w:rFonts w:ascii="Arial" w:hAnsi="Arial"/>
                <w:sz w:val="20"/>
              </w:rPr>
              <w:t>Need WorldPop + VIIRS nightlights. Invert GE model for productivities and amenities.</w:t>
            </w:r>
          </w:p>
        </w:tc>
      </w:tr>
      <w:tr>
        <w:tc>
          <w:tcPr>
            <w:tcW w:type="dxa" w:w="1152"/>
          </w:tcPr>
          <w:p>
            <w:r/>
            <w:r>
              <w:rPr>
                <w:rFonts w:ascii="Arial" w:hAnsi="Arial"/>
                <w:sz w:val="20"/>
              </w:rPr>
              <w:t>Phase 4</w:t>
            </w:r>
          </w:p>
        </w:tc>
        <w:tc>
          <w:tcPr>
            <w:tcW w:type="dxa" w:w="2592"/>
          </w:tcPr>
          <w:p>
            <w:r/>
            <w:r>
              <w:rPr>
                <w:rFonts w:ascii="Arial" w:hAnsi="Arial"/>
                <w:sz w:val="20"/>
              </w:rPr>
              <w:t>Counterfactual Analysis</w:t>
            </w:r>
          </w:p>
        </w:tc>
        <w:tc>
          <w:tcPr>
            <w:tcW w:type="dxa" w:w="2160"/>
          </w:tcPr>
          <w:p>
            <w:r/>
            <w:r>
              <w:rPr>
                <w:rFonts w:ascii="Arial" w:hAnsi="Arial"/>
                <w:sz w:val="20"/>
              </w:rPr>
              <w:t>NOT STARTED</w:t>
            </w:r>
          </w:p>
        </w:tc>
        <w:tc>
          <w:tcPr>
            <w:tcW w:type="dxa" w:w="4608"/>
          </w:tcPr>
          <w:p>
            <w:r/>
            <w:r>
              <w:rPr>
                <w:rFonts w:ascii="Arial" w:hAnsi="Arial"/>
                <w:sz w:val="20"/>
              </w:rPr>
              <w:t>Solve counterfactual equilibrium, compute welfare/GDP gains.</w:t>
            </w:r>
          </w:p>
        </w:tc>
      </w:tr>
      <w:tr>
        <w:tc>
          <w:tcPr>
            <w:tcW w:type="dxa" w:w="1152"/>
            <w:shd w:val="clear" w:color="auto" w:fill="E8F0FE"/>
          </w:tcPr>
          <w:p>
            <w:r/>
            <w:r>
              <w:rPr>
                <w:rFonts w:ascii="Arial" w:hAnsi="Arial"/>
                <w:sz w:val="20"/>
              </w:rPr>
              <w:t>Phase 5</w:t>
            </w:r>
          </w:p>
        </w:tc>
        <w:tc>
          <w:tcPr>
            <w:tcW w:type="dxa" w:w="2592"/>
            <w:shd w:val="clear" w:color="auto" w:fill="E8F0FE"/>
          </w:tcPr>
          <w:p>
            <w:r/>
            <w:r>
              <w:rPr>
                <w:rFonts w:ascii="Arial" w:hAnsi="Arial"/>
                <w:sz w:val="20"/>
              </w:rPr>
              <w:t>Robustness &amp; Extensions</w:t>
            </w:r>
          </w:p>
        </w:tc>
        <w:tc>
          <w:tcPr>
            <w:tcW w:type="dxa" w:w="2160"/>
            <w:shd w:val="clear" w:color="auto" w:fill="E8F0FE"/>
          </w:tcPr>
          <w:p>
            <w:r/>
            <w:r>
              <w:rPr>
                <w:rFonts w:ascii="Arial" w:hAnsi="Arial"/>
                <w:sz w:val="20"/>
              </w:rPr>
              <w:t>NOT STARTED</w:t>
            </w:r>
          </w:p>
        </w:tc>
        <w:tc>
          <w:tcPr>
            <w:tcW w:type="dxa" w:w="4608"/>
            <w:shd w:val="clear" w:color="auto" w:fill="E8F0FE"/>
          </w:tcPr>
          <w:p>
            <w:r/>
            <w:r>
              <w:rPr>
                <w:rFonts w:ascii="Arial" w:hAnsi="Arial"/>
                <w:sz w:val="20"/>
              </w:rPr>
              <w:t>Parameter sensitivity, cross-country scaling, optimal paving policy.</w:t>
            </w:r>
          </w:p>
        </w:tc>
      </w:tr>
      <w:tr>
        <w:tc>
          <w:tcPr>
            <w:tcW w:type="dxa" w:w="1152"/>
          </w:tcPr>
          <w:p>
            <w:r/>
            <w:r>
              <w:rPr>
                <w:rFonts w:ascii="Arial" w:hAnsi="Arial"/>
                <w:sz w:val="20"/>
              </w:rPr>
              <w:t>Paper</w:t>
            </w:r>
          </w:p>
        </w:tc>
        <w:tc>
          <w:tcPr>
            <w:tcW w:type="dxa" w:w="2592"/>
          </w:tcPr>
          <w:p>
            <w:r/>
            <w:r>
              <w:rPr>
                <w:rFonts w:ascii="Arial" w:hAnsi="Arial"/>
                <w:sz w:val="20"/>
              </w:rPr>
              <w:t>Writing &amp; Figures</w:t>
            </w:r>
          </w:p>
        </w:tc>
        <w:tc>
          <w:tcPr>
            <w:tcW w:type="dxa" w:w="2160"/>
          </w:tcPr>
          <w:p>
            <w:r/>
            <w:r>
              <w:rPr>
                <w:rFonts w:ascii="Arial" w:hAnsi="Arial"/>
                <w:sz w:val="20"/>
              </w:rPr>
              <w:t>NOT STARTED</w:t>
            </w:r>
          </w:p>
        </w:tc>
        <w:tc>
          <w:tcPr>
            <w:tcW w:type="dxa" w:w="4608"/>
          </w:tcPr>
          <w:p>
            <w:r/>
            <w:r>
              <w:rPr>
                <w:rFonts w:ascii="Arial" w:hAnsi="Arial"/>
                <w:sz w:val="20"/>
              </w:rPr>
              <w:t>Target: working paper draft by week 24.</w:t>
            </w:r>
          </w:p>
        </w:tc>
      </w:tr>
    </w:tbl>
    <w:p/>
    <w:p>
      <w:pPr>
        <w:pStyle w:val="Heading1"/>
      </w:pPr>
      <w:r>
        <w:t>2. Key Results (Preliminary — Tanzania)</w:t>
      </w:r>
    </w:p>
    <w:p>
      <w:pPr>
        <w:pStyle w:val="ListBullet"/>
      </w:pPr>
      <w:r>
        <w:t>677,579 km of roads across 1.1 million segments</w:t>
      </w:r>
    </w:p>
    <w:p>
      <w:pPr>
        <w:pStyle w:val="ListBullet"/>
      </w:pPr>
      <w:r>
        <w:t>Only 2.2% of road network is paved (14,994 km)</w:t>
      </w:r>
    </w:p>
    <w:p>
      <w:pPr>
        <w:pStyle w:val="ListBullet"/>
      </w:pPr>
      <w:r>
        <w:t>66.5% tagged as unpaved, 31.3% surface unknown</w:t>
      </w:r>
    </w:p>
    <w:p>
      <w:pPr>
        <w:pStyle w:val="ListBullet"/>
      </w:pPr>
      <w:r>
        <w:t>OSM surface tag coverage: 69% overall, ~100% for trunk/primary/secondary roads</w:t>
      </w:r>
    </w:p>
    <w:p>
      <w:pPr>
        <w:pStyle w:val="ListBullet"/>
      </w:pPr>
      <w:r>
        <w:t>70.4% of 186 admin-2 district pairs are connected through the road network</w:t>
      </w:r>
    </w:p>
    <w:p>
      <w:pPr>
        <w:pStyle w:val="ListBullet"/>
      </w:pPr>
      <w:r>
        <w:t>Average bilateral trade cost reduction from full paving: 31.2% (placeholder cost ratio c=3.0)</w:t>
      </w:r>
    </w:p>
    <w:p>
      <w:pPr>
        <w:pStyle w:val="ListBullet"/>
      </w:pPr>
      <w:r>
        <w:t>Range of reductions: 0% to 66.7%</w:t>
      </w:r>
    </w:p>
    <w:p>
      <w:pPr>
        <w:pStyle w:val="ListBullet"/>
      </w:pPr>
      <w:r>
        <w:t>Western and southern Tanzania gain the most; coastal/urban areas gain least</w:t>
      </w:r>
    </w:p>
    <w:p>
      <w:pPr>
        <w:pStyle w:val="ListBullet"/>
      </w:pPr>
      <w:r>
        <w:t>Ukerewe district (Lake Victoria) gains most (~60%); Zanzibar/Dar es Salaam gain least</w:t>
      </w:r>
    </w:p>
    <w:p/>
    <w:p>
      <w:pPr>
        <w:pStyle w:val="Heading1"/>
      </w:pPr>
      <w:r>
        <w:t>3. Research Design Decisions</w:t>
      </w:r>
    </w:p>
    <w:p>
      <w:pPr>
        <w:pStyle w:val="Heading2"/>
      </w:pPr>
      <w:r>
        <w:t>Framing</w:t>
      </w:r>
    </w:p>
    <w:p>
      <w:r>
        <w:t>Paper decomposes the "unobserved road quality" residual from Akbar, Couture, Duranton &amp; Storeygard (2023), who show road quality explains a large share of speed differences across countries but treat it as a black box. We show that road surface type (paved vs. unpaved) is a first-order component of that residual.</w:t>
      </w:r>
    </w:p>
    <w:p>
      <w:pPr>
        <w:pStyle w:val="Heading2"/>
      </w:pPr>
      <w:r>
        <w:t>Cost Ratio Estimation</w:t>
      </w:r>
    </w:p>
    <w:p>
      <w:r>
        <w:t>Will use the Google Maps Routes API (~$2K for 500K OD pairs across 8 countries) to estimate the unpaved speed penalty from simulated trips, following the Akbar et al. methodology validated in the AER. Currently using placeholder c_unpaved/c_paved = 3.0. The Essentials tier returns free-flow duration, which isolates road surface quality from congestion effects.</w:t>
      </w:r>
    </w:p>
    <w:p>
      <w:pPr>
        <w:pStyle w:val="Heading2"/>
      </w:pPr>
      <w:r>
        <w:t>Road Surface Data</w:t>
      </w:r>
    </w:p>
    <w:p>
      <w:r>
        <w:t>Multiple ML-classified datasets are now available: Liu et al. (2026) in ESSD covering 50 African countries, Mapillary-based classifiers (Randhawa et al. 2025), and a Kenya-specific satellite study. OSM surface tags are surprisingly strong for Tanzania (69% coverage, ~100% on trunk/primary/secondary roads). Strategy: use best available source, validate against alternatives, defer final choice until all sources are compared.</w:t>
      </w:r>
    </w:p>
    <w:p>
      <w:pPr>
        <w:pStyle w:val="Heading2"/>
      </w:pPr>
      <w:r>
        <w:t>Reduced-Form Complement</w:t>
      </w:r>
    </w:p>
    <w:p>
      <w:r>
        <w:t>Need empirical evidence beyond the structural model to anchor the GE estimates. Options include event studies around paving episodes (if temporal variation in surface classification can be obtained from satellite imagery), or correlations between paved road share and nightlights/economic outcomes at the district level, conditional on controls.</w:t>
      </w:r>
    </w:p>
    <w:p>
      <w:pPr>
        <w:pStyle w:val="Heading2"/>
      </w:pPr>
      <w:r>
        <w:t>Optimal Policy Extension</w:t>
      </w:r>
    </w:p>
    <w:p>
      <w:r>
        <w:t>Beyond the "pave everything" benchmark, compute the marginal welfare contribution of each road segment if paved. This produces a priority ranking for a budget-constrained planner and a welfare frontier showing diminishing returns to paving investment. Comparison to actual paving patterns could reveal whether governments are paving the "right" roads.</w:t>
      </w:r>
    </w:p>
    <w:p>
      <w:r>
        <w:br w:type="page"/>
      </w:r>
    </w:p>
    <w:p>
      <w:pPr>
        <w:pStyle w:val="Heading1"/>
      </w:pPr>
      <w:r>
        <w:t>4. Scaling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rFonts w:ascii="Arial" w:hAnsi="Arial"/>
                <w:b/>
                <w:color w:val="FFFFFF"/>
                <w:sz w:val="20"/>
              </w:rPr>
              <w:t>Country</w:t>
            </w:r>
          </w:p>
        </w:tc>
        <w:tc>
          <w:tcPr>
            <w:tcW w:type="dxa" w:w="2880"/>
            <w:shd w:val="clear" w:color="auto" w:fill="1F4E79"/>
          </w:tcPr>
          <w:p>
            <w:r/>
            <w:r>
              <w:rPr>
                <w:rFonts w:ascii="Arial" w:hAnsi="Arial"/>
                <w:b/>
                <w:color w:val="FFFFFF"/>
                <w:sz w:val="20"/>
              </w:rPr>
              <w:t>OSM PBF Size</w:t>
            </w:r>
          </w:p>
        </w:tc>
        <w:tc>
          <w:tcPr>
            <w:tcW w:type="dxa" w:w="2880"/>
            <w:shd w:val="clear" w:color="auto" w:fill="1F4E79"/>
          </w:tcPr>
          <w:p>
            <w:r/>
            <w:r>
              <w:rPr>
                <w:rFonts w:ascii="Arial" w:hAnsi="Arial"/>
                <w:b/>
                <w:color w:val="FFFFFF"/>
                <w:sz w:val="20"/>
              </w:rPr>
              <w:t>Status</w:t>
            </w:r>
          </w:p>
        </w:tc>
      </w:tr>
      <w:tr>
        <w:tc>
          <w:tcPr>
            <w:tcW w:type="dxa" w:w="2880"/>
            <w:shd w:val="clear" w:color="auto" w:fill="E8F0FE"/>
          </w:tcPr>
          <w:p>
            <w:r/>
            <w:r>
              <w:rPr>
                <w:rFonts w:ascii="Arial" w:hAnsi="Arial"/>
                <w:sz w:val="20"/>
              </w:rPr>
              <w:t>Tanzania</w:t>
            </w:r>
          </w:p>
        </w:tc>
        <w:tc>
          <w:tcPr>
            <w:tcW w:type="dxa" w:w="2880"/>
            <w:shd w:val="clear" w:color="auto" w:fill="E8F0FE"/>
          </w:tcPr>
          <w:p>
            <w:r/>
            <w:r>
              <w:rPr>
                <w:rFonts w:ascii="Arial" w:hAnsi="Arial"/>
                <w:sz w:val="20"/>
              </w:rPr>
              <w:t>703 MB</w:t>
            </w:r>
          </w:p>
        </w:tc>
        <w:tc>
          <w:tcPr>
            <w:tcW w:type="dxa" w:w="2880"/>
            <w:shd w:val="clear" w:color="auto" w:fill="E8F0FE"/>
          </w:tcPr>
          <w:p>
            <w:r/>
            <w:r>
              <w:rPr>
                <w:rFonts w:ascii="Arial" w:hAnsi="Arial"/>
                <w:sz w:val="20"/>
              </w:rPr>
              <w:t>COMPLETE</w:t>
            </w:r>
          </w:p>
        </w:tc>
      </w:tr>
      <w:tr>
        <w:tc>
          <w:tcPr>
            <w:tcW w:type="dxa" w:w="2880"/>
          </w:tcPr>
          <w:p>
            <w:r/>
            <w:r>
              <w:rPr>
                <w:rFonts w:ascii="Arial" w:hAnsi="Arial"/>
                <w:sz w:val="20"/>
              </w:rPr>
              <w:t>Ethiopia</w:t>
            </w:r>
          </w:p>
        </w:tc>
        <w:tc>
          <w:tcPr>
            <w:tcW w:type="dxa" w:w="2880"/>
          </w:tcPr>
          <w:p>
            <w:r/>
            <w:r>
              <w:rPr>
                <w:rFonts w:ascii="Arial" w:hAnsi="Arial"/>
                <w:sz w:val="20"/>
              </w:rPr>
              <w:t>105 MB</w:t>
            </w:r>
          </w:p>
        </w:tc>
        <w:tc>
          <w:tcPr>
            <w:tcW w:type="dxa" w:w="2880"/>
          </w:tcPr>
          <w:p>
            <w:r/>
            <w:r>
              <w:rPr>
                <w:rFonts w:ascii="Arial" w:hAnsi="Arial"/>
                <w:sz w:val="20"/>
              </w:rPr>
              <w:t>Pending</w:t>
            </w:r>
          </w:p>
        </w:tc>
      </w:tr>
      <w:tr>
        <w:tc>
          <w:tcPr>
            <w:tcW w:type="dxa" w:w="2880"/>
            <w:shd w:val="clear" w:color="auto" w:fill="E8F0FE"/>
          </w:tcPr>
          <w:p>
            <w:r/>
            <w:r>
              <w:rPr>
                <w:rFonts w:ascii="Arial" w:hAnsi="Arial"/>
                <w:sz w:val="20"/>
              </w:rPr>
              <w:t>Kenya</w:t>
            </w:r>
          </w:p>
        </w:tc>
        <w:tc>
          <w:tcPr>
            <w:tcW w:type="dxa" w:w="2880"/>
            <w:shd w:val="clear" w:color="auto" w:fill="E8F0FE"/>
          </w:tcPr>
          <w:p>
            <w:r/>
            <w:r>
              <w:rPr>
                <w:rFonts w:ascii="Arial" w:hAnsi="Arial"/>
                <w:sz w:val="20"/>
              </w:rPr>
              <w:t>328 MB</w:t>
            </w:r>
          </w:p>
        </w:tc>
        <w:tc>
          <w:tcPr>
            <w:tcW w:type="dxa" w:w="2880"/>
            <w:shd w:val="clear" w:color="auto" w:fill="E8F0FE"/>
          </w:tcPr>
          <w:p>
            <w:r/>
            <w:r>
              <w:rPr>
                <w:rFonts w:ascii="Arial" w:hAnsi="Arial"/>
                <w:sz w:val="20"/>
              </w:rPr>
              <w:t>Pending</w:t>
            </w:r>
          </w:p>
        </w:tc>
      </w:tr>
      <w:tr>
        <w:tc>
          <w:tcPr>
            <w:tcW w:type="dxa" w:w="2880"/>
          </w:tcPr>
          <w:p>
            <w:r/>
            <w:r>
              <w:rPr>
                <w:rFonts w:ascii="Arial" w:hAnsi="Arial"/>
                <w:sz w:val="20"/>
              </w:rPr>
              <w:t>Nigeria</w:t>
            </w:r>
          </w:p>
        </w:tc>
        <w:tc>
          <w:tcPr>
            <w:tcW w:type="dxa" w:w="2880"/>
          </w:tcPr>
          <w:p>
            <w:r/>
            <w:r>
              <w:rPr>
                <w:rFonts w:ascii="Arial" w:hAnsi="Arial"/>
                <w:sz w:val="20"/>
              </w:rPr>
              <w:t>649 MB</w:t>
            </w:r>
          </w:p>
        </w:tc>
        <w:tc>
          <w:tcPr>
            <w:tcW w:type="dxa" w:w="2880"/>
          </w:tcPr>
          <w:p>
            <w:r/>
            <w:r>
              <w:rPr>
                <w:rFonts w:ascii="Arial" w:hAnsi="Arial"/>
                <w:sz w:val="20"/>
              </w:rPr>
              <w:t>Pending</w:t>
            </w:r>
          </w:p>
        </w:tc>
      </w:tr>
      <w:tr>
        <w:tc>
          <w:tcPr>
            <w:tcW w:type="dxa" w:w="2880"/>
            <w:shd w:val="clear" w:color="auto" w:fill="E8F0FE"/>
          </w:tcPr>
          <w:p>
            <w:r/>
            <w:r>
              <w:rPr>
                <w:rFonts w:ascii="Arial" w:hAnsi="Arial"/>
                <w:sz w:val="20"/>
              </w:rPr>
              <w:t>Uganda</w:t>
            </w:r>
          </w:p>
        </w:tc>
        <w:tc>
          <w:tcPr>
            <w:tcW w:type="dxa" w:w="2880"/>
            <w:shd w:val="clear" w:color="auto" w:fill="E8F0FE"/>
          </w:tcPr>
          <w:p>
            <w:r/>
            <w:r>
              <w:rPr>
                <w:rFonts w:ascii="Arial" w:hAnsi="Arial"/>
                <w:sz w:val="20"/>
              </w:rPr>
              <w:t>346 MB</w:t>
            </w:r>
          </w:p>
        </w:tc>
        <w:tc>
          <w:tcPr>
            <w:tcW w:type="dxa" w:w="2880"/>
            <w:shd w:val="clear" w:color="auto" w:fill="E8F0FE"/>
          </w:tcPr>
          <w:p>
            <w:r/>
            <w:r>
              <w:rPr>
                <w:rFonts w:ascii="Arial" w:hAnsi="Arial"/>
                <w:sz w:val="20"/>
              </w:rPr>
              <w:t>Pending</w:t>
            </w:r>
          </w:p>
        </w:tc>
      </w:tr>
      <w:tr>
        <w:tc>
          <w:tcPr>
            <w:tcW w:type="dxa" w:w="2880"/>
          </w:tcPr>
          <w:p>
            <w:r/>
            <w:r>
              <w:rPr>
                <w:rFonts w:ascii="Arial" w:hAnsi="Arial"/>
                <w:sz w:val="20"/>
              </w:rPr>
              <w:t>Ghana</w:t>
            </w:r>
          </w:p>
        </w:tc>
        <w:tc>
          <w:tcPr>
            <w:tcW w:type="dxa" w:w="2880"/>
          </w:tcPr>
          <w:p>
            <w:r/>
            <w:r>
              <w:rPr>
                <w:rFonts w:ascii="Arial" w:hAnsi="Arial"/>
                <w:sz w:val="20"/>
              </w:rPr>
              <w:t>104 MB</w:t>
            </w:r>
          </w:p>
        </w:tc>
        <w:tc>
          <w:tcPr>
            <w:tcW w:type="dxa" w:w="2880"/>
          </w:tcPr>
          <w:p>
            <w:r/>
            <w:r>
              <w:rPr>
                <w:rFonts w:ascii="Arial" w:hAnsi="Arial"/>
                <w:sz w:val="20"/>
              </w:rPr>
              <w:t>Pending</w:t>
            </w:r>
          </w:p>
        </w:tc>
      </w:tr>
      <w:tr>
        <w:tc>
          <w:tcPr>
            <w:tcW w:type="dxa" w:w="2880"/>
            <w:shd w:val="clear" w:color="auto" w:fill="E8F0FE"/>
          </w:tcPr>
          <w:p>
            <w:r/>
            <w:r>
              <w:rPr>
                <w:rFonts w:ascii="Arial" w:hAnsi="Arial"/>
                <w:sz w:val="20"/>
              </w:rPr>
              <w:t>Mozambique</w:t>
            </w:r>
          </w:p>
        </w:tc>
        <w:tc>
          <w:tcPr>
            <w:tcW w:type="dxa" w:w="2880"/>
            <w:shd w:val="clear" w:color="auto" w:fill="E8F0FE"/>
          </w:tcPr>
          <w:p>
            <w:r/>
            <w:r>
              <w:rPr>
                <w:rFonts w:ascii="Arial" w:hAnsi="Arial"/>
                <w:sz w:val="20"/>
              </w:rPr>
              <w:t>236 MB</w:t>
            </w:r>
          </w:p>
        </w:tc>
        <w:tc>
          <w:tcPr>
            <w:tcW w:type="dxa" w:w="2880"/>
            <w:shd w:val="clear" w:color="auto" w:fill="E8F0FE"/>
          </w:tcPr>
          <w:p>
            <w:r/>
            <w:r>
              <w:rPr>
                <w:rFonts w:ascii="Arial" w:hAnsi="Arial"/>
                <w:sz w:val="20"/>
              </w:rPr>
              <w:t>Pending</w:t>
            </w:r>
          </w:p>
        </w:tc>
      </w:tr>
      <w:tr>
        <w:tc>
          <w:tcPr>
            <w:tcW w:type="dxa" w:w="2880"/>
          </w:tcPr>
          <w:p>
            <w:r/>
            <w:r>
              <w:rPr>
                <w:rFonts w:ascii="Arial" w:hAnsi="Arial"/>
                <w:sz w:val="20"/>
              </w:rPr>
              <w:t>Senegal</w:t>
            </w:r>
          </w:p>
        </w:tc>
        <w:tc>
          <w:tcPr>
            <w:tcW w:type="dxa" w:w="2880"/>
          </w:tcPr>
          <w:p>
            <w:r/>
            <w:r>
              <w:rPr>
                <w:rFonts w:ascii="Arial" w:hAnsi="Arial"/>
                <w:sz w:val="20"/>
              </w:rPr>
              <w:t>99 MB</w:t>
            </w:r>
          </w:p>
        </w:tc>
        <w:tc>
          <w:tcPr>
            <w:tcW w:type="dxa" w:w="2880"/>
          </w:tcPr>
          <w:p>
            <w:r/>
            <w:r>
              <w:rPr>
                <w:rFonts w:ascii="Arial" w:hAnsi="Arial"/>
                <w:sz w:val="20"/>
              </w:rPr>
              <w:t>Pending</w:t>
            </w:r>
          </w:p>
        </w:tc>
      </w:tr>
    </w:tbl>
    <w:p/>
    <w:p>
      <w:pPr>
        <w:pStyle w:val="Heading1"/>
      </w:pPr>
      <w:r>
        <w:t>5. Next Steps (Priority Order)</w:t>
      </w:r>
    </w:p>
    <w:p>
      <w:pPr>
        <w:pStyle w:val="ListNumber"/>
      </w:pPr>
      <w:r>
        <w:t>Download WorldPop population rasters and VIIRS nightlights for Tanzania; assign to admin-2 nodes</w:t>
      </w:r>
    </w:p>
    <w:p>
      <w:pPr>
        <w:pStyle w:val="ListNumber"/>
      </w:pPr>
      <w:r>
        <w:t>Calibrate GE model for Tanzania (invert for productivities and amenities)</w:t>
      </w:r>
    </w:p>
    <w:p>
      <w:pPr>
        <w:pStyle w:val="ListNumber"/>
      </w:pPr>
      <w:r>
        <w:t>Solve counterfactual equilibrium and compute headline welfare/GDP number</w:t>
      </w:r>
    </w:p>
    <w:p>
      <w:pPr>
        <w:pStyle w:val="ListNumber"/>
      </w:pPr>
      <w:r>
        <w:t>Scale Phases 1–2 pipeline to second country (Kenya or Ethiopia) to test generalizability</w:t>
      </w:r>
    </w:p>
    <w:p>
      <w:pPr>
        <w:pStyle w:val="ListNumber"/>
      </w:pPr>
      <w:r>
        <w:t>Set up Google Maps Routes API and run pilot queries for Tanzania OD pairs</w:t>
      </w:r>
    </w:p>
    <w:p>
      <w:pPr>
        <w:pStyle w:val="ListNumber"/>
      </w:pPr>
      <w:r>
        <w:t>Build reduced-form evidence (nightlights vs. paved share regressions)</w:t>
      </w:r>
    </w:p>
    <w:p>
      <w:pPr>
        <w:pStyle w:val="ListNumber"/>
      </w:pPr>
      <w:r>
        <w:t>Scale to all 8 countries</w:t>
      </w:r>
    </w:p>
    <w:p>
      <w:pPr>
        <w:pStyle w:val="ListNumber"/>
      </w:pPr>
      <w:r>
        <w:t>Robustness checks and optimal paving policy counterfactuals</w:t>
      </w:r>
    </w:p>
    <w:p>
      <w:pPr>
        <w:pStyle w:val="ListNumber"/>
      </w:pPr>
      <w:r>
        <w:t>Paper writing</w:t>
      </w:r>
    </w:p>
    <w:p/>
    <w:p>
      <w:pPr>
        <w:pStyle w:val="Heading1"/>
      </w:pPr>
      <w:r>
        <w:t>6. Code Architecture</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F4E79"/>
          </w:tcPr>
          <w:p>
            <w:r/>
            <w:r>
              <w:rPr>
                <w:rFonts w:ascii="Arial" w:hAnsi="Arial"/>
                <w:b/>
                <w:color w:val="FFFFFF"/>
                <w:sz w:val="20"/>
              </w:rPr>
              <w:t>File</w:t>
            </w:r>
          </w:p>
        </w:tc>
        <w:tc>
          <w:tcPr>
            <w:tcW w:type="dxa" w:w="7632"/>
            <w:shd w:val="clear" w:color="auto" w:fill="1F4E79"/>
          </w:tcPr>
          <w:p>
            <w:r/>
            <w:r>
              <w:rPr>
                <w:rFonts w:ascii="Arial" w:hAnsi="Arial"/>
                <w:b/>
                <w:color w:val="FFFFFF"/>
                <w:sz w:val="20"/>
              </w:rPr>
              <w:t>Purpose</w:t>
            </w:r>
          </w:p>
        </w:tc>
      </w:tr>
      <w:tr>
        <w:tc>
          <w:tcPr>
            <w:tcW w:type="dxa" w:w="2880"/>
            <w:shd w:val="clear" w:color="auto" w:fill="E8F0FE"/>
          </w:tcPr>
          <w:p>
            <w:r/>
            <w:r>
              <w:rPr>
                <w:rFonts w:ascii="Arial" w:hAnsi="Arial"/>
                <w:sz w:val="20"/>
              </w:rPr>
              <w:t>src/ingest.py</w:t>
            </w:r>
          </w:p>
        </w:tc>
        <w:tc>
          <w:tcPr>
            <w:tcW w:type="dxa" w:w="7632"/>
            <w:shd w:val="clear" w:color="auto" w:fill="E8F0FE"/>
          </w:tcPr>
          <w:p>
            <w:r/>
            <w:r>
              <w:rPr>
                <w:rFonts w:ascii="Arial" w:hAnsi="Arial"/>
                <w:sz w:val="20"/>
              </w:rPr>
              <w:t>OSM PBF → road GeoDataFrame with surface classification</w:t>
            </w:r>
          </w:p>
        </w:tc>
      </w:tr>
      <w:tr>
        <w:tc>
          <w:tcPr>
            <w:tcW w:type="dxa" w:w="2880"/>
          </w:tcPr>
          <w:p>
            <w:r/>
            <w:r>
              <w:rPr>
                <w:rFonts w:ascii="Arial" w:hAnsi="Arial"/>
                <w:sz w:val="20"/>
              </w:rPr>
              <w:t>src/viz.py</w:t>
            </w:r>
          </w:p>
        </w:tc>
        <w:tc>
          <w:tcPr>
            <w:tcW w:type="dxa" w:w="7632"/>
          </w:tcPr>
          <w:p>
            <w:r/>
            <w:r>
              <w:rPr>
                <w:rFonts w:ascii="Arial" w:hAnsi="Arial"/>
                <w:sz w:val="20"/>
              </w:rPr>
              <w:t>Road network maps and surface coverage charts</w:t>
            </w:r>
          </w:p>
        </w:tc>
      </w:tr>
      <w:tr>
        <w:tc>
          <w:tcPr>
            <w:tcW w:type="dxa" w:w="2880"/>
            <w:shd w:val="clear" w:color="auto" w:fill="E8F0FE"/>
          </w:tcPr>
          <w:p>
            <w:r/>
            <w:r>
              <w:rPr>
                <w:rFonts w:ascii="Arial" w:hAnsi="Arial"/>
                <w:sz w:val="20"/>
              </w:rPr>
              <w:t>src/network.py</w:t>
            </w:r>
          </w:p>
        </w:tc>
        <w:tc>
          <w:tcPr>
            <w:tcW w:type="dxa" w:w="7632"/>
            <w:shd w:val="clear" w:color="auto" w:fill="E8F0FE"/>
          </w:tcPr>
          <w:p>
            <w:r/>
            <w:r>
              <w:rPr>
                <w:rFonts w:ascii="Arial" w:hAnsi="Arial"/>
                <w:sz w:val="20"/>
              </w:rPr>
              <w:t>Graph construction, shortest paths, bilateral trade cost matrices</w:t>
            </w:r>
          </w:p>
        </w:tc>
      </w:tr>
      <w:tr>
        <w:tc>
          <w:tcPr>
            <w:tcW w:type="dxa" w:w="2880"/>
          </w:tcPr>
          <w:p>
            <w:r/>
            <w:r>
              <w:rPr>
                <w:rFonts w:ascii="Arial" w:hAnsi="Arial"/>
                <w:sz w:val="20"/>
              </w:rPr>
              <w:t>src/viz_trade.py</w:t>
            </w:r>
          </w:p>
        </w:tc>
        <w:tc>
          <w:tcPr>
            <w:tcW w:type="dxa" w:w="7632"/>
          </w:tcPr>
          <w:p>
            <w:r/>
            <w:r>
              <w:rPr>
                <w:rFonts w:ascii="Arial" w:hAnsi="Arial"/>
                <w:sz w:val="20"/>
              </w:rPr>
              <w:t>Trade cost result visualizations (choropleths, scatter, rankings)</w:t>
            </w:r>
          </w:p>
        </w:tc>
      </w:tr>
      <w:tr>
        <w:tc>
          <w:tcPr>
            <w:tcW w:type="dxa" w:w="2880"/>
            <w:shd w:val="clear" w:color="auto" w:fill="E8F0FE"/>
          </w:tcPr>
          <w:p>
            <w:r/>
            <w:r>
              <w:rPr>
                <w:rFonts w:ascii="Arial" w:hAnsi="Arial"/>
                <w:sz w:val="20"/>
              </w:rPr>
              <w:t>src/model.py</w:t>
            </w:r>
          </w:p>
        </w:tc>
        <w:tc>
          <w:tcPr>
            <w:tcW w:type="dxa" w:w="7632"/>
            <w:shd w:val="clear" w:color="auto" w:fill="E8F0FE"/>
          </w:tcPr>
          <w:p>
            <w:r/>
            <w:r>
              <w:rPr>
                <w:rFonts w:ascii="Arial" w:hAnsi="Arial"/>
                <w:sz w:val="20"/>
              </w:rPr>
              <w:t>GE model calibration and counterfactual solver (TO BUILD)</w:t>
            </w:r>
          </w:p>
        </w:tc>
      </w:tr>
      <w:tr>
        <w:tc>
          <w:tcPr>
            <w:tcW w:type="dxa" w:w="2880"/>
          </w:tcPr>
          <w:p>
            <w:r/>
            <w:r>
              <w:rPr>
                <w:rFonts w:ascii="Arial" w:hAnsi="Arial"/>
                <w:sz w:val="20"/>
              </w:rPr>
              <w:t>src/analysis.py</w:t>
            </w:r>
          </w:p>
        </w:tc>
        <w:tc>
          <w:tcPr>
            <w:tcW w:type="dxa" w:w="7632"/>
          </w:tcPr>
          <w:p>
            <w:r/>
            <w:r>
              <w:rPr>
                <w:rFonts w:ascii="Arial" w:hAnsi="Arial"/>
                <w:sz w:val="20"/>
              </w:rPr>
              <w:t>Welfare computation, decomposition, cross-country regressions (TO BUILD)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