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B3A5C"/>
          <w:sz w:val="52"/>
          <w:szCs w:val="52"/>
        </w:rPr>
        <w:t xml:space="preserve">CHASING PAVEMENTS</w:t>
      </w:r>
    </w:p>
    <w:p>
      <w:pPr>
        <w:spacing w:after="600"/>
        <w:jc w:val="center"/>
      </w:pPr>
      <w:r>
        <w:rPr>
          <w:rFonts w:ascii="Arial" w:cs="Arial" w:eastAsia="Arial" w:hAnsi="Arial"/>
          <w:i/>
          <w:iCs/>
          <w:color w:val="555555"/>
          <w:sz w:val="28"/>
          <w:szCs w:val="28"/>
        </w:rPr>
        <w:t xml:space="preserve">The Output Cost of Unpaved Roads in Sub-Saharan Africa</w:t>
      </w:r>
    </w:p>
    <w:p>
      <w:pPr>
        <w:pBdr>
          <w:bottom w:val="single" w:color="2E75B6" w:sz="6" w:space="8"/>
        </w:pBdr>
        <w:spacing w:after="0"/>
        <w:jc w:val="center"/>
      </w:pPr>
    </w:p>
    <w:p>
      <w:pPr>
        <w:spacing w:after="200" w:before="600"/>
        <w:jc w:val="center"/>
      </w:pPr>
      <w:r>
        <w:rPr>
          <w:rFonts w:ascii="Arial" w:cs="Arial" w:eastAsia="Arial" w:hAnsi="Arial"/>
          <w:color w:val="333333"/>
          <w:sz w:val="26"/>
          <w:szCs w:val="26"/>
        </w:rPr>
        <w:t xml:space="preserve">Research Plan</w:t>
      </w:r>
    </w:p>
    <w:p>
      <w:pPr>
        <w:spacing w:after="100"/>
        <w:jc w:val="center"/>
      </w:pPr>
      <w:r>
        <w:rPr>
          <w:rFonts w:ascii="Arial" w:cs="Arial" w:eastAsia="Arial" w:hAnsi="Arial"/>
          <w:color w:val="666666"/>
          <w:sz w:val="22"/>
          <w:szCs w:val="22"/>
        </w:rPr>
        <w:t xml:space="preserve">Quantitative Spatial General Equilibrium Analysis</w:t>
      </w:r>
    </w:p>
    <w:p>
      <w:pPr>
        <w:spacing w:before="800"/>
        <w:jc w:val="center"/>
      </w:pPr>
      <w:r>
        <w:rPr>
          <w:rFonts w:ascii="Arial" w:cs="Arial" w:eastAsia="Arial" w:hAnsi="Arial"/>
          <w:color w:val="888888"/>
          <w:sz w:val="22"/>
          <w:szCs w:val="22"/>
        </w:rPr>
        <w:t xml:space="preserve">April 2026</w:t>
      </w:r>
    </w:p>
    <w:p>
      <w:pPr>
        <w:spacing w:before="200"/>
        <w:jc w:val="center"/>
      </w:pPr>
      <w:r>
        <w:rPr>
          <w:rFonts w:ascii="Arial" w:cs="Arial" w:eastAsia="Arial" w:hAnsi="Arial"/>
          <w:i/>
          <w:iCs/>
          <w:color w:val="AAAAAA"/>
          <w:sz w:val="20"/>
          <w:szCs w:val="20"/>
        </w:rPr>
        <w:t xml:space="preserve">DRAFT — For Internal Use</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200"/>
      </w:pPr>
      <w:r>
        <w:t xml:space="preserve">This project quantifies the aggregate output cost of unpaved roads in Sub-Saharan Africa using a quantitative spatial general equilibrium model. The core counterfactual asks: how much higher would real GDP be if all currently unpaved road segments were paved, holding everything else constant? The answer captures the direct reduction in trade costs and the general equilibrium reallocation of labor, capital, and production across space.</w:t>
      </w:r>
    </w:p>
    <w:p>
      <w:pPr>
        <w:spacing w:after="200"/>
      </w:pPr>
      <w:r>
        <w:t xml:space="preserve">The project covers multiple countries to establish a robust development fact rather than a single case study. The primary target countries are Tanzania, Ethiopia, Kenya, Nigeria, Uganda, Ghana, Mozambique, and Senegal, selected for data availability, geographic diversity, and variation in road network structure and urbanization patterns.</w:t>
      </w:r>
    </w:p>
    <w:p>
      <w:pPr>
        <w:pStyle w:val="Heading1"/>
      </w:pPr>
      <w:r>
        <w:t xml:space="preserve">2. Research Questions</w:t>
      </w:r>
    </w:p>
    <w:p>
      <w:pPr>
        <w:spacing w:after="120"/>
      </w:pPr>
      <w:r>
        <w:rPr>
          <w:b/>
          <w:bCs/>
        </w:rPr>
        <w:t xml:space="preserve">Primary: </w:t>
      </w:r>
      <w:r>
        <w:t xml:space="preserve">What is the aggregate real output (welfare) cost of unpaved roads in Sub-Saharan African countries?</w:t>
      </w:r>
    </w:p>
    <w:p>
      <w:pPr>
        <w:spacing w:after="120"/>
      </w:pPr>
      <w:r>
        <w:rPr>
          <w:b/>
          <w:bCs/>
        </w:rPr>
        <w:t xml:space="preserve">Secondary: </w:t>
      </w:r>
      <w:r>
        <w:t xml:space="preserve">How does the output cost vary with country characteristics such as urbanization, network connectivity, and geographic concentration of economic activity?</w:t>
      </w:r>
    </w:p>
    <w:p>
      <w:pPr>
        <w:spacing w:after="200"/>
      </w:pPr>
      <w:r>
        <w:rPr>
          <w:b/>
          <w:bCs/>
        </w:rPr>
        <w:t xml:space="preserve">Tertiary: </w:t>
      </w:r>
      <w:r>
        <w:t xml:space="preserve">What is the spatial distribution of gains — which locations benefit most from paving, and are there locations that lose in general equilibrium?</w:t>
      </w:r>
    </w:p>
    <w:p>
      <w:pPr>
        <w:pStyle w:val="Heading1"/>
      </w:pPr>
      <w:r>
        <w:t xml:space="preserve">3. Literature and Positioning</w:t>
      </w:r>
    </w:p>
    <w:p>
      <w:pPr>
        <w:spacing w:after="200"/>
      </w:pPr>
      <w:r>
        <w:t xml:space="preserve">The project sits at the intersection of three literatures. First, the quantitative spatial economics literature that uses GE models to evaluate transport infrastructure: Donaldson (2018) on railroads in colonial India, Donaldson &amp; Hornbeck (2016) on the US railroad network, Allen &amp; Arkolakis (2014, 2022) on the geography of trade costs, Fajgelbaum &amp; Schaal (2020) on optimal transport networks, and Tombe &amp; Zhu (2019) on internal trade in China.</w:t>
      </w:r>
    </w:p>
    <w:p>
      <w:pPr>
        <w:spacing w:after="200"/>
      </w:pPr>
      <w:r>
        <w:t xml:space="preserve">Second, the development literature on rural roads and market access: Asher &amp; Novosad (2020) on India’s rural road program (PMGSY), Storeygard (2016) on transport costs and city growth in Africa, Aggarwal (2018) on market access and agricultural outcomes, and Gertler et al. (2014) on roads and poverty in Indonesia.</w:t>
      </w:r>
    </w:p>
    <w:p>
      <w:pPr>
        <w:spacing w:after="200"/>
      </w:pPr>
      <w:r>
        <w:t xml:space="preserve">Third, the growing literature using geospatial and remote sensing data for economic measurement: Henderson, Storeygard &amp; Weil (2012) on nightlights, Goldblatt et al. (2020) on satellite-derived road quality, and Brinkman et al. on ML-classified road surfaces.</w:t>
      </w:r>
    </w:p>
    <w:p>
      <w:pPr>
        <w:spacing w:after="200"/>
      </w:pPr>
      <w:r>
        <w:rPr>
          <w:b/>
          <w:bCs/>
        </w:rPr>
        <w:t xml:space="preserve">Key gap this paper fills: </w:t>
      </w:r>
      <w:r>
        <w:t xml:space="preserve">Most existing work evaluates the impact of building new roads or connecting previously unconnected places. This project instead focuses on the intensive margin — the quality of existing connections — and does so across multiple countries to establish the magnitude of the unpaved-road friction as a stylized fact about African development.</w:t>
      </w:r>
    </w:p>
    <w:p>
      <w:pPr>
        <w:pStyle w:val="Heading1"/>
      </w:pPr>
      <w:r>
        <w:t xml:space="preserve">4. Model Structure</w:t>
      </w:r>
    </w:p>
    <w:p>
      <w:pPr>
        <w:pStyle w:val="Heading2"/>
      </w:pPr>
      <w:r>
        <w:t xml:space="preserve">4.1 Environment</w:t>
      </w:r>
    </w:p>
    <w:p>
      <w:pPr>
        <w:spacing w:after="200"/>
      </w:pPr>
      <w:r>
        <w:t xml:space="preserve">The economy consists of a set of discrete locations (nodes) indexed by i = 1, ..., N, connected by a road network. Each location is endowed with a fixed stock of land and an endogenous supply of labor. Workers are mobile across locations and choose where to live to maximize expected utility.</w:t>
      </w:r>
    </w:p>
    <w:p>
      <w:pPr>
        <w:pStyle w:val="Heading2"/>
      </w:pPr>
      <w:r>
        <w:t xml:space="preserve">4.2 Preferences</w:t>
      </w:r>
    </w:p>
    <w:p>
      <w:pPr>
        <w:spacing w:after="200"/>
      </w:pPr>
      <w:r>
        <w:t xml:space="preserve">Workers have CES preferences over varieties from all locations. Worker ω in location i receives an idiosyncratic amenity draw from a Fréchet distribution with shape parameter κ, generating a gravity-like expression for bilateral migration flows. Indirect utility for a worker in location i is V_i = (w_i / P_i) × a_i, where w_i is the wage, P_i is the CES price index, and a_i captures local amenities.</w:t>
      </w:r>
    </w:p>
    <w:p>
      <w:pPr>
        <w:pStyle w:val="Heading2"/>
      </w:pPr>
      <w:r>
        <w:t xml:space="preserve">4.3 Production</w:t>
      </w:r>
    </w:p>
    <w:p>
      <w:pPr>
        <w:spacing w:after="200"/>
      </w:pPr>
      <w:r>
        <w:t xml:space="preserve">Each location has a Cobb-Douglas production function combining labor and land: Y_i = A_i × L_i^α × H_i^(1-α), where A_i is location productivity (calibrated), L_i is labor, and H_i is land. Firms in each location produce a differentiated variety under perfect competition.</w:t>
      </w:r>
    </w:p>
    <w:p>
      <w:pPr>
        <w:pStyle w:val="Heading2"/>
      </w:pPr>
      <w:r>
        <w:t xml:space="preserve">4.4 Trade Costs</w:t>
      </w:r>
    </w:p>
    <w:p>
      <w:pPr>
        <w:spacing w:after="200"/>
      </w:pPr>
      <w:r>
        <w:t xml:space="preserve">Bilateral trade costs τ_ij are iceberg costs determined by the least-cost path through the road network. Each road segment s has a cost per kilometer that depends on surface type:</w:t>
      </w:r>
    </w:p>
    <w:p>
      <w:pPr>
        <w:spacing w:after="100"/>
        <w:jc w:val="center"/>
      </w:pPr>
      <w:r>
        <w:rPr>
          <w:rFonts w:ascii="Courier New" w:cs="Courier New" w:eastAsia="Courier New" w:hAnsi="Courier New"/>
          <w:sz w:val="20"/>
          <w:szCs w:val="20"/>
        </w:rPr>
        <w:t xml:space="preserve">c(s) = c_paved    if segment s is paved</w:t>
      </w:r>
    </w:p>
    <w:p>
      <w:pPr>
        <w:spacing w:after="200"/>
        <w:jc w:val="center"/>
      </w:pPr>
      <w:r>
        <w:rPr>
          <w:rFonts w:ascii="Courier New" w:cs="Courier New" w:eastAsia="Courier New" w:hAnsi="Courier New"/>
          <w:sz w:val="20"/>
          <w:szCs w:val="20"/>
        </w:rPr>
        <w:t xml:space="preserve">c(s) = c_unpaved  if segment s is unpaved,   c_unpaved &gt; c_paved</w:t>
      </w:r>
    </w:p>
    <w:p>
      <w:pPr>
        <w:spacing w:after="200"/>
      </w:pPr>
      <w:r>
        <w:t xml:space="preserve">The bilateral trade cost is then τ_ij = exp(Σ_{s ∈ path(i,j)} c(s) × d_s), where d_s is the length of segment s and path(i,j) is the least-cost route. The key parameter is the ratio c_unpaved / c_paved, which will be calibrated from travel time data. Based on engineering and travel-time evidence, a reasonable baseline is c_unpaved / c_paved ≈ 2.5–4.0.</w:t>
      </w:r>
    </w:p>
    <w:p>
      <w:pPr>
        <w:pStyle w:val="Heading2"/>
      </w:pPr>
      <w:r>
        <w:t xml:space="preserve">4.5 Equilibrium</w:t>
      </w:r>
    </w:p>
    <w:p>
      <w:pPr>
        <w:spacing w:after="200"/>
      </w:pPr>
      <w:r>
        <w:t xml:space="preserve">An equilibrium consists of wages {w_i}, populations {L_i}, and trade flows {π_ij} such that: (i) workers optimize location choice, (ii) goods markets clear, (iii) labor markets clear, and (iv) trade is balanced. The model is solved using standard iterative methods following Alvarez &amp; Lucas (2007) and Allen &amp; Arkolakis (2014).</w:t>
      </w:r>
    </w:p>
    <w:p>
      <w:pPr>
        <w:pStyle w:val="Heading2"/>
      </w:pPr>
      <w:r>
        <w:t xml:space="preserve">4.6 Counterfactual</w:t>
      </w:r>
    </w:p>
    <w:p>
      <w:pPr>
        <w:spacing w:after="200"/>
      </w:pPr>
      <w:r>
        <w:t xml:space="preserve">The counterfactual sets c(s) = c_paved for all segments, recomputes all bilateral trade costs, and resolves the equilibrium. The welfare gain is measured as the population-weighted average change in real income across all locations. We also decompose gains into: (a) direct trade cost reduction, (b) labor reallocation, and (c) terms-of-trade / market access effects.</w:t>
      </w:r>
    </w:p>
    <w:p>
      <w:pPr>
        <w:pStyle w:val="Heading1"/>
      </w:pPr>
      <w:r>
        <w:t xml:space="preserve">5. Data Requirements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2200"/>
        <w:gridCol w:w="18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Data</w:t>
            </w:r>
          </w:p>
        </w:tc>
        <w:tc>
          <w:tcPr>
            <w:tcW w:type="dxa" w:w="3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c>
          <w:tcPr>
            <w:tcW w:type="dxa" w:w="1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Road network + surface type</w:t>
            </w:r>
          </w:p>
        </w:tc>
        <w:tc>
          <w:tcPr>
            <w:tcW w:type="dxa" w:w="3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OpenStreetMap (surface tags); potentially augmented with satellite ML classifications</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Segment-level</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Available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Population distribution</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WorldPop or LandScan (gridded population estimates)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1km grid</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Available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Economic activity</w:t>
            </w:r>
          </w:p>
        </w:tc>
        <w:tc>
          <w:tcPr>
            <w:tcW w:type="dxa" w:w="3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VIIRS nighttime lights; augmented with DMSP for longer time series</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500m grid</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Available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Administrative boundaries</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GADM (Global Administrative Areas Database)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Admin-2 or Admin-3</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Available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Travel time / speed data</w:t>
            </w:r>
          </w:p>
        </w:tc>
        <w:tc>
          <w:tcPr>
            <w:tcW w:type="dxa" w:w="3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Google Maps API or Mapbox for calibrating speed by surface type</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Route-level</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Needs collection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National accounts / GDP</w:t>
            </w:r>
          </w:p>
        </w:tc>
        <w:tc>
          <w:tcPr>
            <w:tcW w:type="dxa" w:w="3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World Bank WDI, Penn World Table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Country-level</w:t>
            </w:r>
          </w:p>
        </w:tc>
        <w:tc>
          <w:tcPr>
            <w:tcW w:type="dxa" w:w="18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Available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Agricultural production</w:t>
            </w:r>
          </w:p>
        </w:tc>
        <w:tc>
          <w:tcPr>
            <w:tcW w:type="dxa" w:w="3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FAO; household surveys (LSMS-ISA)</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Region/district</w:t>
            </w:r>
          </w:p>
        </w:tc>
        <w:tc>
          <w:tcPr>
            <w:tcW w:type="dxa" w:w="18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Available</w:t>
            </w:r>
          </w:p>
        </w:tc>
      </w:tr>
    </w:tbl>
    <w:p>
      <w:pPr>
        <w:spacing w:after="200"/>
      </w:pPr>
    </w:p>
    <w:p>
      <w:pPr>
        <w:pStyle w:val="Heading1"/>
      </w:pPr>
      <w:r>
        <w:t xml:space="preserve">6. Implementation Plan (for Claude Code)</w:t>
      </w:r>
    </w:p>
    <w:p>
      <w:pPr>
        <w:spacing w:after="200"/>
      </w:pPr>
      <w:r>
        <w:t xml:space="preserve">The entire pipeline is designed to be built in Python, modular, and reproducible. Each phase below is a self-contained coding task.</w:t>
      </w:r>
    </w:p>
    <w:p>
      <w:pPr>
        <w:pStyle w:val="Heading2"/>
      </w:pPr>
      <w:r>
        <w:t xml:space="preserve">Phase 1: Data Ingestion and Spatial Setup</w:t>
      </w:r>
    </w:p>
    <w:p>
      <w:pPr>
        <w:pStyle w:val="ListParagraph"/>
        <w:numPr>
          <w:ilvl w:val="0"/>
          <w:numId w:val="2"/>
        </w:numPr>
        <w:spacing w:after="80"/>
      </w:pPr>
      <w:r>
        <w:rPr>
          <w:b/>
          <w:bCs/>
        </w:rPr>
        <w:t xml:space="preserve">Download OSM road data </w:t>
      </w:r>
      <w:r>
        <w:t xml:space="preserve">for each target country using the Overpass API or Geofabrik extracts. Extract the road network as edges with attributes: surface type (paved/unpaved/unknown), road class (trunk, primary, secondary, tertiary, unclassified, residential, track), and geometry.</w:t>
      </w:r>
    </w:p>
    <w:p>
      <w:pPr>
        <w:pStyle w:val="ListParagraph"/>
        <w:numPr>
          <w:ilvl w:val="0"/>
          <w:numId w:val="2"/>
        </w:numPr>
        <w:spacing w:after="80"/>
      </w:pPr>
      <w:r>
        <w:rPr>
          <w:b/>
          <w:bCs/>
        </w:rPr>
        <w:t xml:space="preserve">Define spatial units. </w:t>
      </w:r>
      <w:r>
        <w:t xml:space="preserve">Use Admin-2 or Admin-3 boundaries from GADM as nodes. Compute centroids. For countries where admin units are too coarse or too fine, construct a regular hexagonal grid (~50km spacing) as an alternative.</w:t>
      </w:r>
    </w:p>
    <w:p>
      <w:pPr>
        <w:pStyle w:val="ListParagraph"/>
        <w:numPr>
          <w:ilvl w:val="0"/>
          <w:numId w:val="2"/>
        </w:numPr>
        <w:spacing w:after="80"/>
      </w:pPr>
      <w:r>
        <w:rPr>
          <w:b/>
          <w:bCs/>
        </w:rPr>
        <w:t xml:space="preserve">Assign population and economic activity </w:t>
      </w:r>
      <w:r>
        <w:t xml:space="preserve">to each node by aggregating WorldPop rasters and VIIRS nightlights within each spatial unit. Use nightlights as a proxy for GDP distribution across nodes.</w:t>
      </w:r>
    </w:p>
    <w:p>
      <w:pPr>
        <w:pStyle w:val="ListParagraph"/>
        <w:numPr>
          <w:ilvl w:val="0"/>
          <w:numId w:val="2"/>
        </w:numPr>
        <w:spacing w:after="80"/>
      </w:pPr>
      <w:r>
        <w:rPr>
          <w:b/>
          <w:bCs/>
        </w:rPr>
        <w:t xml:space="preserve">Handle missing surface tags. </w:t>
      </w:r>
      <w:r>
        <w:t xml:space="preserve">Many OSM segments lack surface information. Implement an imputation strategy: (a) use road class as a predictor (trunk/primary are more likely paved; track/unclassified are more likely unpaved), (b) train a simple classifier using segments with known surface type as training data, (c) conduct robustness checks with alternative imputation assumptions.</w:t>
      </w:r>
    </w:p>
    <w:p>
      <w:pPr>
        <w:pStyle w:val="ListParagraph"/>
        <w:numPr>
          <w:ilvl w:val="0"/>
          <w:numId w:val="2"/>
        </w:numPr>
        <w:spacing w:after="200"/>
      </w:pPr>
      <w:r>
        <w:rPr>
          <w:b/>
          <w:bCs/>
        </w:rPr>
        <w:t xml:space="preserve">Output: </w:t>
      </w:r>
      <w:r>
        <w:t xml:space="preserve">For each country, a GeoDataFrame of the road network with imputed surface types, and a node-level dataset with population, nightlights-GDP, and coordinates.</w:t>
      </w:r>
    </w:p>
    <w:p>
      <w:pPr>
        <w:pStyle w:val="Heading2"/>
      </w:pPr>
      <w:r>
        <w:t xml:space="preserve">Phase 2: Trade Cost Computation</w:t>
      </w:r>
    </w:p>
    <w:p>
      <w:pPr>
        <w:pStyle w:val="ListParagraph"/>
        <w:numPr>
          <w:ilvl w:val="0"/>
          <w:numId w:val="3"/>
        </w:numPr>
        <w:spacing w:after="80"/>
      </w:pPr>
      <w:r>
        <w:rPr>
          <w:b/>
          <w:bCs/>
        </w:rPr>
        <w:t xml:space="preserve">Build a weighted graph </w:t>
      </w:r>
      <w:r>
        <w:t xml:space="preserve">from the road network. Each edge weight = (edge length in km) × c(surface), where c(paved) is normalized to 1 and c(unpaved) is the calibrated cost multiplier.</w:t>
      </w:r>
    </w:p>
    <w:p>
      <w:pPr>
        <w:pStyle w:val="ListParagraph"/>
        <w:numPr>
          <w:ilvl w:val="0"/>
          <w:numId w:val="3"/>
        </w:numPr>
        <w:spacing w:after="80"/>
      </w:pPr>
      <w:r>
        <w:rPr>
          <w:b/>
          <w:bCs/>
        </w:rPr>
        <w:t xml:space="preserve">Calibrate the cost multiplier. </w:t>
      </w:r>
      <w:r>
        <w:t xml:space="preserve">Use Google Maps or Mapbox travel time estimates for a sample of OD pairs that vary in the share of unpaved road along the route. Regress log(travel time / distance) on share unpaved to estimate the speed penalty. The baseline value c_unpaved / c_paved should be around 2.5–4.0. Test sensitivity to this parameter.</w:t>
      </w:r>
    </w:p>
    <w:p>
      <w:pPr>
        <w:pStyle w:val="ListParagraph"/>
        <w:numPr>
          <w:ilvl w:val="0"/>
          <w:numId w:val="3"/>
        </w:numPr>
        <w:spacing w:after="80"/>
      </w:pPr>
      <w:r>
        <w:rPr>
          <w:b/>
          <w:bCs/>
        </w:rPr>
        <w:t xml:space="preserve">Compute bilateral trade costs. </w:t>
      </w:r>
      <w:r>
        <w:t xml:space="preserve">Use Dijkstra’s algorithm to find the least-cost path between all node pairs. Store the resulting N×N trade cost matrix. This is the computational bottleneck — for ~300 nodes per country, this is manageable; for finer grids, use approximate methods or parallel computation.</w:t>
      </w:r>
    </w:p>
    <w:p>
      <w:pPr>
        <w:pStyle w:val="ListParagraph"/>
        <w:numPr>
          <w:ilvl w:val="0"/>
          <w:numId w:val="3"/>
        </w:numPr>
        <w:spacing w:after="80"/>
      </w:pPr>
      <w:r>
        <w:rPr>
          <w:b/>
          <w:bCs/>
        </w:rPr>
        <w:t xml:space="preserve">Compute counterfactual trade costs. </w:t>
      </w:r>
      <w:r>
        <w:t xml:space="preserve">Repeat the shortest-path computation with c(s) = c_paved for all segments. Store the counterfactual N×N matrix.</w:t>
      </w:r>
    </w:p>
    <w:p>
      <w:pPr>
        <w:pStyle w:val="ListParagraph"/>
        <w:numPr>
          <w:ilvl w:val="0"/>
          <w:numId w:val="3"/>
        </w:numPr>
        <w:spacing w:after="200"/>
      </w:pPr>
      <w:r>
        <w:rPr>
          <w:b/>
          <w:bCs/>
        </w:rPr>
        <w:t xml:space="preserve">Output: </w:t>
      </w:r>
      <w:r>
        <w:t xml:space="preserve">Baseline and counterfactual bilateral trade cost matrices for each country.</w:t>
      </w:r>
    </w:p>
    <w:p>
      <w:pPr>
        <w:pStyle w:val="Heading2"/>
      </w:pPr>
      <w:r>
        <w:t xml:space="preserve">Phase 3: Model Calibration</w:t>
      </w:r>
    </w:p>
    <w:p>
      <w:pPr>
        <w:pStyle w:val="ListParagraph"/>
        <w:numPr>
          <w:ilvl w:val="0"/>
          <w:numId w:val="4"/>
        </w:numPr>
        <w:spacing w:after="80"/>
      </w:pPr>
      <w:r>
        <w:rPr>
          <w:b/>
          <w:bCs/>
        </w:rPr>
        <w:t xml:space="preserve">Set external parameters. </w:t>
      </w:r>
      <w:r>
        <w:t xml:space="preserve">Trade elasticity θ (Eaton-Kortum): use 4–8 as baseline range, following the literature. Labor supply elasticity κ (Fréchet shape for migration): use 1.5–3.0. Labor share α: use 0.6–0.7.</w:t>
      </w:r>
    </w:p>
    <w:p>
      <w:pPr>
        <w:pStyle w:val="ListParagraph"/>
        <w:numPr>
          <w:ilvl w:val="0"/>
          <w:numId w:val="4"/>
        </w:numPr>
        <w:spacing w:after="80"/>
      </w:pPr>
      <w:r>
        <w:rPr>
          <w:b/>
          <w:bCs/>
        </w:rPr>
        <w:t xml:space="preserve">Invert the model </w:t>
      </w:r>
      <w:r>
        <w:t xml:space="preserve">to recover location fundamentals. Given observed populations {L_i}, trade costs {τ_ij}, and the external parameters, solve for the implied productivities {A_i} and amenities {a_i} that rationalize the data as an equilibrium. This follows the exact-hat-algebra approach of Dekle, Eaton &amp; Kortum (2008) or the inversion method in Allen &amp; Arkolakis (2014).</w:t>
      </w:r>
    </w:p>
    <w:p>
      <w:pPr>
        <w:pStyle w:val="ListParagraph"/>
        <w:numPr>
          <w:ilvl w:val="0"/>
          <w:numId w:val="4"/>
        </w:numPr>
        <w:spacing w:after="80"/>
      </w:pPr>
      <w:r>
        <w:rPr>
          <w:b/>
          <w:bCs/>
        </w:rPr>
        <w:t xml:space="preserve">Validate. </w:t>
      </w:r>
      <w:r>
        <w:t xml:space="preserve">Check that the calibrated model matches non-targeted moments: (a) the distribution of city sizes (Zipf’s law), (b) trade flow patterns if available, (c) spatial correlation of wages or income with distance to major cities.</w:t>
      </w:r>
    </w:p>
    <w:p>
      <w:pPr>
        <w:pStyle w:val="ListParagraph"/>
        <w:numPr>
          <w:ilvl w:val="0"/>
          <w:numId w:val="4"/>
        </w:numPr>
        <w:spacing w:after="200"/>
      </w:pPr>
      <w:r>
        <w:rPr>
          <w:b/>
          <w:bCs/>
        </w:rPr>
        <w:t xml:space="preserve">Output: </w:t>
      </w:r>
      <w:r>
        <w:t xml:space="preserve">Calibrated vectors of productivities and amenities for each country.</w:t>
      </w:r>
    </w:p>
    <w:p>
      <w:pPr>
        <w:pStyle w:val="Heading2"/>
      </w:pPr>
      <w:r>
        <w:t xml:space="preserve">Phase 4: Counterfactual Analysis</w:t>
      </w:r>
    </w:p>
    <w:p>
      <w:pPr>
        <w:pStyle w:val="ListParagraph"/>
        <w:numPr>
          <w:ilvl w:val="0"/>
          <w:numId w:val="5"/>
        </w:numPr>
        <w:spacing w:after="80"/>
      </w:pPr>
      <w:r>
        <w:rPr>
          <w:b/>
          <w:bCs/>
        </w:rPr>
        <w:t xml:space="preserve">Solve the counterfactual equilibrium. </w:t>
      </w:r>
      <w:r>
        <w:t xml:space="preserve">Using the calibrated fundamentals and the counterfactual trade cost matrix, solve for new equilibrium wages, populations, and trade flows. Use the exact hat algebra: express all changes in proportional terms (ŵ_i = w’_i / w_i) and solve the system of equations iteratively.</w:t>
      </w:r>
    </w:p>
    <w:p>
      <w:pPr>
        <w:pStyle w:val="ListParagraph"/>
        <w:numPr>
          <w:ilvl w:val="0"/>
          <w:numId w:val="5"/>
        </w:numPr>
        <w:spacing w:after="80"/>
      </w:pPr>
      <w:r>
        <w:rPr>
          <w:b/>
          <w:bCs/>
        </w:rPr>
        <w:t xml:space="preserve">Compute welfare gains. </w:t>
      </w:r>
      <w:r>
        <w:t xml:space="preserve">Aggregate welfare change = population-weighted average of real income changes across locations. Also report: (a) total real GDP change, (b) distribution of gains across locations (maps), (c) Gini coefficient of real income before and after.</w:t>
      </w:r>
    </w:p>
    <w:p>
      <w:pPr>
        <w:pStyle w:val="ListParagraph"/>
        <w:numPr>
          <w:ilvl w:val="0"/>
          <w:numId w:val="5"/>
        </w:numPr>
        <w:spacing w:after="80"/>
      </w:pPr>
      <w:r>
        <w:rPr>
          <w:b/>
          <w:bCs/>
        </w:rPr>
        <w:t xml:space="preserve">Decomposition. </w:t>
      </w:r>
      <w:r>
        <w:t xml:space="preserve">Decompose the total welfare gain into: (a) direct trade cost effect (holding populations fixed), (b) labor reallocation effect (the additional gain from workers moving to newly-advantaged locations), and (c) terms-of-trade effects.</w:t>
      </w:r>
    </w:p>
    <w:p>
      <w:pPr>
        <w:pStyle w:val="ListParagraph"/>
        <w:numPr>
          <w:ilvl w:val="0"/>
          <w:numId w:val="5"/>
        </w:numPr>
        <w:spacing w:after="200"/>
      </w:pPr>
      <w:r>
        <w:rPr>
          <w:b/>
          <w:bCs/>
        </w:rPr>
        <w:t xml:space="preserve">Output: </w:t>
      </w:r>
      <w:r>
        <w:t xml:space="preserve">Headline welfare/GDP numbers for each country, spatial maps of gains, decomposition tables.</w:t>
      </w:r>
    </w:p>
    <w:p>
      <w:pPr>
        <w:pStyle w:val="Heading2"/>
      </w:pPr>
      <w:r>
        <w:t xml:space="preserve">Phase 5: Robustness and Extensions</w:t>
      </w:r>
    </w:p>
    <w:p>
      <w:pPr>
        <w:pStyle w:val="ListParagraph"/>
        <w:numPr>
          <w:ilvl w:val="0"/>
          <w:numId w:val="6"/>
        </w:numPr>
        <w:spacing w:after="80"/>
      </w:pPr>
      <w:r>
        <w:rPr>
          <w:b/>
          <w:bCs/>
        </w:rPr>
        <w:t xml:space="preserve">Parameter sensitivity. </w:t>
      </w:r>
      <w:r>
        <w:t xml:space="preserve">Vary the trade elasticity θ, the migration elasticity κ, and the cost ratio c_unpaved/c_paved. Report results for a grid of parameter values.</w:t>
      </w:r>
    </w:p>
    <w:p>
      <w:pPr>
        <w:pStyle w:val="ListParagraph"/>
        <w:numPr>
          <w:ilvl w:val="0"/>
          <w:numId w:val="6"/>
        </w:numPr>
        <w:spacing w:after="80"/>
      </w:pPr>
      <w:r>
        <w:rPr>
          <w:b/>
          <w:bCs/>
        </w:rPr>
        <w:t xml:space="preserve">Surface imputation robustness. </w:t>
      </w:r>
      <w:r>
        <w:t xml:space="preserve">Run the analysis under three imputation scenarios: (a) optimistic (unknown = paved), (b) pessimistic (unknown = unpaved), (c) predicted (classifier-based). The true answer is bounded by (a) and (b).</w:t>
      </w:r>
    </w:p>
    <w:p>
      <w:pPr>
        <w:pStyle w:val="ListParagraph"/>
        <w:numPr>
          <w:ilvl w:val="0"/>
          <w:numId w:val="6"/>
        </w:numPr>
        <w:spacing w:after="80"/>
      </w:pPr>
      <w:r>
        <w:rPr>
          <w:b/>
          <w:bCs/>
        </w:rPr>
        <w:t xml:space="preserve">Seasonal variation. </w:t>
      </w:r>
      <w:r>
        <w:t xml:space="preserve">If data permits, model the wet-season penalty on unpaved roads as an additional multiplier (c_unpaved_wet &gt; c_unpaved_dry). This captures the nonlinearity discussed earlier and yields an annualized cost that accounts for seasonal disruption.</w:t>
      </w:r>
    </w:p>
    <w:p>
      <w:pPr>
        <w:pStyle w:val="ListParagraph"/>
        <w:numPr>
          <w:ilvl w:val="0"/>
          <w:numId w:val="6"/>
        </w:numPr>
        <w:spacing w:after="80"/>
      </w:pPr>
      <w:r>
        <w:rPr>
          <w:b/>
          <w:bCs/>
        </w:rPr>
        <w:t xml:space="preserve">Cross-country comparison. </w:t>
      </w:r>
      <w:r>
        <w:t xml:space="preserve">Regress the country-level welfare gain on: share of network unpaved, urbanization rate, number of major economic centers, total network length, and geographic area. This identifies which structural features predict larger output costs from unpaved roads.</w:t>
      </w:r>
    </w:p>
    <w:p>
      <w:pPr>
        <w:pStyle w:val="ListParagraph"/>
        <w:numPr>
          <w:ilvl w:val="0"/>
          <w:numId w:val="6"/>
        </w:numPr>
        <w:spacing w:after="200"/>
      </w:pPr>
      <w:r>
        <w:rPr>
          <w:b/>
          <w:bCs/>
        </w:rPr>
        <w:t xml:space="preserve">Policy counterfactuals. </w:t>
      </w:r>
      <w:r>
        <w:t xml:space="preserve">Beyond the “pave everything” benchmark, consider targeted paving: (a) pave only trunk and primary roads, (b) pave the top-K segments that maximize welfare (optimal paving under a budget constraint), (c) pave roads connecting the largest cities.</w:t>
      </w:r>
    </w:p>
    <w:p>
      <w:pPr>
        <w:pStyle w:val="Heading1"/>
      </w:pPr>
      <w:r>
        <w:t xml:space="preserve">7. Suggested Code Architecture</w:t>
      </w:r>
    </w:p>
    <w:p>
      <w:pPr>
        <w:spacing w:after="200"/>
      </w:pPr>
      <w:r>
        <w:t xml:space="preserve">The project should be organized as a Python package with the following structure. Each module maps to a phase above. Use NetworkX or igraph for graph operations, GeoPandas for spatial data, and NumPy/SciPy for the equilibrium solver.</w:t>
      </w:r>
    </w:p>
    <w:p>
      <w:pPr>
        <w:spacing w:after="80"/>
      </w:pPr>
      <w:r>
        <w:rPr>
          <w:rFonts w:ascii="Courier New" w:cs="Courier New" w:eastAsia="Courier New" w:hAnsi="Courier New"/>
          <w:b/>
          <w:bCs/>
          <w:sz w:val="20"/>
          <w:szCs w:val="20"/>
        </w:rPr>
        <w:t xml:space="preserve">chasing_pavements/</w:t>
      </w:r>
    </w:p>
    <w:p>
      <w:pPr>
        <w:spacing w:after="40"/>
        <w:ind w:left="360"/>
      </w:pPr>
      <w:r>
        <w:rPr>
          <w:rFonts w:ascii="Courier New" w:cs="Courier New" w:eastAsia="Courier New" w:hAnsi="Courier New"/>
          <w:b/>
          <w:bCs/>
          <w:sz w:val="20"/>
          <w:szCs w:val="20"/>
        </w:rPr>
        <w:t xml:space="preserve">data/</w:t>
      </w:r>
      <w:r>
        <w:rPr>
          <w:rFonts w:ascii="Arial" w:cs="Arial" w:eastAsia="Arial" w:hAnsi="Arial"/>
          <w:color w:val="888888"/>
          <w:sz w:val="20"/>
          <w:szCs w:val="20"/>
        </w:rPr>
        <w:t xml:space="preserve">              ← raw and processed data (gitignored)</w:t>
      </w:r>
    </w:p>
    <w:p>
      <w:pPr>
        <w:spacing w:after="40"/>
        <w:ind w:left="360"/>
      </w:pPr>
      <w:r>
        <w:rPr>
          <w:rFonts w:ascii="Courier New" w:cs="Courier New" w:eastAsia="Courier New" w:hAnsi="Courier New"/>
          <w:b/>
          <w:bCs/>
          <w:sz w:val="20"/>
          <w:szCs w:val="20"/>
        </w:rPr>
        <w:t xml:space="preserve">src/</w:t>
      </w:r>
    </w:p>
    <w:p>
      <w:pPr>
        <w:spacing w:after="40"/>
        <w:ind w:left="720"/>
      </w:pPr>
      <w:r>
        <w:rPr>
          <w:rFonts w:ascii="Courier New" w:cs="Courier New" w:eastAsia="Courier New" w:hAnsi="Courier New"/>
          <w:sz w:val="20"/>
          <w:szCs w:val="20"/>
        </w:rPr>
        <w:t xml:space="preserve">ingest.py</w:t>
      </w:r>
      <w:r>
        <w:rPr>
          <w:rFonts w:ascii="Arial" w:cs="Arial" w:eastAsia="Arial" w:hAnsi="Arial"/>
          <w:color w:val="888888"/>
          <w:sz w:val="20"/>
          <w:szCs w:val="20"/>
        </w:rPr>
        <w:t xml:space="preserve">         ← OSM download, GADM boundaries, WorldPop, nightlights</w:t>
      </w:r>
    </w:p>
    <w:p>
      <w:pPr>
        <w:spacing w:after="40"/>
        <w:ind w:left="720"/>
      </w:pPr>
      <w:r>
        <w:rPr>
          <w:rFonts w:ascii="Courier New" w:cs="Courier New" w:eastAsia="Courier New" w:hAnsi="Courier New"/>
          <w:sz w:val="20"/>
          <w:szCs w:val="20"/>
        </w:rPr>
        <w:t xml:space="preserve">impute.py</w:t>
      </w:r>
      <w:r>
        <w:rPr>
          <w:rFonts w:ascii="Arial" w:cs="Arial" w:eastAsia="Arial" w:hAnsi="Arial"/>
          <w:color w:val="888888"/>
          <w:sz w:val="20"/>
          <w:szCs w:val="20"/>
        </w:rPr>
        <w:t xml:space="preserve">         ← surface type imputation for missing OSM tags</w:t>
      </w:r>
    </w:p>
    <w:p>
      <w:pPr>
        <w:spacing w:after="40"/>
        <w:ind w:left="720"/>
      </w:pPr>
      <w:r>
        <w:rPr>
          <w:rFonts w:ascii="Courier New" w:cs="Courier New" w:eastAsia="Courier New" w:hAnsi="Courier New"/>
          <w:sz w:val="20"/>
          <w:szCs w:val="20"/>
        </w:rPr>
        <w:t xml:space="preserve">network.py</w:t>
      </w:r>
      <w:r>
        <w:rPr>
          <w:rFonts w:ascii="Arial" w:cs="Arial" w:eastAsia="Arial" w:hAnsi="Arial"/>
          <w:color w:val="888888"/>
          <w:sz w:val="20"/>
          <w:szCs w:val="20"/>
        </w:rPr>
        <w:t xml:space="preserve">        ← graph construction, shortest paths, trade cost matrices</w:t>
      </w:r>
    </w:p>
    <w:p>
      <w:pPr>
        <w:spacing w:after="40"/>
        <w:ind w:left="720"/>
      </w:pPr>
      <w:r>
        <w:rPr>
          <w:rFonts w:ascii="Courier New" w:cs="Courier New" w:eastAsia="Courier New" w:hAnsi="Courier New"/>
          <w:sz w:val="20"/>
          <w:szCs w:val="20"/>
        </w:rPr>
        <w:t xml:space="preserve">model.py</w:t>
      </w:r>
      <w:r>
        <w:rPr>
          <w:rFonts w:ascii="Arial" w:cs="Arial" w:eastAsia="Arial" w:hAnsi="Arial"/>
          <w:color w:val="888888"/>
          <w:sz w:val="20"/>
          <w:szCs w:val="20"/>
        </w:rPr>
        <w:t xml:space="preserve">          ← GE model: calibration, equilibrium solver, counterfactual</w:t>
      </w:r>
    </w:p>
    <w:p>
      <w:pPr>
        <w:spacing w:after="40"/>
        <w:ind w:left="720"/>
      </w:pPr>
      <w:r>
        <w:rPr>
          <w:rFonts w:ascii="Courier New" w:cs="Courier New" w:eastAsia="Courier New" w:hAnsi="Courier New"/>
          <w:sz w:val="20"/>
          <w:szCs w:val="20"/>
        </w:rPr>
        <w:t xml:space="preserve">analysis.py</w:t>
      </w:r>
      <w:r>
        <w:rPr>
          <w:rFonts w:ascii="Arial" w:cs="Arial" w:eastAsia="Arial" w:hAnsi="Arial"/>
          <w:color w:val="888888"/>
          <w:sz w:val="20"/>
          <w:szCs w:val="20"/>
        </w:rPr>
        <w:t xml:space="preserve">       ← welfare computation, decomposition, cross-country regressions</w:t>
      </w:r>
    </w:p>
    <w:p>
      <w:pPr>
        <w:spacing w:after="40"/>
        <w:ind w:left="720"/>
      </w:pPr>
      <w:r>
        <w:rPr>
          <w:rFonts w:ascii="Courier New" w:cs="Courier New" w:eastAsia="Courier New" w:hAnsi="Courier New"/>
          <w:sz w:val="20"/>
          <w:szCs w:val="20"/>
        </w:rPr>
        <w:t xml:space="preserve">viz.py</w:t>
      </w:r>
      <w:r>
        <w:rPr>
          <w:rFonts w:ascii="Arial" w:cs="Arial" w:eastAsia="Arial" w:hAnsi="Arial"/>
          <w:color w:val="888888"/>
          <w:sz w:val="20"/>
          <w:szCs w:val="20"/>
        </w:rPr>
        <w:t xml:space="preserve">            ← maps, charts, tables for the paper</w:t>
      </w:r>
    </w:p>
    <w:p>
      <w:pPr>
        <w:spacing w:after="40"/>
        <w:ind w:left="360"/>
      </w:pPr>
      <w:r>
        <w:rPr>
          <w:rFonts w:ascii="Courier New" w:cs="Courier New" w:eastAsia="Courier New" w:hAnsi="Courier New"/>
          <w:b/>
          <w:bCs/>
          <w:sz w:val="20"/>
          <w:szCs w:val="20"/>
        </w:rPr>
        <w:t xml:space="preserve">notebooks/</w:t>
      </w:r>
      <w:r>
        <w:rPr>
          <w:rFonts w:ascii="Arial" w:cs="Arial" w:eastAsia="Arial" w:hAnsi="Arial"/>
          <w:color w:val="888888"/>
          <w:sz w:val="20"/>
          <w:szCs w:val="20"/>
        </w:rPr>
        <w:t xml:space="preserve">          ← exploratory analysis and sanity checks</w:t>
      </w:r>
    </w:p>
    <w:p>
      <w:pPr>
        <w:spacing w:after="40"/>
        <w:ind w:left="360"/>
      </w:pPr>
      <w:r>
        <w:rPr>
          <w:rFonts w:ascii="Courier New" w:cs="Courier New" w:eastAsia="Courier New" w:hAnsi="Courier New"/>
          <w:b/>
          <w:bCs/>
          <w:sz w:val="20"/>
          <w:szCs w:val="20"/>
        </w:rPr>
        <w:t xml:space="preserve">configs/</w:t>
      </w:r>
      <w:r>
        <w:rPr>
          <w:rFonts w:ascii="Arial" w:cs="Arial" w:eastAsia="Arial" w:hAnsi="Arial"/>
          <w:color w:val="888888"/>
          <w:sz w:val="20"/>
          <w:szCs w:val="20"/>
        </w:rPr>
        <w:t xml:space="preserve">            ← country-specific parameters, YAML files</w:t>
      </w:r>
    </w:p>
    <w:p>
      <w:pPr>
        <w:spacing w:after="40"/>
        <w:ind w:left="360"/>
      </w:pPr>
      <w:r>
        <w:rPr>
          <w:rFonts w:ascii="Courier New" w:cs="Courier New" w:eastAsia="Courier New" w:hAnsi="Courier New"/>
          <w:b/>
          <w:bCs/>
          <w:sz w:val="20"/>
          <w:szCs w:val="20"/>
        </w:rPr>
        <w:t xml:space="preserve">outputs/</w:t>
      </w:r>
      <w:r>
        <w:rPr>
          <w:rFonts w:ascii="Arial" w:cs="Arial" w:eastAsia="Arial" w:hAnsi="Arial"/>
          <w:color w:val="888888"/>
          <w:sz w:val="20"/>
          <w:szCs w:val="20"/>
        </w:rPr>
        <w:t xml:space="preserve">            ← results, figures, tables</w:t>
      </w:r>
    </w:p>
    <w:p>
      <w:pPr>
        <w:spacing w:after="200"/>
        <w:ind w:left="360"/>
      </w:pPr>
      <w:r>
        <w:rPr>
          <w:rFonts w:ascii="Courier New" w:cs="Courier New" w:eastAsia="Courier New" w:hAnsi="Courier New"/>
          <w:b/>
          <w:bCs/>
          <w:sz w:val="20"/>
          <w:szCs w:val="20"/>
        </w:rPr>
        <w:t xml:space="preserve">paper/</w:t>
      </w:r>
      <w:r>
        <w:rPr>
          <w:rFonts w:ascii="Arial" w:cs="Arial" w:eastAsia="Arial" w:hAnsi="Arial"/>
          <w:color w:val="888888"/>
          <w:sz w:val="20"/>
          <w:szCs w:val="20"/>
        </w:rPr>
        <w:t xml:space="preserve">              ← LaTeX source</w:t>
      </w:r>
    </w:p>
    <w:p>
      <w:pPr>
        <w:pStyle w:val="Heading1"/>
      </w:pPr>
      <w:r>
        <w:t xml:space="preserve">8. Key Parameters and Calibration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Baseline</w:t>
            </w:r>
          </w:p>
        </w:tc>
        <w:tc>
          <w:tcPr>
            <w:tcW w:type="dxa" w:w="2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Source / Range</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θ</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Trade elasticity (EK)</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4–8; Donaldson (2018)</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κ</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Migration elasticity</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1.5–3.0; Bryan &amp; Morten</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α</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Labor share</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0.65</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0.6–0.7; PWT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c_unp/c_pav</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Unpaved cost ratio</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3.0</w:t>
            </w:r>
          </w:p>
        </w:tc>
        <w:tc>
          <w:tcPr>
            <w:tcW w:type="dxa" w:w="2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2.5–4.0; calibrated</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σ</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Elasticity of substitution</w:t>
            </w:r>
          </w:p>
        </w:tc>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3–7; standard</w:t>
            </w:r>
          </w:p>
        </w:tc>
      </w:tr>
    </w:tbl>
    <w:p>
      <w:pPr>
        <w:spacing w:after="200"/>
      </w:pPr>
    </w:p>
    <w:p>
      <w:pPr>
        <w:pStyle w:val="Heading1"/>
      </w:pPr>
      <w:r>
        <w:t xml:space="preserve">9. Expected Outputs and Deliverables</w:t>
      </w:r>
    </w:p>
    <w:p>
      <w:pPr>
        <w:pStyle w:val="ListParagraph"/>
        <w:numPr>
          <w:ilvl w:val="0"/>
          <w:numId w:val="7"/>
        </w:numPr>
        <w:spacing w:after="80"/>
      </w:pPr>
      <w:r>
        <w:rPr>
          <w:b/>
          <w:bCs/>
        </w:rPr>
        <w:t xml:space="preserve">Headline number: </w:t>
      </w:r>
      <w:r>
        <w:t xml:space="preserve">For each country, the percentage increase in real GDP from paving all unpaved roads. Based on priors from the literature and the magnitude of the friction, expect 3–15% depending on the country.</w:t>
      </w:r>
    </w:p>
    <w:p>
      <w:pPr>
        <w:pStyle w:val="ListParagraph"/>
        <w:numPr>
          <w:ilvl w:val="0"/>
          <w:numId w:val="7"/>
        </w:numPr>
        <w:spacing w:after="80"/>
      </w:pPr>
      <w:r>
        <w:rPr>
          <w:b/>
          <w:bCs/>
        </w:rPr>
        <w:t xml:space="preserve">Spatial maps: </w:t>
      </w:r>
      <w:r>
        <w:t xml:space="preserve">Choropleth maps showing the distribution of welfare gains across locations within each country.</w:t>
      </w:r>
    </w:p>
    <w:p>
      <w:pPr>
        <w:pStyle w:val="ListParagraph"/>
        <w:numPr>
          <w:ilvl w:val="0"/>
          <w:numId w:val="7"/>
        </w:numPr>
        <w:spacing w:after="80"/>
      </w:pPr>
      <w:r>
        <w:rPr>
          <w:b/>
          <w:bCs/>
        </w:rPr>
        <w:t xml:space="preserve">Cross-country comparison figure: </w:t>
      </w:r>
      <w:r>
        <w:t xml:space="preserve">Bar chart or scatter plot showing welfare gains vs. share of network unpaved across countries.</w:t>
      </w:r>
    </w:p>
    <w:p>
      <w:pPr>
        <w:pStyle w:val="ListParagraph"/>
        <w:numPr>
          <w:ilvl w:val="0"/>
          <w:numId w:val="7"/>
        </w:numPr>
        <w:spacing w:after="80"/>
      </w:pPr>
      <w:r>
        <w:rPr>
          <w:b/>
          <w:bCs/>
        </w:rPr>
        <w:t xml:space="preserve">Decomposition table: </w:t>
      </w:r>
      <w:r>
        <w:t xml:space="preserve">Separating direct trade cost, labor reallocation, and terms-of-trade channels for each country.</w:t>
      </w:r>
    </w:p>
    <w:p>
      <w:pPr>
        <w:pStyle w:val="ListParagraph"/>
        <w:numPr>
          <w:ilvl w:val="0"/>
          <w:numId w:val="7"/>
        </w:numPr>
        <w:spacing w:after="80"/>
      </w:pPr>
      <w:r>
        <w:rPr>
          <w:b/>
          <w:bCs/>
        </w:rPr>
        <w:t xml:space="preserve">Policy table: </w:t>
      </w:r>
      <w:r>
        <w:t xml:space="preserve">Welfare gains from targeted paving strategies (trunk roads only, optimal budget-constrained, etc.) relative to full paving.</w:t>
      </w:r>
    </w:p>
    <w:p>
      <w:pPr>
        <w:pStyle w:val="ListParagraph"/>
        <w:numPr>
          <w:ilvl w:val="0"/>
          <w:numId w:val="7"/>
        </w:numPr>
        <w:spacing w:after="200"/>
      </w:pPr>
      <w:r>
        <w:rPr>
          <w:b/>
          <w:bCs/>
        </w:rPr>
        <w:t xml:space="preserve">Replication package: </w:t>
      </w:r>
      <w:r>
        <w:t xml:space="preserve">Full code, data pipeline, and documentation enabling replication and extension to additional countries.</w:t>
      </w:r>
    </w:p>
    <w:p>
      <w:pPr>
        <w:pStyle w:val="Heading1"/>
      </w:pPr>
      <w:r>
        <w:t xml:space="preserve">10.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Poor OSM surface coverage</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Biased trade cost estimates</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Imputation + bounds analysis; augment with satellite classifications if available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Cost ratio calibration uncertainty</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Wide range of headline estimates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Systematic sensitivity analysis; anchor with Google Maps travel time data</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Model sensitivity to elasticities</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Results may hinge on θ or κ</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Report results across a grid of parameter values; focus on relative rankings across countries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Computational scale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Fine grids → large N×N matrices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Start coarse (~300 nodes); parallelize shortest paths; use sparse matrix methods</w:t>
            </w:r>
          </w:p>
        </w:tc>
      </w:tr>
      <w:tr>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Omitted channels</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Model misses vehicle costs, time uncertainty, safety</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Acknowledge as limitation; interpret estimates as lower bound on true cost</w:t>
            </w:r>
          </w:p>
        </w:tc>
      </w:tr>
    </w:tbl>
    <w:p>
      <w:pPr>
        <w:spacing w:after="200"/>
      </w:pPr>
    </w:p>
    <w:p>
      <w:pPr>
        <w:pStyle w:val="Heading1"/>
      </w:pPr>
      <w:r>
        <w:t xml:space="preserve">11. 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Weeks</w:t>
            </w:r>
          </w:p>
        </w:tc>
        <w:tc>
          <w:tcPr>
            <w:tcW w:type="dxa" w:w="4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1–3</w:t>
            </w:r>
          </w:p>
        </w:tc>
        <w:tc>
          <w:tcPr>
            <w:tcW w:type="dxa" w:w="4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Phase 1: Data ingestion, spatial setup, surface imputation for one country (Tanzania)</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Clean node + network datasets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4–5</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2: Trade cost computation, cost ratio calibration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Baseline + counterfactual τ matrices</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6–8</w:t>
            </w:r>
          </w:p>
        </w:tc>
        <w:tc>
          <w:tcPr>
            <w:tcW w:type="dxa" w:w="4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Phase 3: Model calibration and validation for Tanzania</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Calibrated model, validation checks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9–10</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4: Counterfactual analysis, welfare computation, decomposition</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Headline results for Tanzania</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11–14</w:t>
            </w:r>
          </w:p>
        </w:tc>
        <w:tc>
          <w:tcPr>
            <w:tcW w:type="dxa" w:w="4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Scale pipeline to remaining countries (7 additional)</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Multi-country results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15–18</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Phase 5: Robustness, extensions, policy counterfactuals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Full robustness tables</w:t>
            </w:r>
          </w:p>
        </w:tc>
      </w:tr>
      <w:tr>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19–24</w:t>
            </w:r>
          </w:p>
        </w:tc>
        <w:tc>
          <w:tcPr>
            <w:tcW w:type="dxa" w:w="4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Paper writing, figures, replication package</w:t>
            </w:r>
          </w:p>
        </w:tc>
        <w:tc>
          <w:tcPr>
            <w:tcW w:type="dxa" w:w="336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val="false"/>
                <w:bCs w:val="false"/>
                <w:sz w:val="20"/>
                <w:szCs w:val="20"/>
              </w:rPr>
              <w:t xml:space="preserve">Working paper draft</w:t>
            </w:r>
          </w:p>
        </w:tc>
      </w:tr>
    </w:tbl>
    <w:p>
      <w:pPr>
        <w:spacing w:after="200"/>
      </w:pPr>
    </w:p>
    <w:p>
      <w:pPr>
        <w:pStyle w:val="Heading1"/>
      </w:pPr>
      <w:r>
        <w:t xml:space="preserve">12. Key References</w:t>
      </w:r>
    </w:p>
    <w:p>
      <w:pPr>
        <w:spacing w:after="80"/>
      </w:pPr>
      <w:r>
        <w:t xml:space="preserve">Allen, T. &amp; Arkolakis, C. (2014). Trade and the Topography of the Spatial Economy. </w:t>
      </w:r>
      <w:r>
        <w:rPr>
          <w:i/>
          <w:iCs/>
        </w:rPr>
        <w:t xml:space="preserve">Quarterly Journal of Economics</w:t>
      </w:r>
      <w:r>
        <w:t xml:space="preserve">, 129(3), 1085–1140.</w:t>
      </w:r>
    </w:p>
    <w:p>
      <w:pPr>
        <w:spacing w:after="80"/>
      </w:pPr>
      <w:r>
        <w:t xml:space="preserve">Asher, S. &amp; Novosad, P. (2020). Rural Roads and Local Economic Development. </w:t>
      </w:r>
      <w:r>
        <w:rPr>
          <w:i/>
          <w:iCs/>
        </w:rPr>
        <w:t xml:space="preserve">American Economic Review</w:t>
      </w:r>
      <w:r>
        <w:t xml:space="preserve">, 110(3), 797–823.</w:t>
      </w:r>
    </w:p>
    <w:p>
      <w:pPr>
        <w:spacing w:after="80"/>
      </w:pPr>
      <w:r>
        <w:t xml:space="preserve">Dekle, R., Eaton, J. &amp; Kortum, S. (2008). Global Rebalancing with Gravity. </w:t>
      </w:r>
      <w:r>
        <w:rPr>
          <w:i/>
          <w:iCs/>
        </w:rPr>
        <w:t xml:space="preserve">IMF Staff Papers</w:t>
      </w:r>
      <w:r>
        <w:t xml:space="preserve">, 55(3), 511–540.</w:t>
      </w:r>
    </w:p>
    <w:p>
      <w:pPr>
        <w:spacing w:after="80"/>
      </w:pPr>
      <w:r>
        <w:t xml:space="preserve">Donaldson, D. (2018). Railroads of the Raj: Estimating the Impact of Transportation Infrastructure. </w:t>
      </w:r>
      <w:r>
        <w:rPr>
          <w:i/>
          <w:iCs/>
        </w:rPr>
        <w:t xml:space="preserve">American Economic Review</w:t>
      </w:r>
      <w:r>
        <w:t xml:space="preserve">, 108(4–5), 899–934.</w:t>
      </w:r>
    </w:p>
    <w:p>
      <w:pPr>
        <w:spacing w:after="80"/>
      </w:pPr>
      <w:r>
        <w:t xml:space="preserve">Donaldson, D. &amp; Hornbeck, R. (2016). Railroads and American Economic Growth. </w:t>
      </w:r>
      <w:r>
        <w:rPr>
          <w:i/>
          <w:iCs/>
        </w:rPr>
        <w:t xml:space="preserve">Quarterly Journal of Economics</w:t>
      </w:r>
      <w:r>
        <w:t xml:space="preserve">, 131(2), 799–858.</w:t>
      </w:r>
    </w:p>
    <w:p>
      <w:pPr>
        <w:spacing w:after="80"/>
      </w:pPr>
      <w:r>
        <w:t xml:space="preserve">Eaton, J. &amp; Kortum, S. (2002). Technology, Geography, and Trade. </w:t>
      </w:r>
      <w:r>
        <w:rPr>
          <w:i/>
          <w:iCs/>
        </w:rPr>
        <w:t xml:space="preserve">Econometrica</w:t>
      </w:r>
      <w:r>
        <w:t xml:space="preserve">, 70(5), 1741–1779.</w:t>
      </w:r>
    </w:p>
    <w:p>
      <w:pPr>
        <w:spacing w:after="80"/>
      </w:pPr>
      <w:r>
        <w:t xml:space="preserve">Fajgelbaum, P. &amp; Schaal, E. (2020). Optimal Transport Networks in Spatial Equilibrium. </w:t>
      </w:r>
      <w:r>
        <w:rPr>
          <w:i/>
          <w:iCs/>
        </w:rPr>
        <w:t xml:space="preserve">Econometrica</w:t>
      </w:r>
      <w:r>
        <w:t xml:space="preserve">, 88(4), 1411–1452.</w:t>
      </w:r>
    </w:p>
    <w:p>
      <w:pPr>
        <w:spacing w:after="80"/>
      </w:pPr>
      <w:r>
        <w:t xml:space="preserve">Henderson, J.V., Storeygard, A. &amp; Weil, D.N. (2012). Measuring Economic Growth from Outer Space. </w:t>
      </w:r>
      <w:r>
        <w:rPr>
          <w:i/>
          <w:iCs/>
        </w:rPr>
        <w:t xml:space="preserve">American Economic Review</w:t>
      </w:r>
      <w:r>
        <w:t xml:space="preserve">, 102(2), 994–1028.</w:t>
      </w:r>
    </w:p>
    <w:p>
      <w:pPr>
        <w:spacing w:after="80"/>
      </w:pPr>
      <w:r>
        <w:t xml:space="preserve">Storeygard, A. (2016). Farther on Down the Road: Transport Costs, Trade and Urban Growth in Sub-Saharan Africa. </w:t>
      </w:r>
      <w:r>
        <w:rPr>
          <w:i/>
          <w:iCs/>
        </w:rPr>
        <w:t xml:space="preserve">Review of Economic Studies</w:t>
      </w:r>
      <w:r>
        <w:t xml:space="preserve">, 83(3), 1263–1295.</w:t>
      </w:r>
    </w:p>
    <w:p>
      <w:pPr>
        <w:spacing w:after="200"/>
      </w:pPr>
      <w:r>
        <w:t xml:space="preserve">Tombe, T. &amp; Zhu, X. (2019). Trade, Migration, and Productivity: A Quantitative Analysis of China. </w:t>
      </w:r>
      <w:r>
        <w:rPr>
          <w:i/>
          <w:iCs/>
        </w:rPr>
        <w:t xml:space="preserve">American Economic Review</w:t>
      </w:r>
      <w:r>
        <w:t xml:space="preserve">, 109(5), 1843–1872.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Chasing Pavements — Research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2026-04-07T19:04:39.983Z</dcterms:created>
  <dcterms:modified xsi:type="dcterms:W3CDTF">2026-04-07T19:04:39.984Z</dcterms:modified>
</cp:coreProperties>
</file>

<file path=docProps/custom.xml><?xml version="1.0" encoding="utf-8"?>
<Properties xmlns="http://schemas.openxmlformats.org/officeDocument/2006/custom-properties" xmlns:vt="http://schemas.openxmlformats.org/officeDocument/2006/docPropsVTypes"/>
</file>