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56"/>
        </w:rPr>
        <w:t>CHASING PAVEMENTS</w:t>
      </w:r>
    </w:p>
    <w:p>
      <w:pPr>
        <w:jc w:val="center"/>
      </w:pPr>
      <w:r>
        <w:rPr>
          <w:rFonts w:ascii="Arial" w:hAnsi="Arial"/>
          <w:color w:val="2E75B6"/>
          <w:sz w:val="36"/>
        </w:rPr>
        <w:t>Research Progress Tracker</w:t>
      </w:r>
    </w:p>
    <w:p>
      <w:pPr>
        <w:jc w:val="center"/>
      </w:pPr>
      <w:r>
        <w:rPr>
          <w:i/>
          <w:color w:val="595959"/>
          <w:sz w:val="28"/>
        </w:rPr>
        <w:t>The Output Cost of Unpaved Roads in Sub-Saharan Africa</w:t>
      </w:r>
    </w:p>
    <w:p>
      <w:pPr>
        <w:jc w:val="center"/>
      </w:pPr>
      <w:r>
        <w:rPr>
          <w:color w:val="999999"/>
          <w:sz w:val="20"/>
        </w:rPr>
        <w:t>April 9, 2026 | DRAFT</w:t>
      </w:r>
    </w:p>
    <w:p>
      <w:r>
        <w:br w:type="page"/>
      </w:r>
    </w:p>
    <w:p>
      <w:pPr>
        <w:pStyle w:val="Heading1"/>
      </w:pPr>
      <w:r>
        <w:t>1. Project Status Overview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4E79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Phase</w:t>
            </w:r>
          </w:p>
        </w:tc>
        <w:tc>
          <w:tcPr>
            <w:tcW w:type="dxa" w:w="2160"/>
            <w:shd w:val="clear" w:color="auto" w:fill="1F4E79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2160"/>
            <w:shd w:val="clear" w:color="auto" w:fill="1F4E79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2160"/>
            <w:shd w:val="clear" w:color="auto" w:fill="1F4E79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sz w:val="20"/>
              </w:rPr>
              <w:t>Phase 1</w:t>
            </w:r>
          </w:p>
        </w:tc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sz w:val="20"/>
              </w:rPr>
              <w:t>Data Ingestion</w:t>
            </w:r>
          </w:p>
        </w:tc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sz w:val="20"/>
              </w:rPr>
              <w:t>COMPLETE (41 countries)</w:t>
            </w:r>
          </w:p>
        </w:tc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sz w:val="20"/>
              </w:rPr>
              <w:t>Road networks extracted and classified for 41 mainland SSA countries via HPC.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Phase 2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Trade Cost Computation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COMPLETE (41 countries)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Bilateral trade cost matrices computed. Mean reduction from paving: ~30%.</w:t>
            </w:r>
          </w:p>
        </w:tc>
      </w:tr>
      <w:tr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sz w:val="20"/>
              </w:rPr>
              <w:t>Phase 3</w:t>
            </w:r>
          </w:p>
        </w:tc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sz w:val="20"/>
              </w:rPr>
              <w:t>Model Calibration</w:t>
            </w:r>
          </w:p>
        </w:tc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sz w:val="20"/>
              </w:rPr>
              <w:t>COMPLETE (41 countries)</w:t>
            </w:r>
          </w:p>
        </w:tc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sz w:val="20"/>
              </w:rPr>
              <w:t>WorldPop + BFI GDP. GE model inverted (Redding &amp; Rossi-Hansberg 2017).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Phase 4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Counterfactual Analysis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COMPLETE (41 countries)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Welfare: +0.6% (South Africa) to +54.5% (Somalia). Continental avg ~20%.</w:t>
            </w:r>
          </w:p>
        </w:tc>
      </w:tr>
      <w:tr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sz w:val="20"/>
              </w:rPr>
              <w:t>Phase 5</w:t>
            </w:r>
          </w:p>
        </w:tc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sz w:val="20"/>
              </w:rPr>
              <w:t>Robustness &amp; Extensions</w:t>
            </w:r>
          </w:p>
        </w:tc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sz w:val="20"/>
              </w:rPr>
              <w:t>IN PROGRESS</w:t>
            </w:r>
          </w:p>
        </w:tc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sz w:val="20"/>
              </w:rPr>
              <w:t>sigma-c sensitivity done. Price elasticity estimated. Remaining: Google Maps, reduced-form, optimal paving.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Paper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Writing &amp; Figures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NOT STARTED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Target: working paper draft.</w:t>
            </w:r>
          </w:p>
        </w:tc>
      </w:tr>
    </w:tbl>
    <w:p/>
    <w:p>
      <w:pPr>
        <w:pStyle w:val="Heading1"/>
      </w:pPr>
      <w:r>
        <w:t>2. Key Results (Continental)</w:t>
      </w:r>
    </w:p>
    <w:p>
      <w:pPr>
        <w:pStyle w:val="ListBullet"/>
      </w:pPr>
      <w:r>
        <w:t>41 mainland SSA countries analyzed (7 island nations excluded, 2 missing GDP data)</w:t>
      </w:r>
    </w:p>
    <w:p>
      <w:pPr>
        <w:pStyle w:val="ListBullet"/>
      </w:pPr>
      <w:r>
        <w:t>Continental average welfare gain from paving all roads: approximately 20%</w:t>
      </w:r>
    </w:p>
    <w:p>
      <w:pPr>
        <w:pStyle w:val="ListBullet"/>
      </w:pPr>
      <w:r>
        <w:t>Range: +0.6% (South Africa) to +54.5% (Somalia)</w:t>
      </w:r>
    </w:p>
    <w:p>
      <w:pPr>
        <w:pStyle w:val="ListBullet"/>
      </w:pPr>
      <w:r>
        <w:t>Top tier (&gt;30%): Somalia, Congo DR, CAR, Malawi, Tanzania, Burundi, Kenya</w:t>
      </w:r>
    </w:p>
    <w:p>
      <w:pPr>
        <w:pStyle w:val="ListBullet"/>
      </w:pPr>
      <w:r>
        <w:t>High (15-30%): Liberia, Namibia, Uganda, Mozambique, Ghana, Nigeria, Chad, Niger, Sudan</w:t>
      </w:r>
    </w:p>
    <w:p>
      <w:pPr>
        <w:pStyle w:val="ListBullet"/>
      </w:pPr>
      <w:r>
        <w:t>Moderate (5-15%): Ethiopia, Cameroon, Gabon, Guinea, Togo, Senegal, Zimbabwe</w:t>
      </w:r>
    </w:p>
    <w:p>
      <w:pPr>
        <w:pStyle w:val="ListBullet"/>
      </w:pPr>
      <w:r>
        <w:t>Low (&lt;5%): Burkina Faso, Botswana, Rwanda, Sierra Leone, Cote d'Ivoire, South Africa</w:t>
      </w:r>
    </w:p>
    <w:p>
      <w:pPr>
        <w:pStyle w:val="ListBullet"/>
      </w:pPr>
      <w:r>
        <w:t>Model validation: countries known for good roads (South Africa, Botswana, Rwanda) independently rank at the bottom</w:t>
      </w:r>
    </w:p>
    <w:p>
      <w:pPr>
        <w:pStyle w:val="ListBullet"/>
      </w:pPr>
      <w:r>
        <w:t>Tanzania deep-dive: 677K km roads, 2.2% paved, ~34% welfare gain with mobility</w:t>
      </w:r>
    </w:p>
    <w:p>
      <w:pPr>
        <w:pStyle w:val="ListBullet"/>
      </w:pPr>
      <w:r>
        <w:t>Parameter sensitivity (Tanzania): welfare ranges from 4% to 64% across sigma and c grid</w:t>
      </w:r>
    </w:p>
    <w:p>
      <w:pPr>
        <w:pStyle w:val="ListBullet"/>
      </w:pPr>
      <w:r>
        <w:t>Welfare robust to trade cost normalization: 47-52% across scale parameter range</w:t>
      </w:r>
    </w:p>
    <w:p/>
    <w:p>
      <w:pPr>
        <w:pStyle w:val="Heading1"/>
      </w:pPr>
      <w:r>
        <w:t>3. Research Design</w:t>
      </w:r>
    </w:p>
    <w:p>
      <w:pPr>
        <w:pStyle w:val="Heading2"/>
      </w:pPr>
      <w:r>
        <w:t>Framing</w:t>
      </w:r>
    </w:p>
    <w:p>
      <w:r>
        <w:t>Decomposes the "unobserved road quality" residual from Akbar et al. (2023). Road surface type (paved vs. unpaved) is a first-order component.</w:t>
      </w:r>
    </w:p>
    <w:p>
      <w:pPr>
        <w:pStyle w:val="Heading2"/>
      </w:pPr>
      <w:r>
        <w:t>Cost Ratio</w:t>
      </w:r>
    </w:p>
    <w:p>
      <w:r>
        <w:t>Currently c=3.0 (placeholder). Google Maps Routes API (~$2K) will provide empirical estimate. Donaldson-style route decomposition with Kenya price data is the key empirical contribution.</w:t>
      </w:r>
    </w:p>
    <w:p>
      <w:pPr>
        <w:pStyle w:val="Heading2"/>
      </w:pPr>
      <w:r>
        <w:t>Surface Data Validation</w:t>
      </w:r>
    </w:p>
    <w:p>
      <w:r>
        <w:t>OSM vs. Liu et al. (2026): 93.7% road-level agreement. OSM-based estimates are conservative. OSM coverage varies: Tanzania 69%, Senegal 48%, Kenya/Uganda ~31%.</w:t>
      </w:r>
    </w:p>
    <w:p>
      <w:r>
        <w:br w:type="page"/>
      </w:r>
    </w:p>
    <w:p>
      <w:pPr>
        <w:pStyle w:val="Heading1"/>
      </w:pPr>
      <w:r>
        <w:t>4. Country Results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4E79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Country</w:t>
            </w:r>
          </w:p>
        </w:tc>
        <w:tc>
          <w:tcPr>
            <w:tcW w:type="dxa" w:w="2160"/>
            <w:shd w:val="clear" w:color="auto" w:fill="1F4E79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Welfare Gain</w:t>
            </w:r>
          </w:p>
        </w:tc>
        <w:tc>
          <w:tcPr>
            <w:tcW w:type="dxa" w:w="2160"/>
            <w:shd w:val="clear" w:color="auto" w:fill="1F4E79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Districts</w:t>
            </w:r>
          </w:p>
        </w:tc>
        <w:tc>
          <w:tcPr>
            <w:tcW w:type="dxa" w:w="2160"/>
            <w:shd w:val="clear" w:color="auto" w:fill="1F4E79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sz w:val="20"/>
              </w:rPr>
              <w:t>Somalia</w:t>
            </w:r>
          </w:p>
        </w:tc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sz w:val="20"/>
              </w:rPr>
              <w:t>+54.5%</w:t>
            </w:r>
          </w:p>
        </w:tc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sz w:val="20"/>
              </w:rPr>
              <w:t>73</w:t>
            </w:r>
          </w:p>
        </w:tc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sz w:val="20"/>
              </w:rPr>
              <w:t>Complete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Congo DR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+53.5%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217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Complete</w:t>
            </w:r>
          </w:p>
        </w:tc>
      </w:tr>
      <w:tr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sz w:val="20"/>
              </w:rPr>
              <w:t>Central African Republic</w:t>
            </w:r>
          </w:p>
        </w:tc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sz w:val="20"/>
              </w:rPr>
              <w:t>+43.5%</w:t>
            </w:r>
          </w:p>
        </w:tc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sz w:val="20"/>
              </w:rPr>
              <w:t>42</w:t>
            </w:r>
          </w:p>
        </w:tc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sz w:val="20"/>
              </w:rPr>
              <w:t>Complete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Malawi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+37.2%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236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Complete</w:t>
            </w:r>
          </w:p>
        </w:tc>
      </w:tr>
      <w:tr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sz w:val="20"/>
              </w:rPr>
              <w:t>Tanzania</w:t>
            </w:r>
          </w:p>
        </w:tc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sz w:val="20"/>
              </w:rPr>
              <w:t>+33.7%</w:t>
            </w:r>
          </w:p>
        </w:tc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sz w:val="20"/>
              </w:rPr>
              <w:t>160</w:t>
            </w:r>
          </w:p>
        </w:tc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sz w:val="20"/>
              </w:rPr>
              <w:t>Complete (deep-dive)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Burundi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+32.1%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128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Complete</w:t>
            </w:r>
          </w:p>
        </w:tc>
      </w:tr>
      <w:tr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sz w:val="20"/>
              </w:rPr>
              <w:t>Kenya</w:t>
            </w:r>
          </w:p>
        </w:tc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sz w:val="20"/>
              </w:rPr>
              <w:t>+30.7%</w:t>
            </w:r>
          </w:p>
        </w:tc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sz w:val="20"/>
              </w:rPr>
              <w:t>298</w:t>
            </w:r>
          </w:p>
        </w:tc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sz w:val="20"/>
              </w:rPr>
              <w:t>Complete (price data)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Liberia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+29.8%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58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Complete</w:t>
            </w:r>
          </w:p>
        </w:tc>
      </w:tr>
      <w:tr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sz w:val="20"/>
              </w:rPr>
              <w:t>Namibia</w:t>
            </w:r>
          </w:p>
        </w:tc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sz w:val="20"/>
              </w:rPr>
              <w:t>+29.0%</w:t>
            </w:r>
          </w:p>
        </w:tc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sz w:val="20"/>
              </w:rPr>
              <w:t>103</w:t>
            </w:r>
          </w:p>
        </w:tc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sz w:val="20"/>
              </w:rPr>
              <w:t>Complete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Uganda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+28.4%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158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Complete</w:t>
            </w:r>
          </w:p>
        </w:tc>
      </w:tr>
      <w:tr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sz w:val="20"/>
              </w:rPr>
              <w:t>Mozambique</w:t>
            </w:r>
          </w:p>
        </w:tc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sz w:val="20"/>
              </w:rPr>
              <w:t>+27.2%</w:t>
            </w:r>
          </w:p>
        </w:tc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sz w:val="20"/>
              </w:rPr>
              <w:t>126</w:t>
            </w:r>
          </w:p>
        </w:tc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sz w:val="20"/>
              </w:rPr>
              <w:t>Complete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Ghana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+25.7%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257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Complete</w:t>
            </w:r>
          </w:p>
        </w:tc>
      </w:tr>
      <w:tr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sz w:val="20"/>
              </w:rPr>
              <w:t>Nigeria</w:t>
            </w:r>
          </w:p>
        </w:tc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sz w:val="20"/>
              </w:rPr>
              <w:t>+25.4%</w:t>
            </w:r>
          </w:p>
        </w:tc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sz w:val="20"/>
              </w:rPr>
              <w:t>755</w:t>
            </w:r>
          </w:p>
        </w:tc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sz w:val="20"/>
              </w:rPr>
              <w:t>Complete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Chad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+24.9%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54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Complete</w:t>
            </w:r>
          </w:p>
        </w:tc>
      </w:tr>
      <w:tr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sz w:val="20"/>
              </w:rPr>
              <w:t>Ethiopia</w:t>
            </w:r>
          </w:p>
        </w:tc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sz w:val="20"/>
              </w:rPr>
              <w:t>+15.9%</w:t>
            </w:r>
          </w:p>
        </w:tc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sz w:val="20"/>
              </w:rPr>
              <w:t>76</w:t>
            </w:r>
          </w:p>
        </w:tc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sz w:val="20"/>
              </w:rPr>
              <w:t>Complete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Senegal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+7.7%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42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Complete (price data)</w:t>
            </w:r>
          </w:p>
        </w:tc>
      </w:tr>
      <w:tr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sz w:val="20"/>
              </w:rPr>
              <w:t>South Africa</w:t>
            </w:r>
          </w:p>
        </w:tc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sz w:val="20"/>
              </w:rPr>
              <w:t>+0.6%</w:t>
            </w:r>
          </w:p>
        </w:tc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sz w:val="20"/>
              </w:rPr>
              <w:t>51</w:t>
            </w:r>
          </w:p>
        </w:tc>
        <w:tc>
          <w:tcPr>
            <w:tcW w:type="dxa" w:w="2160"/>
            <w:shd w:val="clear" w:color="auto" w:fill="E8F0FE"/>
          </w:tcPr>
          <w:p>
            <w:r/>
            <w:r>
              <w:rPr>
                <w:rFonts w:ascii="Arial" w:hAnsi="Arial"/>
                <w:sz w:val="20"/>
              </w:rPr>
              <w:t>Complete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33 others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+2.6% to +22.3%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various</w:t>
            </w:r>
          </w:p>
        </w:tc>
        <w:tc>
          <w:tcPr>
            <w:tcW w:type="dxa" w:w="2160"/>
          </w:tcPr>
          <w:p>
            <w:r/>
            <w:r>
              <w:rPr>
                <w:rFonts w:ascii="Arial" w:hAnsi="Arial"/>
                <w:sz w:val="20"/>
              </w:rPr>
              <w:t>Complete</w:t>
            </w:r>
          </w:p>
        </w:tc>
      </w:tr>
    </w:tbl>
    <w:p/>
    <w:p>
      <w:pPr>
        <w:pStyle w:val="Heading1"/>
      </w:pPr>
      <w:r>
        <w:t>5. Next Steps</w:t>
      </w:r>
    </w:p>
    <w:p>
      <w:pPr>
        <w:pStyle w:val="ListNumber"/>
      </w:pPr>
      <w:r>
        <w:t>Donaldson-style cost ratio estimation: decompose Kenya routes into paved/unpaved km, regress price gaps on each to directly estimate c</w:t>
      </w:r>
    </w:p>
    <w:p>
      <w:pPr>
        <w:pStyle w:val="ListNumber"/>
      </w:pPr>
      <w:r>
        <w:t>Set up Google Maps Routes API for empirical speed penalty estimation across 8 target countries</w:t>
      </w:r>
    </w:p>
    <w:p>
      <w:pPr>
        <w:pStyle w:val="ListNumber"/>
      </w:pPr>
      <w:r>
        <w:t>Cross-country regression: welfare gain vs. paved share, urbanization, network structure (n=41)</w:t>
      </w:r>
    </w:p>
    <w:p>
      <w:pPr>
        <w:pStyle w:val="ListNumber"/>
      </w:pPr>
      <w:r>
        <w:t>Reduced-form evidence: price dispersion vs. paved road share across markets</w:t>
      </w:r>
    </w:p>
    <w:p>
      <w:pPr>
        <w:pStyle w:val="ListNumber"/>
      </w:pPr>
      <w:r>
        <w:t>Optimal paving policy counterfactual: budget-constrained planner, priority ranking of road segments</w:t>
      </w:r>
    </w:p>
    <w:p>
      <w:pPr>
        <w:pStyle w:val="ListNumber"/>
      </w:pPr>
      <w:r>
        <w:t>Paper writing: target working paper draft</w:t>
      </w:r>
    </w:p>
    <w:p/>
    <w:p>
      <w:pPr>
        <w:pStyle w:val="Heading1"/>
      </w:pPr>
      <w:r>
        <w:t>6. Code Architecture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4E79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File</w:t>
            </w:r>
          </w:p>
        </w:tc>
        <w:tc>
          <w:tcPr>
            <w:tcW w:type="dxa" w:w="4320"/>
            <w:shd w:val="clear" w:color="auto" w:fill="1F4E79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rFonts w:ascii="Arial" w:hAnsi="Arial"/>
                <w:sz w:val="20"/>
              </w:rPr>
              <w:t>src/run_country.py</w:t>
            </w:r>
          </w:p>
        </w:tc>
        <w:tc>
          <w:tcPr>
            <w:tcW w:type="dxa" w:w="4320"/>
            <w:shd w:val="clear" w:color="auto" w:fill="E8F0FE"/>
          </w:tcPr>
          <w:p>
            <w:r/>
            <w:r>
              <w:rPr>
                <w:rFonts w:ascii="Arial" w:hAnsi="Arial"/>
                <w:sz w:val="20"/>
              </w:rPr>
              <w:t>Full pipeline runner (Phases 1-4) for any country, auto-downloads data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/>
                <w:sz w:val="20"/>
              </w:rPr>
              <w:t>src/country_config.py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sz w:val="20"/>
              </w:rPr>
              <w:t>Builds config dicts from master CSV registry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rFonts w:ascii="Arial" w:hAnsi="Arial"/>
                <w:sz w:val="20"/>
              </w:rPr>
              <w:t>configs/ssa_countries.csv</w:t>
            </w:r>
          </w:p>
        </w:tc>
        <w:tc>
          <w:tcPr>
            <w:tcW w:type="dxa" w:w="4320"/>
            <w:shd w:val="clear" w:color="auto" w:fill="E8F0FE"/>
          </w:tcPr>
          <w:p>
            <w:r/>
            <w:r>
              <w:rPr>
                <w:rFonts w:ascii="Arial" w:hAnsi="Arial"/>
                <w:sz w:val="20"/>
              </w:rPr>
              <w:t>Master registry: 48 SSA countries with metadata and GDP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/>
                <w:sz w:val="20"/>
              </w:rPr>
              <w:t>src/ingest.py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sz w:val="20"/>
              </w:rPr>
              <w:t>Phase 1: OSM PBF to road GeoDataFrame with surface classification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rFonts w:ascii="Arial" w:hAnsi="Arial"/>
                <w:sz w:val="20"/>
              </w:rPr>
              <w:t>src/network.py</w:t>
            </w:r>
          </w:p>
        </w:tc>
        <w:tc>
          <w:tcPr>
            <w:tcW w:type="dxa" w:w="4320"/>
            <w:shd w:val="clear" w:color="auto" w:fill="E8F0FE"/>
          </w:tcPr>
          <w:p>
            <w:r/>
            <w:r>
              <w:rPr>
                <w:rFonts w:ascii="Arial" w:hAnsi="Arial"/>
                <w:sz w:val="20"/>
              </w:rPr>
              <w:t>Phase 2: graph construction, shortest paths, trade cost matrices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/>
                <w:sz w:val="20"/>
              </w:rPr>
              <w:t>src/calibrate.py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sz w:val="20"/>
              </w:rPr>
              <w:t>Phase 3: population/GDP aggregation, GE model inversion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rFonts w:ascii="Arial" w:hAnsi="Arial"/>
                <w:sz w:val="20"/>
              </w:rPr>
              <w:t>src/counterfactual.py</w:t>
            </w:r>
          </w:p>
        </w:tc>
        <w:tc>
          <w:tcPr>
            <w:tcW w:type="dxa" w:w="4320"/>
            <w:shd w:val="clear" w:color="auto" w:fill="E8F0FE"/>
          </w:tcPr>
          <w:p>
            <w:r/>
            <w:r>
              <w:rPr>
                <w:rFonts w:ascii="Arial" w:hAnsi="Arial"/>
                <w:sz w:val="20"/>
              </w:rPr>
              <w:t>Phase 4: hat algebra counterfactual solver (Redding 2017)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/>
                <w:sz w:val="20"/>
              </w:rPr>
              <w:t>src/collect_results.py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sz w:val="20"/>
              </w:rPr>
              <w:t>Aggregates per-country results into summary CSVs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rFonts w:ascii="Arial" w:hAnsi="Arial"/>
                <w:sz w:val="20"/>
              </w:rPr>
              <w:t>src/price_elasticity.py</w:t>
            </w:r>
          </w:p>
        </w:tc>
        <w:tc>
          <w:tcPr>
            <w:tcW w:type="dxa" w:w="4320"/>
            <w:shd w:val="clear" w:color="auto" w:fill="E8F0FE"/>
          </w:tcPr>
          <w:p>
            <w:r/>
            <w:r>
              <w:rPr>
                <w:rFonts w:ascii="Arial" w:hAnsi="Arial"/>
                <w:sz w:val="20"/>
              </w:rPr>
              <w:t>Distance elasticity estimation from food price data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/>
                <w:sz w:val="20"/>
              </w:rPr>
              <w:t>src/sensitivity_sigma_c.py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sz w:val="20"/>
              </w:rPr>
              <w:t>Parameter sensitivity (sigma x c grid)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rFonts w:ascii="Arial" w:hAnsi="Arial"/>
                <w:sz w:val="20"/>
              </w:rPr>
              <w:t>src/validate_surface.py</w:t>
            </w:r>
          </w:p>
        </w:tc>
        <w:tc>
          <w:tcPr>
            <w:tcW w:type="dxa" w:w="4320"/>
            <w:shd w:val="clear" w:color="auto" w:fill="E8F0FE"/>
          </w:tcPr>
          <w:p>
            <w:r/>
            <w:r>
              <w:rPr>
                <w:rFonts w:ascii="Arial" w:hAnsi="Arial"/>
                <w:sz w:val="20"/>
              </w:rPr>
              <w:t>OSM vs Liu et al. surface classification comparison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/>
                <w:sz w:val="20"/>
              </w:rPr>
              <w:t>src/build_country_registry.py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sz w:val="20"/>
              </w:rPr>
              <w:t>Generates master CSV from WDI API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rFonts w:ascii="Arial" w:hAnsi="Arial"/>
                <w:sz w:val="20"/>
              </w:rPr>
              <w:t>hpc/run_all.sh</w:t>
            </w:r>
          </w:p>
        </w:tc>
        <w:tc>
          <w:tcPr>
            <w:tcW w:type="dxa" w:w="4320"/>
            <w:shd w:val="clear" w:color="auto" w:fill="E8F0FE"/>
          </w:tcPr>
          <w:p>
            <w:r/>
            <w:r>
              <w:rPr>
                <w:rFonts w:ascii="Arial" w:hAnsi="Arial"/>
                <w:sz w:val="20"/>
              </w:rPr>
              <w:t>Slurm array job for parallel execution (48 countries)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Arial" w:hAnsi="Arial"/>
                <w:sz w:val="20"/>
              </w:rPr>
              <w:t>notebooks/01_graphs_and_algorithms.ipynb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sz w:val="20"/>
              </w:rPr>
              <w:t>Teaching: graphs, Dijkstra, trade costs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rFonts w:ascii="Arial" w:hAnsi="Arial"/>
                <w:sz w:val="20"/>
              </w:rPr>
              <w:t>notebooks/02_ge_model_math.ipynb</w:t>
            </w:r>
          </w:p>
        </w:tc>
        <w:tc>
          <w:tcPr>
            <w:tcW w:type="dxa" w:w="4320"/>
            <w:shd w:val="clear" w:color="auto" w:fill="E8F0FE"/>
          </w:tcPr>
          <w:p>
            <w:r/>
            <w:r>
              <w:rPr>
                <w:rFonts w:ascii="Arial" w:hAnsi="Arial"/>
                <w:sz w:val="20"/>
              </w:rPr>
              <w:t>Teaching: GE model, hat algebra, welfare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