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42A4E"/>
          <w:sz w:val="23"/>
        </w:rPr>
        <w:t>SOFTWARE TRIAL, LICENSING, DEPLOYMENT &amp; SUBSCRIPTION AGREEMENT</w:t>
      </w:r>
    </w:p>
    <w:p>
      <w:pPr>
        <w:spacing w:before="30" w:after="40" w:line="259" w:lineRule="auto"/>
        <w:jc w:val="both"/>
      </w:pPr>
      <w:r>
        <w:rPr>
          <w:rFonts w:ascii="Calibri" w:hAnsi="Calibri"/>
          <w:b/>
          <w:color w:val="1E232D"/>
          <w:sz w:val="17"/>
        </w:rPr>
        <w:t>THIS AGREEMENT</w:t>
      </w:r>
      <w:r>
        <w:rPr>
          <w:rFonts w:ascii="Calibri" w:hAnsi="Calibri"/>
          <w:color w:val="1E232D"/>
          <w:sz w:val="17"/>
        </w:rPr>
        <w:t xml:space="preserve"> is made on this </w:t>
      </w:r>
      <w:r>
        <w:rPr>
          <w:rFonts w:ascii="Calibri" w:hAnsi="Calibri"/>
          <w:b/>
          <w:color w:val="1E232D"/>
          <w:sz w:val="17"/>
        </w:rPr>
        <w:t>________ day of ____________________, 2026</w:t>
      </w:r>
      <w:r>
        <w:rPr>
          <w:rFonts w:ascii="Calibri" w:hAnsi="Calibri"/>
          <w:color w:val="1E232D"/>
          <w:sz w:val="17"/>
        </w:rPr>
        <w:t xml:space="preserve"> (</w:t>
      </w:r>
      <w:r>
        <w:rPr>
          <w:rFonts w:ascii="Calibri" w:hAnsi="Calibri"/>
          <w:b/>
          <w:color w:val="1E232D"/>
          <w:sz w:val="17"/>
        </w:rPr>
        <w:t>"Effective Date"</w:t>
      </w:r>
      <w:r>
        <w:rPr>
          <w:rFonts w:ascii="Calibri" w:hAnsi="Calibri"/>
          <w:color w:val="1E232D"/>
          <w:sz w:val="17"/>
        </w:rPr>
        <w:t xml:space="preserve">) </w:t>
      </w:r>
      <w:r>
        <w:rPr>
          <w:rFonts w:ascii="Calibri" w:hAnsi="Calibri"/>
          <w:b/>
          <w:color w:val="1E232D"/>
          <w:sz w:val="17"/>
        </w:rPr>
        <w:t>BETWEEN:</w:t>
      </w:r>
    </w:p>
    <w:p>
      <w:pPr>
        <w:spacing w:before="30" w:after="40" w:line="259" w:lineRule="auto"/>
        <w:jc w:val="both"/>
      </w:pPr>
      <w:r>
        <w:rPr>
          <w:rFonts w:ascii="Calibri" w:hAnsi="Calibri"/>
          <w:color w:val="1E232D"/>
          <w:sz w:val="17"/>
        </w:rPr>
        <w:t xml:space="preserve">1. </w:t>
      </w:r>
      <w:r>
        <w:rPr>
          <w:rFonts w:ascii="Calibri" w:hAnsi="Calibri"/>
          <w:b/>
          <w:color w:val="1E232D"/>
          <w:sz w:val="17"/>
        </w:rPr>
        <w:t>APEXLABS GLOBAL RESOURCES LIMITED</w:t>
      </w:r>
      <w:r>
        <w:rPr>
          <w:rFonts w:ascii="Calibri" w:hAnsi="Calibri"/>
          <w:color w:val="1E232D"/>
          <w:sz w:val="17"/>
        </w:rPr>
        <w:t xml:space="preserve"> (</w:t>
      </w:r>
      <w:r>
        <w:rPr>
          <w:rFonts w:ascii="Calibri" w:hAnsi="Calibri"/>
          <w:b/>
          <w:color w:val="1E232D"/>
          <w:sz w:val="17"/>
        </w:rPr>
        <w:t>RC: 9341285</w:t>
      </w:r>
      <w:r>
        <w:rPr>
          <w:rFonts w:ascii="Calibri" w:hAnsi="Calibri"/>
          <w:color w:val="1E232D"/>
          <w:sz w:val="17"/>
        </w:rPr>
        <w:t xml:space="preserve"> | </w:t>
      </w:r>
      <w:r>
        <w:rPr>
          <w:rFonts w:ascii="Calibri" w:hAnsi="Calibri"/>
          <w:b/>
          <w:color w:val="1E232D"/>
          <w:sz w:val="17"/>
        </w:rPr>
        <w:t>TIN: 2622485340557</w:t>
      </w:r>
      <w:r>
        <w:rPr>
          <w:rFonts w:ascii="Calibri" w:hAnsi="Calibri"/>
          <w:color w:val="1E232D"/>
          <w:sz w:val="17"/>
        </w:rPr>
        <w:t xml:space="preserve">), a company incorporated under the laws of the Federal Republic of Nigeria with its registered address at </w:t>
      </w:r>
      <w:r>
        <w:rPr>
          <w:rFonts w:ascii="Calibri" w:hAnsi="Calibri"/>
          <w:b/>
          <w:color w:val="1E232D"/>
          <w:sz w:val="17"/>
        </w:rPr>
        <w:t>33, Nurrudeen Street, Olayemi Bustop, Ayobo, Lagos State, Nigeria</w:t>
      </w:r>
      <w:r>
        <w:rPr>
          <w:rFonts w:ascii="Calibri" w:hAnsi="Calibri"/>
          <w:color w:val="1E232D"/>
          <w:sz w:val="17"/>
        </w:rPr>
        <w:t xml:space="preserve"> (</w:t>
      </w:r>
      <w:r>
        <w:rPr>
          <w:rFonts w:ascii="Calibri" w:hAnsi="Calibri"/>
          <w:b/>
          <w:color w:val="1E232D"/>
          <w:sz w:val="17"/>
        </w:rPr>
        <w:t>"Apexlabs"</w:t>
      </w:r>
      <w:r>
        <w:rPr>
          <w:rFonts w:ascii="Calibri" w:hAnsi="Calibri"/>
          <w:color w:val="1E232D"/>
          <w:sz w:val="17"/>
        </w:rPr>
        <w:t xml:space="preserve"> or </w:t>
      </w:r>
      <w:r>
        <w:rPr>
          <w:rFonts w:ascii="Calibri" w:hAnsi="Calibri"/>
          <w:b/>
          <w:color w:val="1E232D"/>
          <w:sz w:val="17"/>
        </w:rPr>
        <w:t>"Developer"</w:t>
      </w:r>
      <w:r>
        <w:rPr>
          <w:rFonts w:ascii="Calibri" w:hAnsi="Calibri"/>
          <w:color w:val="1E232D"/>
          <w:sz w:val="17"/>
        </w:rPr>
        <w:t xml:space="preserve">); </w:t>
      </w:r>
      <w:r>
        <w:rPr>
          <w:rFonts w:ascii="Calibri" w:hAnsi="Calibri"/>
          <w:b/>
          <w:color w:val="1E232D"/>
          <w:sz w:val="17"/>
        </w:rPr>
        <w:t>AND</w:t>
      </w:r>
    </w:p>
    <w:p>
      <w:pPr>
        <w:spacing w:before="30" w:after="40" w:line="259" w:lineRule="auto"/>
        <w:jc w:val="both"/>
      </w:pPr>
      <w:r>
        <w:rPr>
          <w:rFonts w:ascii="Calibri" w:hAnsi="Calibri"/>
          <w:color w:val="1E232D"/>
          <w:sz w:val="17"/>
        </w:rPr>
        <w:t xml:space="preserve">2. </w:t>
      </w:r>
      <w:r>
        <w:rPr>
          <w:rFonts w:ascii="Calibri" w:hAnsi="Calibri"/>
          <w:b/>
          <w:color w:val="1E232D"/>
          <w:sz w:val="17"/>
        </w:rPr>
        <w:t>[INSERT PHARMACY REGISTERED NAME]</w:t>
      </w:r>
      <w:r>
        <w:rPr>
          <w:rFonts w:ascii="Calibri" w:hAnsi="Calibri"/>
          <w:color w:val="1E232D"/>
          <w:sz w:val="17"/>
        </w:rPr>
        <w:t xml:space="preserve"> (</w:t>
      </w:r>
      <w:r>
        <w:rPr>
          <w:rFonts w:ascii="Calibri" w:hAnsi="Calibri"/>
          <w:b/>
          <w:color w:val="1E232D"/>
          <w:sz w:val="17"/>
        </w:rPr>
        <w:t>RC/BN: [Insert Number]</w:t>
      </w:r>
      <w:r>
        <w:rPr>
          <w:rFonts w:ascii="Calibri" w:hAnsi="Calibri"/>
          <w:color w:val="1E232D"/>
          <w:sz w:val="17"/>
        </w:rPr>
        <w:t xml:space="preserve">), having its principal office at </w:t>
      </w:r>
      <w:r>
        <w:rPr>
          <w:rFonts w:ascii="Calibri" w:hAnsi="Calibri"/>
          <w:b/>
          <w:color w:val="1E232D"/>
          <w:sz w:val="17"/>
        </w:rPr>
        <w:t>[Insert Pharmacy Head Office Address]</w:t>
      </w:r>
      <w:r>
        <w:rPr>
          <w:rFonts w:ascii="Calibri" w:hAnsi="Calibri"/>
          <w:color w:val="1E232D"/>
          <w:sz w:val="17"/>
        </w:rPr>
        <w:t xml:space="preserve"> (</w:t>
      </w:r>
      <w:r>
        <w:rPr>
          <w:rFonts w:ascii="Calibri" w:hAnsi="Calibri"/>
          <w:b/>
          <w:color w:val="1E232D"/>
          <w:sz w:val="17"/>
        </w:rPr>
        <w:t>"Client"</w:t>
      </w:r>
      <w:r>
        <w:rPr>
          <w:rFonts w:ascii="Calibri" w:hAnsi="Calibri"/>
          <w:color w:val="1E232D"/>
          <w:sz w:val="17"/>
        </w:rPr>
        <w:t xml:space="preserve"> or </w:t>
      </w:r>
      <w:r>
        <w:rPr>
          <w:rFonts w:ascii="Calibri" w:hAnsi="Calibri"/>
          <w:b/>
          <w:color w:val="1E232D"/>
          <w:sz w:val="17"/>
        </w:rPr>
        <w:t>"Pharmacy"</w:t>
      </w:r>
      <w:r>
        <w:rPr>
          <w:rFonts w:ascii="Calibri" w:hAnsi="Calibri"/>
          <w:color w:val="1E232D"/>
          <w:sz w:val="17"/>
        </w:rPr>
        <w:t>).</w:t>
      </w:r>
    </w:p>
    <w:p>
      <w:pPr>
        <w:keepNext/>
        <w:spacing w:before="100" w:after="40"/>
        <w:pBdr>
          <w:bottom w:val="single" w:sz="4" w:space="1" w:color="2563EB"/>
        </w:pBdr>
      </w:pPr>
      <w:r>
        <w:rPr>
          <w:rFonts w:ascii="Calibri" w:hAnsi="Calibri"/>
          <w:b/>
          <w:color w:val="142A4E"/>
          <w:sz w:val="19"/>
        </w:rPr>
        <w:t>1. SOFTWARE LICENSE &amp; 5-BRANCH SCOPE</w:t>
      </w:r>
    </w:p>
    <w:p>
      <w:pPr>
        <w:spacing w:before="30" w:after="40" w:line="259" w:lineRule="auto"/>
        <w:jc w:val="both"/>
      </w:pPr>
      <w:r>
        <w:rPr>
          <w:rFonts w:ascii="Calibri" w:hAnsi="Calibri"/>
          <w:color w:val="1E232D"/>
          <w:sz w:val="17"/>
        </w:rPr>
        <w:t xml:space="preserve">1.1 </w:t>
      </w:r>
      <w:r>
        <w:rPr>
          <w:rFonts w:ascii="Calibri" w:hAnsi="Calibri"/>
          <w:b/>
          <w:color w:val="1E232D"/>
          <w:sz w:val="17"/>
        </w:rPr>
        <w:t>Grant of License:</w:t>
      </w:r>
      <w:r>
        <w:rPr>
          <w:rFonts w:ascii="Calibri" w:hAnsi="Calibri"/>
          <w:color w:val="1E232D"/>
          <w:sz w:val="17"/>
        </w:rPr>
        <w:t xml:space="preserve"> Subject to the terms of this Agreement, Apexlabs grants the Pharmacy a </w:t>
      </w:r>
      <w:r>
        <w:rPr>
          <w:rFonts w:ascii="Calibri" w:hAnsi="Calibri"/>
          <w:b/>
          <w:color w:val="1E232D"/>
          <w:sz w:val="17"/>
        </w:rPr>
        <w:t>non-exclusive, non-transferable, revocable commercial license</w:t>
      </w:r>
      <w:r>
        <w:rPr>
          <w:rFonts w:ascii="Calibri" w:hAnsi="Calibri"/>
          <w:color w:val="1E232D"/>
          <w:sz w:val="17"/>
        </w:rPr>
        <w:t xml:space="preserve"> to use the proprietary offline-first </w:t>
      </w:r>
      <w:r>
        <w:rPr>
          <w:rFonts w:ascii="Calibri" w:hAnsi="Calibri"/>
          <w:b/>
          <w:color w:val="1E232D"/>
          <w:sz w:val="17"/>
        </w:rPr>
        <w:t>Pharmacy Management System</w:t>
      </w:r>
      <w:r>
        <w:rPr>
          <w:rFonts w:ascii="Calibri" w:hAnsi="Calibri"/>
          <w:color w:val="1E232D"/>
          <w:sz w:val="17"/>
        </w:rPr>
        <w:t xml:space="preserve"> (the </w:t>
      </w:r>
      <w:r>
        <w:rPr>
          <w:rFonts w:ascii="Calibri" w:hAnsi="Calibri"/>
          <w:b/>
          <w:color w:val="1E232D"/>
          <w:sz w:val="17"/>
        </w:rPr>
        <w:t>"Software"</w:t>
      </w:r>
      <w:r>
        <w:rPr>
          <w:rFonts w:ascii="Calibri" w:hAnsi="Calibri"/>
          <w:color w:val="1E232D"/>
          <w:sz w:val="17"/>
        </w:rPr>
        <w:t xml:space="preserve">) solely for the Pharmacy's internal operations across up to </w:t>
      </w:r>
      <w:r>
        <w:rPr>
          <w:rFonts w:ascii="Calibri" w:hAnsi="Calibri"/>
          <w:b/>
          <w:color w:val="1E232D"/>
          <w:sz w:val="17"/>
        </w:rPr>
        <w:t>five (5) Authorized Branches</w:t>
      </w:r>
      <w:r>
        <w:rPr>
          <w:rFonts w:ascii="Calibri" w:hAnsi="Calibri"/>
          <w:color w:val="1E232D"/>
          <w:sz w:val="17"/>
        </w:rPr>
        <w:t xml:space="preserve"> listed in the Schedule below.</w:t>
      </w:r>
    </w:p>
    <w:p>
      <w:pPr>
        <w:spacing w:before="30" w:after="40" w:line="259" w:lineRule="auto"/>
        <w:jc w:val="both"/>
      </w:pPr>
      <w:r>
        <w:rPr>
          <w:rFonts w:ascii="Calibri" w:hAnsi="Calibri"/>
          <w:color w:val="1E232D"/>
          <w:sz w:val="17"/>
        </w:rPr>
        <w:t xml:space="preserve">1.2 </w:t>
      </w:r>
      <w:r>
        <w:rPr>
          <w:rFonts w:ascii="Calibri" w:hAnsi="Calibri"/>
          <w:b/>
          <w:color w:val="1E232D"/>
          <w:sz w:val="17"/>
        </w:rPr>
        <w:t>License, Not Sale:</w:t>
      </w:r>
      <w:r>
        <w:rPr>
          <w:rFonts w:ascii="Calibri" w:hAnsi="Calibri"/>
          <w:color w:val="1E232D"/>
          <w:sz w:val="17"/>
        </w:rPr>
        <w:t xml:space="preserve"> The Software is </w:t>
      </w:r>
      <w:r>
        <w:rPr>
          <w:rFonts w:ascii="Calibri" w:hAnsi="Calibri"/>
          <w:b/>
          <w:color w:val="1E232D"/>
          <w:sz w:val="17"/>
        </w:rPr>
        <w:t>licensed, not sold</w:t>
      </w:r>
      <w:r>
        <w:rPr>
          <w:rFonts w:ascii="Calibri" w:hAnsi="Calibri"/>
          <w:color w:val="1E232D"/>
          <w:sz w:val="17"/>
        </w:rPr>
        <w:t>. Paying the deployment and subscription fees grants the right to use the Software and does not transfer ownership of the Software or its source code. Deploying the Software to any additional branch beyond the initial five (5) branches requires written authorization and an additional branch fee.</w:t>
      </w:r>
    </w:p>
    <w:p>
      <w:pPr>
        <w:keepNext/>
        <w:spacing w:before="100" w:after="40"/>
        <w:pBdr>
          <w:bottom w:val="single" w:sz="4" w:space="1" w:color="2563EB"/>
        </w:pBdr>
      </w:pPr>
      <w:r>
        <w:rPr>
          <w:rFonts w:ascii="Calibri" w:hAnsi="Calibri"/>
          <w:b/>
          <w:color w:val="142A4E"/>
          <w:sz w:val="19"/>
        </w:rPr>
        <w:t>2. SOFTWARE OWNERSHIP vs. PHARMACY DATA OWNERSHIP</w:t>
      </w:r>
    </w:p>
    <w:p>
      <w:pPr>
        <w:spacing w:before="30" w:after="40" w:line="259" w:lineRule="auto"/>
        <w:jc w:val="both"/>
      </w:pPr>
      <w:r>
        <w:rPr>
          <w:rFonts w:ascii="Calibri" w:hAnsi="Calibri"/>
          <w:color w:val="1E232D"/>
          <w:sz w:val="17"/>
        </w:rPr>
        <w:t xml:space="preserve">2.1 </w:t>
      </w:r>
      <w:r>
        <w:rPr>
          <w:rFonts w:ascii="Calibri" w:hAnsi="Calibri"/>
          <w:b/>
          <w:color w:val="1E232D"/>
          <w:sz w:val="17"/>
        </w:rPr>
        <w:t>Apexlabs Owns the Software:</w:t>
      </w:r>
      <w:r>
        <w:rPr>
          <w:rFonts w:ascii="Calibri" w:hAnsi="Calibri"/>
          <w:color w:val="1E232D"/>
          <w:sz w:val="17"/>
        </w:rPr>
        <w:t xml:space="preserve"> Apexlabs retains 100% ownership of all Intellectual Property Rights in the Software, including all desktop and server source code, database schemas, offline synchronization engine, UI/UX design, documentation, and updates. The Pharmacy shall not copy, resell, sublicense, reverse engineer, decompile, or tamper with the Software's licensing or audit mechanisms, nor use it to build a competing product.</w:t>
      </w:r>
    </w:p>
    <w:p>
      <w:pPr>
        <w:spacing w:before="30" w:after="40" w:line="259" w:lineRule="auto"/>
        <w:jc w:val="both"/>
      </w:pPr>
      <w:r>
        <w:rPr>
          <w:rFonts w:ascii="Calibri" w:hAnsi="Calibri"/>
          <w:color w:val="1E232D"/>
          <w:sz w:val="17"/>
        </w:rPr>
        <w:t xml:space="preserve">2.2 </w:t>
      </w:r>
      <w:r>
        <w:rPr>
          <w:rFonts w:ascii="Calibri" w:hAnsi="Calibri"/>
          <w:b/>
          <w:color w:val="1E232D"/>
          <w:sz w:val="17"/>
        </w:rPr>
        <w:t>The Pharmacy Owns Its Business Data:</w:t>
      </w:r>
      <w:r>
        <w:rPr>
          <w:rFonts w:ascii="Calibri" w:hAnsi="Calibri"/>
          <w:color w:val="1E232D"/>
          <w:sz w:val="17"/>
        </w:rPr>
        <w:t xml:space="preserve"> The Pharmacy retains </w:t>
      </w:r>
      <w:r>
        <w:rPr>
          <w:rFonts w:ascii="Calibri" w:hAnsi="Calibri"/>
          <w:b/>
          <w:color w:val="1E232D"/>
          <w:sz w:val="17"/>
        </w:rPr>
        <w:t>100% ownership of all Client Data</w:t>
      </w:r>
      <w:r>
        <w:rPr>
          <w:rFonts w:ascii="Calibri" w:hAnsi="Calibri"/>
          <w:color w:val="1E232D"/>
          <w:sz w:val="17"/>
        </w:rPr>
        <w:t xml:space="preserve"> entered or generated in the Software (including product lists, batch/expiry records, stock levels, pricing, sales transactions, supplier details, financial reports, and staff audit logs). Apexlabs claims no ownership over any Pharmacy business records.</w:t>
      </w:r>
    </w:p>
    <w:p>
      <w:pPr>
        <w:keepNext/>
        <w:spacing w:before="100" w:after="40"/>
        <w:pBdr>
          <w:bottom w:val="single" w:sz="4" w:space="1" w:color="2563EB"/>
        </w:pBdr>
      </w:pPr>
      <w:r>
        <w:rPr>
          <w:rFonts w:ascii="Calibri" w:hAnsi="Calibri"/>
          <w:b/>
          <w:color w:val="142A4E"/>
          <w:sz w:val="19"/>
        </w:rPr>
        <w:t>3. TRIAL PERIOD, FEES &amp; SUBSCRIPTION TERMS</w:t>
      </w:r>
    </w:p>
    <w:tbl>
      <w:tblPr>
        <w:tblStyle w:val="TableGrid"/>
        <w:tblW w:type="auto" w:w="0"/>
        <w:jc w:val="center"/>
        <w:tblLook w:firstColumn="1" w:firstRow="1" w:lastColumn="0" w:lastRow="0" w:noHBand="0" w:noVBand="1" w:val="04A0"/>
      </w:tblPr>
      <w:tblGrid>
        <w:gridCol w:w="3441"/>
        <w:gridCol w:w="3441"/>
        <w:gridCol w:w="3441"/>
      </w:tblGrid>
      <w:tr>
        <w:tc>
          <w:tcPr>
            <w:tcW w:type="dxa" w:w="3441"/>
            <w:tcMar>
              <w:top w:w="35" w:type="dxa"/>
              <w:bottom w:w="35" w:type="dxa"/>
              <w:left w:w="70" w:type="dxa"/>
              <w:right w:w="70" w:type="dxa"/>
            </w:tcMar>
            <w:vAlign w:val="center"/>
            <w:shd w:fill="142A4E"/>
          </w:tcPr>
          <w:p>
            <w:pPr>
              <w:spacing w:before="20" w:after="20"/>
            </w:pPr>
            <w:r>
              <w:rPr>
                <w:rFonts w:ascii="Calibri" w:hAnsi="Calibri"/>
                <w:b/>
                <w:color w:val="FFFFFF"/>
                <w:sz w:val="16"/>
              </w:rPr>
              <w:t>Fee Component</w:t>
            </w:r>
          </w:p>
        </w:tc>
        <w:tc>
          <w:tcPr>
            <w:tcW w:type="dxa" w:w="3441"/>
            <w:tcMar>
              <w:top w:w="35" w:type="dxa"/>
              <w:bottom w:w="35" w:type="dxa"/>
              <w:left w:w="70" w:type="dxa"/>
              <w:right w:w="70" w:type="dxa"/>
            </w:tcMar>
            <w:vAlign w:val="center"/>
            <w:shd w:fill="142A4E"/>
          </w:tcPr>
          <w:p>
            <w:pPr>
              <w:spacing w:before="20" w:after="20"/>
            </w:pPr>
            <w:r>
              <w:rPr>
                <w:rFonts w:ascii="Calibri" w:hAnsi="Calibri"/>
                <w:b/>
                <w:color w:val="FFFFFF"/>
                <w:sz w:val="16"/>
              </w:rPr>
              <w:t>Amount (NGN)</w:t>
            </w:r>
          </w:p>
        </w:tc>
        <w:tc>
          <w:tcPr>
            <w:tcW w:type="dxa" w:w="3441"/>
            <w:tcMar>
              <w:top w:w="35" w:type="dxa"/>
              <w:bottom w:w="35" w:type="dxa"/>
              <w:left w:w="70" w:type="dxa"/>
              <w:right w:w="70" w:type="dxa"/>
            </w:tcMar>
            <w:vAlign w:val="center"/>
            <w:shd w:fill="142A4E"/>
          </w:tcPr>
          <w:p>
            <w:pPr>
              <w:spacing w:before="20" w:after="20"/>
            </w:pPr>
            <w:r>
              <w:rPr>
                <w:rFonts w:ascii="Calibri" w:hAnsi="Calibri"/>
                <w:b/>
                <w:color w:val="FFFFFF"/>
                <w:sz w:val="16"/>
              </w:rPr>
              <w:t>Scope &amp; Payment Terms</w:t>
            </w:r>
          </w:p>
        </w:tc>
      </w:tr>
      <w:tr>
        <w:tc>
          <w:tcPr>
            <w:tcW w:type="dxa" w:w="3441"/>
            <w:tcMar>
              <w:top w:w="35" w:type="dxa"/>
              <w:bottom w:w="35" w:type="dxa"/>
              <w:left w:w="70" w:type="dxa"/>
              <w:right w:w="70" w:type="dxa"/>
            </w:tcMar>
            <w:vAlign w:val="center"/>
          </w:tcPr>
          <w:p>
            <w:pPr>
              <w:spacing w:before="20" w:after="20"/>
            </w:pPr>
            <w:r>
              <w:rPr>
                <w:rFonts w:ascii="Calibri" w:hAnsi="Calibri"/>
                <w:b/>
                <w:color w:val="1E232D"/>
                <w:sz w:val="16"/>
              </w:rPr>
              <w:t>2-Month Trial Period</w:t>
            </w:r>
          </w:p>
        </w:tc>
        <w:tc>
          <w:tcPr>
            <w:tcW w:type="dxa" w:w="3441"/>
            <w:tcMar>
              <w:top w:w="35" w:type="dxa"/>
              <w:bottom w:w="35" w:type="dxa"/>
              <w:left w:w="70" w:type="dxa"/>
              <w:right w:w="70" w:type="dxa"/>
            </w:tcMar>
            <w:vAlign w:val="center"/>
          </w:tcPr>
          <w:p>
            <w:pPr>
              <w:spacing w:before="20" w:after="20"/>
            </w:pPr>
            <w:r>
              <w:rPr>
                <w:rFonts w:ascii="Calibri" w:hAnsi="Calibri"/>
                <w:b/>
                <w:color w:val="1E232D"/>
                <w:sz w:val="16"/>
              </w:rPr>
              <w:t>₦0.00 / month</w:t>
            </w:r>
            <w:r>
              <w:rPr>
                <w:rFonts w:ascii="Calibri" w:hAnsi="Calibri"/>
                <w:color w:val="1E232D"/>
                <w:sz w:val="16"/>
              </w:rPr>
              <w:t xml:space="preserve"> </w:t>
            </w:r>
            <w:r>
              <w:rPr>
                <w:rFonts w:ascii="Calibri" w:hAnsi="Calibri"/>
                <w:i/>
                <w:color w:val="1E232D"/>
                <w:sz w:val="16"/>
              </w:rPr>
              <w:t>(Subscription waived)</w:t>
            </w:r>
          </w:p>
        </w:tc>
        <w:tc>
          <w:tcPr>
            <w:tcW w:type="dxa" w:w="3441"/>
            <w:tcMar>
              <w:top w:w="35" w:type="dxa"/>
              <w:bottom w:w="35" w:type="dxa"/>
              <w:left w:w="70" w:type="dxa"/>
              <w:right w:w="70" w:type="dxa"/>
            </w:tcMar>
            <w:vAlign w:val="center"/>
          </w:tcPr>
          <w:p>
            <w:pPr>
              <w:spacing w:before="20" w:after="20"/>
            </w:pPr>
            <w:r>
              <w:rPr>
                <w:rFonts w:ascii="Calibri" w:hAnsi="Calibri"/>
                <w:b/>
                <w:color w:val="1E232D"/>
                <w:sz w:val="16"/>
              </w:rPr>
              <w:t>2 Calendar Months</w:t>
            </w:r>
            <w:r>
              <w:rPr>
                <w:rFonts w:ascii="Calibri" w:hAnsi="Calibri"/>
                <w:color w:val="1E232D"/>
                <w:sz w:val="16"/>
              </w:rPr>
              <w:t xml:space="preserve"> ([Start Date] to [End Date]) to evaluate POS billing, inventory/expiry tracking, staff accounts, audit logs, and offline sync.</w:t>
            </w:r>
          </w:p>
        </w:tc>
      </w:tr>
      <w:tr>
        <w:tc>
          <w:tcPr>
            <w:tcW w:type="dxa" w:w="3441"/>
            <w:tcMar>
              <w:top w:w="35" w:type="dxa"/>
              <w:bottom w:w="35" w:type="dxa"/>
              <w:left w:w="70" w:type="dxa"/>
              <w:right w:w="70" w:type="dxa"/>
            </w:tcMar>
            <w:vAlign w:val="center"/>
            <w:shd w:fill="F4F7FB"/>
          </w:tcPr>
          <w:p>
            <w:pPr>
              <w:spacing w:before="20" w:after="20"/>
            </w:pPr>
            <w:r>
              <w:rPr>
                <w:rFonts w:ascii="Calibri" w:hAnsi="Calibri"/>
                <w:b/>
                <w:color w:val="1E232D"/>
                <w:sz w:val="16"/>
              </w:rPr>
              <w:t>Initial Production Deployment Fee</w:t>
            </w:r>
          </w:p>
        </w:tc>
        <w:tc>
          <w:tcPr>
            <w:tcW w:type="dxa" w:w="3441"/>
            <w:tcMar>
              <w:top w:w="35" w:type="dxa"/>
              <w:bottom w:w="35" w:type="dxa"/>
              <w:left w:w="70" w:type="dxa"/>
              <w:right w:w="70" w:type="dxa"/>
            </w:tcMar>
            <w:vAlign w:val="center"/>
            <w:shd w:fill="F4F7FB"/>
          </w:tcPr>
          <w:p>
            <w:pPr>
              <w:spacing w:before="20" w:after="20"/>
            </w:pPr>
            <w:r>
              <w:rPr>
                <w:rFonts w:ascii="Calibri" w:hAnsi="Calibri"/>
                <w:b/>
                <w:color w:val="1E232D"/>
                <w:sz w:val="16"/>
              </w:rPr>
              <w:t>₦500,000.00</w:t>
            </w:r>
            <w:r>
              <w:rPr>
                <w:rFonts w:ascii="Calibri" w:hAnsi="Calibri"/>
                <w:color w:val="1E232D"/>
                <w:sz w:val="16"/>
              </w:rPr>
              <w:t xml:space="preserve"> </w:t>
            </w:r>
            <w:r>
              <w:rPr>
                <w:rFonts w:ascii="Calibri" w:hAnsi="Calibri"/>
                <w:i/>
                <w:color w:val="1E232D"/>
                <w:sz w:val="16"/>
              </w:rPr>
              <w:t>(One-Time Fee)</w:t>
            </w:r>
          </w:p>
        </w:tc>
        <w:tc>
          <w:tcPr>
            <w:tcW w:type="dxa" w:w="3441"/>
            <w:tcMar>
              <w:top w:w="35" w:type="dxa"/>
              <w:bottom w:w="35" w:type="dxa"/>
              <w:left w:w="70" w:type="dxa"/>
              <w:right w:w="70" w:type="dxa"/>
            </w:tcMar>
            <w:vAlign w:val="center"/>
            <w:shd w:fill="F4F7FB"/>
          </w:tcPr>
          <w:p>
            <w:pPr>
              <w:spacing w:before="20" w:after="20"/>
            </w:pPr>
            <w:r>
              <w:rPr>
                <w:rFonts w:ascii="Calibri" w:hAnsi="Calibri"/>
                <w:color w:val="1E232D"/>
                <w:sz w:val="16"/>
              </w:rPr>
              <w:t xml:space="preserve">Covers cloud setup, 5-branch configuration, PC installation, initial product/inventory import (Excel/CSV), staff role setup, thermal printer/scanner setup, and initial staff training. </w:t>
            </w:r>
            <w:r>
              <w:rPr>
                <w:rFonts w:ascii="Calibri" w:hAnsi="Calibri"/>
                <w:b/>
                <w:color w:val="1E232D"/>
                <w:sz w:val="16"/>
              </w:rPr>
              <w:t>Non-refundable</w:t>
            </w:r>
            <w:r>
              <w:rPr>
                <w:rFonts w:ascii="Calibri" w:hAnsi="Calibri"/>
                <w:color w:val="1E232D"/>
                <w:sz w:val="16"/>
              </w:rPr>
              <w:t xml:space="preserve"> once deployed.</w:t>
            </w:r>
          </w:p>
        </w:tc>
      </w:tr>
      <w:tr>
        <w:tc>
          <w:tcPr>
            <w:tcW w:type="dxa" w:w="3441"/>
            <w:tcMar>
              <w:top w:w="35" w:type="dxa"/>
              <w:bottom w:w="35" w:type="dxa"/>
              <w:left w:w="70" w:type="dxa"/>
              <w:right w:w="70" w:type="dxa"/>
            </w:tcMar>
            <w:vAlign w:val="center"/>
          </w:tcPr>
          <w:p>
            <w:pPr>
              <w:spacing w:before="20" w:after="20"/>
            </w:pPr>
            <w:r>
              <w:rPr>
                <w:rFonts w:ascii="Calibri" w:hAnsi="Calibri"/>
                <w:b/>
                <w:color w:val="1E232D"/>
                <w:sz w:val="16"/>
              </w:rPr>
              <w:t>Monthly Subscription Fee (All 5 Branches Flat)</w:t>
            </w:r>
          </w:p>
        </w:tc>
        <w:tc>
          <w:tcPr>
            <w:tcW w:type="dxa" w:w="3441"/>
            <w:tcMar>
              <w:top w:w="35" w:type="dxa"/>
              <w:bottom w:w="35" w:type="dxa"/>
              <w:left w:w="70" w:type="dxa"/>
              <w:right w:w="70" w:type="dxa"/>
            </w:tcMar>
            <w:vAlign w:val="center"/>
          </w:tcPr>
          <w:p>
            <w:pPr>
              <w:spacing w:before="20" w:after="20"/>
            </w:pPr>
            <w:r>
              <w:rPr>
                <w:rFonts w:ascii="Calibri" w:hAnsi="Calibri"/>
                <w:b/>
                <w:color w:val="1E232D"/>
                <w:sz w:val="16"/>
              </w:rPr>
              <w:t>₦20,000.00 / month</w:t>
            </w:r>
            <w:r>
              <w:rPr>
                <w:rFonts w:ascii="Calibri" w:hAnsi="Calibri"/>
                <w:color w:val="1E232D"/>
                <w:sz w:val="16"/>
              </w:rPr>
              <w:t xml:space="preserve"> </w:t>
            </w:r>
            <w:r>
              <w:rPr>
                <w:rFonts w:ascii="Calibri" w:hAnsi="Calibri"/>
                <w:i/>
                <w:color w:val="1E232D"/>
                <w:sz w:val="16"/>
              </w:rPr>
              <w:t>(or ₦240,000/year)</w:t>
            </w:r>
          </w:p>
        </w:tc>
        <w:tc>
          <w:tcPr>
            <w:tcW w:type="dxa" w:w="3441"/>
            <w:tcMar>
              <w:top w:w="35" w:type="dxa"/>
              <w:bottom w:w="35" w:type="dxa"/>
              <w:left w:w="70" w:type="dxa"/>
              <w:right w:w="70" w:type="dxa"/>
            </w:tcMar>
            <w:vAlign w:val="center"/>
          </w:tcPr>
          <w:p>
            <w:pPr>
              <w:spacing w:before="20" w:after="20"/>
            </w:pPr>
            <w:r>
              <w:rPr>
                <w:rFonts w:ascii="Calibri" w:hAnsi="Calibri"/>
                <w:color w:val="1E232D"/>
                <w:sz w:val="16"/>
              </w:rPr>
              <w:t>Commences on [Subscription Start Date] after the 2-month trial. Covers the 5-branch software license, central cloud sync server, automated cloud backups, bug fixes/updates, and remote support.</w:t>
            </w:r>
          </w:p>
        </w:tc>
      </w:tr>
    </w:tbl>
    <w:p>
      <w:pPr>
        <w:spacing w:before="30" w:after="40" w:line="259" w:lineRule="auto"/>
        <w:jc w:val="both"/>
      </w:pPr>
      <w:r>
        <w:rPr>
          <w:rFonts w:ascii="Calibri" w:hAnsi="Calibri"/>
          <w:color w:val="1E232D"/>
          <w:sz w:val="17"/>
        </w:rPr>
        <w:t xml:space="preserve">3.1 </w:t>
      </w:r>
      <w:r>
        <w:rPr>
          <w:rFonts w:ascii="Calibri" w:hAnsi="Calibri"/>
          <w:b/>
          <w:color w:val="1E232D"/>
          <w:sz w:val="17"/>
        </w:rPr>
        <w:t>Exclusions from Monthly Fee:</w:t>
      </w:r>
      <w:r>
        <w:rPr>
          <w:rFonts w:ascii="Calibri" w:hAnsi="Calibri"/>
          <w:color w:val="1E232D"/>
          <w:sz w:val="17"/>
        </w:rPr>
        <w:t xml:space="preserve"> The flat </w:t>
      </w:r>
      <w:r>
        <w:rPr>
          <w:rFonts w:ascii="Calibri" w:hAnsi="Calibri"/>
          <w:b/>
          <w:color w:val="1E232D"/>
          <w:sz w:val="17"/>
        </w:rPr>
        <w:t>₦20,000/month</w:t>
      </w:r>
      <w:r>
        <w:rPr>
          <w:rFonts w:ascii="Calibri" w:hAnsi="Calibri"/>
          <w:color w:val="1E232D"/>
          <w:sz w:val="17"/>
        </w:rPr>
        <w:t xml:space="preserve"> subscription covers all 5 Authorized Branches combined, but </w:t>
      </w:r>
      <w:r>
        <w:rPr>
          <w:rFonts w:ascii="Calibri" w:hAnsi="Calibri"/>
          <w:b/>
          <w:color w:val="1E232D"/>
          <w:sz w:val="17"/>
        </w:rPr>
        <w:t>excludes</w:t>
      </w:r>
      <w:r>
        <w:rPr>
          <w:rFonts w:ascii="Calibri" w:hAnsi="Calibri"/>
          <w:color w:val="1E232D"/>
          <w:sz w:val="17"/>
        </w:rPr>
        <w:t>: (a) bespoke/custom new features requested specifically by the Pharmacy (quoted separately); (b) physical hardware (PCs, receipt printers, scanners, routers, UPS); (c) branch internet data/ISP plans; (d) third-party SMS/WhatsApp API charges; and (e) physical on-site visits outside initial onboarding for issues solvable remotely.</w:t>
      </w:r>
    </w:p>
    <w:p>
      <w:pPr>
        <w:spacing w:before="30" w:after="40" w:line="259" w:lineRule="auto"/>
        <w:jc w:val="both"/>
      </w:pPr>
      <w:r>
        <w:rPr>
          <w:rFonts w:ascii="Calibri" w:hAnsi="Calibri"/>
          <w:color w:val="1E232D"/>
          <w:sz w:val="17"/>
        </w:rPr>
        <w:t xml:space="preserve">3.2 </w:t>
      </w:r>
      <w:r>
        <w:rPr>
          <w:rFonts w:ascii="Calibri" w:hAnsi="Calibri"/>
          <w:b/>
          <w:color w:val="1E232D"/>
          <w:sz w:val="17"/>
        </w:rPr>
        <w:t>Payment &amp; Late Payment:</w:t>
      </w:r>
      <w:r>
        <w:rPr>
          <w:rFonts w:ascii="Calibri" w:hAnsi="Calibri"/>
          <w:color w:val="1E232D"/>
          <w:sz w:val="17"/>
        </w:rPr>
        <w:t xml:space="preserve"> Monthly subscriptions are payable in advance on or before the </w:t>
      </w:r>
      <w:r>
        <w:rPr>
          <w:rFonts w:ascii="Calibri" w:hAnsi="Calibri"/>
          <w:b/>
          <w:color w:val="1E232D"/>
          <w:sz w:val="17"/>
        </w:rPr>
        <w:t>5th day of each month</w:t>
      </w:r>
      <w:r>
        <w:rPr>
          <w:rFonts w:ascii="Calibri" w:hAnsi="Calibri"/>
          <w:color w:val="1E232D"/>
          <w:sz w:val="17"/>
        </w:rPr>
        <w:t xml:space="preserve"> into Apexlabs' corporate account (</w:t>
      </w:r>
      <w:r>
        <w:rPr>
          <w:rFonts w:ascii="Calibri" w:hAnsi="Calibri"/>
          <w:b/>
          <w:color w:val="1E232D"/>
          <w:sz w:val="17"/>
        </w:rPr>
        <w:t>Bank:</w:t>
      </w:r>
      <w:r>
        <w:rPr>
          <w:rFonts w:ascii="Calibri" w:hAnsi="Calibri"/>
          <w:color w:val="1E232D"/>
          <w:sz w:val="17"/>
        </w:rPr>
        <w:t xml:space="preserve"> [Insert Bank] | </w:t>
      </w:r>
      <w:r>
        <w:rPr>
          <w:rFonts w:ascii="Calibri" w:hAnsi="Calibri"/>
          <w:b/>
          <w:color w:val="1E232D"/>
          <w:sz w:val="17"/>
        </w:rPr>
        <w:t>Account Name:</w:t>
      </w:r>
      <w:r>
        <w:rPr>
          <w:rFonts w:ascii="Calibri" w:hAnsi="Calibri"/>
          <w:color w:val="1E232D"/>
          <w:sz w:val="17"/>
        </w:rPr>
        <w:t xml:space="preserve"> APEXLABS GLOBAL RESOURCES LIMITED | </w:t>
      </w:r>
      <w:r>
        <w:rPr>
          <w:rFonts w:ascii="Calibri" w:hAnsi="Calibri"/>
          <w:b/>
          <w:color w:val="1E232D"/>
          <w:sz w:val="17"/>
        </w:rPr>
        <w:t>Account No:</w:t>
      </w:r>
      <w:r>
        <w:rPr>
          <w:rFonts w:ascii="Calibri" w:hAnsi="Calibri"/>
          <w:color w:val="1E232D"/>
          <w:sz w:val="17"/>
        </w:rPr>
        <w:t xml:space="preserve"> [Insert NUBAN]). If payment remains overdue for more than </w:t>
      </w:r>
      <w:r>
        <w:rPr>
          <w:rFonts w:ascii="Calibri" w:hAnsi="Calibri"/>
          <w:b/>
          <w:color w:val="1E232D"/>
          <w:sz w:val="17"/>
        </w:rPr>
        <w:t>14 days</w:t>
      </w:r>
      <w:r>
        <w:rPr>
          <w:rFonts w:ascii="Calibri" w:hAnsi="Calibri"/>
          <w:color w:val="1E232D"/>
          <w:sz w:val="17"/>
        </w:rPr>
        <w:t xml:space="preserve"> after written reminder, Apexlabs may suspend central cloud synchronization, support, and license renewal until arrears are settled. Subscription rates are fixed for the first 12 months and may be reviewed annually thereafter with at least 30 days' written notice.</w:t>
      </w:r>
    </w:p>
    <w:p>
      <w:pPr>
        <w:keepNext/>
        <w:spacing w:before="100" w:after="40"/>
        <w:pBdr>
          <w:bottom w:val="single" w:sz="4" w:space="1" w:color="2563EB"/>
        </w:pBdr>
      </w:pPr>
      <w:r>
        <w:rPr>
          <w:rFonts w:ascii="Calibri" w:hAnsi="Calibri"/>
          <w:b/>
          <w:color w:val="142A4E"/>
          <w:sz w:val="19"/>
        </w:rPr>
        <w:t>4. OFFLINE-FIRST OPERATION, HARDWARE &amp; BACKUPS</w:t>
      </w:r>
    </w:p>
    <w:p>
      <w:pPr>
        <w:spacing w:before="30" w:after="40" w:line="259" w:lineRule="auto"/>
        <w:jc w:val="both"/>
      </w:pPr>
      <w:r>
        <w:rPr>
          <w:rFonts w:ascii="Calibri" w:hAnsi="Calibri"/>
          <w:color w:val="1E232D"/>
          <w:sz w:val="17"/>
        </w:rPr>
        <w:t xml:space="preserve">4.1 </w:t>
      </w:r>
      <w:r>
        <w:rPr>
          <w:rFonts w:ascii="Calibri" w:hAnsi="Calibri"/>
          <w:b/>
          <w:color w:val="1E232D"/>
          <w:sz w:val="17"/>
        </w:rPr>
        <w:t>Offline-First Synchronization:</w:t>
      </w:r>
      <w:r>
        <w:rPr>
          <w:rFonts w:ascii="Calibri" w:hAnsi="Calibri"/>
          <w:color w:val="1E232D"/>
          <w:sz w:val="17"/>
        </w:rPr>
        <w:t xml:space="preserve"> Each branch desktop app operates locally (SQLite) when internet is unavailable—recording sales, printing receipts, updating local stock, and logging actions—and automatically synchronizes with the central server once internet connectivity returns.</w:t>
      </w:r>
    </w:p>
    <w:p>
      <w:pPr>
        <w:spacing w:before="30" w:after="40" w:line="259" w:lineRule="auto"/>
        <w:jc w:val="both"/>
      </w:pPr>
      <w:r>
        <w:rPr>
          <w:rFonts w:ascii="Calibri" w:hAnsi="Calibri"/>
          <w:color w:val="1E232D"/>
          <w:sz w:val="17"/>
        </w:rPr>
        <w:t xml:space="preserve">4.2 </w:t>
      </w:r>
      <w:r>
        <w:rPr>
          <w:rFonts w:ascii="Calibri" w:hAnsi="Calibri"/>
          <w:b/>
          <w:color w:val="1E232D"/>
          <w:sz w:val="17"/>
        </w:rPr>
        <w:t>Offline Conditions &amp; Local Data Care:</w:t>
      </w:r>
      <w:r>
        <w:rPr>
          <w:rFonts w:ascii="Calibri" w:hAnsi="Calibri"/>
          <w:color w:val="1E232D"/>
          <w:sz w:val="17"/>
        </w:rPr>
        <w:t xml:space="preserve"> The Pharmacy acknowledges that: (a) offline branch transactions will only appear at Head Office or other branches once that branch connects to the internet and syncs; (b) staff must not alter Windows system clocks; and (c) </w:t>
      </w:r>
      <w:r>
        <w:rPr>
          <w:rFonts w:ascii="Calibri" w:hAnsi="Calibri"/>
          <w:b/>
          <w:color w:val="1E232D"/>
          <w:sz w:val="17"/>
        </w:rPr>
        <w:t>unsynchronized offline records reside solely on the local branch PC</w:t>
      </w:r>
      <w:r>
        <w:rPr>
          <w:rFonts w:ascii="Calibri" w:hAnsi="Calibri"/>
          <w:color w:val="1E232D"/>
          <w:sz w:val="17"/>
        </w:rPr>
        <w:t xml:space="preserve"> until synced. While Apexlabs maintains automated cloud backups of all </w:t>
      </w:r>
      <w:r>
        <w:rPr>
          <w:rFonts w:ascii="Calibri" w:hAnsi="Calibri"/>
          <w:b/>
          <w:color w:val="1E232D"/>
          <w:sz w:val="17"/>
        </w:rPr>
        <w:t>synchronized</w:t>
      </w:r>
      <w:r>
        <w:rPr>
          <w:rFonts w:ascii="Calibri" w:hAnsi="Calibri"/>
          <w:color w:val="1E232D"/>
          <w:sz w:val="17"/>
        </w:rPr>
        <w:t xml:space="preserve"> data, Apexlabs is not liable for unsynchronized local transactions lost if a branch stays offline and its PC hard drive crashes, is formatted, or is stolen before syncing. Each branch must connect to the internet to sync </w:t>
      </w:r>
      <w:r>
        <w:rPr>
          <w:rFonts w:ascii="Calibri" w:hAnsi="Calibri"/>
          <w:b/>
          <w:color w:val="1E232D"/>
          <w:sz w:val="17"/>
        </w:rPr>
        <w:t>at least once daily</w:t>
      </w:r>
      <w:r>
        <w:rPr>
          <w:rFonts w:ascii="Calibri" w:hAnsi="Calibri"/>
          <w:color w:val="1E232D"/>
          <w:sz w:val="17"/>
        </w:rPr>
        <w:t>.</w:t>
      </w:r>
    </w:p>
    <w:p>
      <w:pPr>
        <w:spacing w:before="30" w:after="40" w:line="259" w:lineRule="auto"/>
        <w:jc w:val="both"/>
      </w:pPr>
      <w:r>
        <w:rPr>
          <w:rFonts w:ascii="Calibri" w:hAnsi="Calibri"/>
          <w:color w:val="1E232D"/>
          <w:sz w:val="17"/>
        </w:rPr>
        <w:t xml:space="preserve">4.3 </w:t>
      </w:r>
      <w:r>
        <w:rPr>
          <w:rFonts w:ascii="Calibri" w:hAnsi="Calibri"/>
          <w:b/>
          <w:color w:val="1E232D"/>
          <w:sz w:val="17"/>
        </w:rPr>
        <w:t>Hardware Responsibility:</w:t>
      </w:r>
      <w:r>
        <w:rPr>
          <w:rFonts w:ascii="Calibri" w:hAnsi="Calibri"/>
          <w:color w:val="1E232D"/>
          <w:sz w:val="17"/>
        </w:rPr>
        <w:t xml:space="preserve"> The Pharmacy is responsible for maintaining compatible branch PCs (Windows 10/11, 8GB RAM, SSD recommended), working UPS power backup, thermal printers, barcode scanners, and internet data. Apexlabs provides up to two (2) free remote software re-installations per year if a branch replaces or formats a PC.</w:t>
      </w:r>
    </w:p>
    <w:p>
      <w:pPr>
        <w:keepNext/>
        <w:spacing w:before="100" w:after="40"/>
        <w:pBdr>
          <w:bottom w:val="single" w:sz="4" w:space="1" w:color="2563EB"/>
        </w:pBdr>
      </w:pPr>
      <w:r>
        <w:rPr>
          <w:rFonts w:ascii="Calibri" w:hAnsi="Calibri"/>
          <w:b/>
          <w:color w:val="142A4E"/>
          <w:sz w:val="19"/>
        </w:rPr>
        <w:t>5. CONFIDENTIALITY, STAFF SECURITY &amp; AUDIT LOGS</w:t>
      </w:r>
    </w:p>
    <w:p>
      <w:pPr>
        <w:spacing w:before="30" w:after="40" w:line="259" w:lineRule="auto"/>
        <w:jc w:val="both"/>
      </w:pPr>
      <w:r>
        <w:rPr>
          <w:rFonts w:ascii="Calibri" w:hAnsi="Calibri"/>
          <w:color w:val="1E232D"/>
          <w:sz w:val="17"/>
        </w:rPr>
        <w:t xml:space="preserve">5.1 </w:t>
      </w:r>
      <w:r>
        <w:rPr>
          <w:rFonts w:ascii="Calibri" w:hAnsi="Calibri"/>
          <w:b/>
          <w:color w:val="1E232D"/>
          <w:sz w:val="17"/>
        </w:rPr>
        <w:t>Confidentiality &amp; Data Protection (NDPA 2023):</w:t>
      </w:r>
      <w:r>
        <w:rPr>
          <w:rFonts w:ascii="Calibri" w:hAnsi="Calibri"/>
          <w:color w:val="1E232D"/>
          <w:sz w:val="17"/>
        </w:rPr>
        <w:t xml:space="preserve"> Apexlabs shall treat all Pharmacy sales, pricing, inventory, and financial data as strictly confidential, shall never disclose or sell Client Data to any third party or competitor, and shall process data strictly to provide and support the Software in compliance with the </w:t>
      </w:r>
      <w:r>
        <w:rPr>
          <w:rFonts w:ascii="Calibri" w:hAnsi="Calibri"/>
          <w:b/>
          <w:color w:val="1E232D"/>
          <w:sz w:val="17"/>
        </w:rPr>
        <w:t>Nigeria Data Protection Act (NDPA) 2023</w:t>
      </w:r>
      <w:r>
        <w:rPr>
          <w:rFonts w:ascii="Calibri" w:hAnsi="Calibri"/>
          <w:color w:val="1E232D"/>
          <w:sz w:val="17"/>
        </w:rPr>
        <w:t>.</w:t>
      </w:r>
    </w:p>
    <w:p>
      <w:pPr>
        <w:spacing w:before="30" w:after="40" w:line="259" w:lineRule="auto"/>
        <w:jc w:val="both"/>
      </w:pPr>
      <w:r>
        <w:rPr>
          <w:rFonts w:ascii="Calibri" w:hAnsi="Calibri"/>
          <w:color w:val="1E232D"/>
          <w:sz w:val="17"/>
        </w:rPr>
        <w:t xml:space="preserve">5.2 </w:t>
      </w:r>
      <w:r>
        <w:rPr>
          <w:rFonts w:ascii="Calibri" w:hAnsi="Calibri"/>
          <w:b/>
          <w:color w:val="1E232D"/>
          <w:sz w:val="17"/>
        </w:rPr>
        <w:t>Staff Accounts &amp; Audit Trail:</w:t>
      </w:r>
      <w:r>
        <w:rPr>
          <w:rFonts w:ascii="Calibri" w:hAnsi="Calibri"/>
          <w:color w:val="1E232D"/>
          <w:sz w:val="17"/>
        </w:rPr>
        <w:t xml:space="preserve"> The Pharmacy is solely responsible for assigning staff roles, enforcing password secrecy, and immediately deactivating accounts of former staff. All actions taken under valid staff credentials are deemed authorized by the Pharmacy. The Software maintains an immutable </w:t>
      </w:r>
      <w:r>
        <w:rPr>
          <w:rFonts w:ascii="Calibri" w:hAnsi="Calibri"/>
          <w:b/>
          <w:color w:val="1E232D"/>
          <w:sz w:val="17"/>
        </w:rPr>
        <w:t>Audit Trail &amp; Inventory Ledger</w:t>
      </w:r>
      <w:r>
        <w:rPr>
          <w:rFonts w:ascii="Calibri" w:hAnsi="Calibri"/>
          <w:color w:val="1E232D"/>
          <w:sz w:val="17"/>
        </w:rPr>
        <w:t xml:space="preserve"> (recording logins, sales, voids, stock adjustments, and price edits), which the Pharmacy may freely inspect and export for internal auditing and investigations.</w:t>
      </w:r>
    </w:p>
    <w:p>
      <w:pPr>
        <w:keepNext/>
        <w:spacing w:before="100" w:after="40"/>
        <w:pBdr>
          <w:bottom w:val="single" w:sz="4" w:space="1" w:color="2563EB"/>
        </w:pBdr>
      </w:pPr>
      <w:r>
        <w:rPr>
          <w:rFonts w:ascii="Calibri" w:hAnsi="Calibri"/>
          <w:b/>
          <w:color w:val="142A4E"/>
          <w:sz w:val="19"/>
        </w:rPr>
        <w:t>6. REGULATORY DISCLAIMER &amp; LIMITATION OF LIABILITY</w:t>
      </w:r>
    </w:p>
    <w:p>
      <w:pPr>
        <w:spacing w:before="30" w:after="40" w:line="259" w:lineRule="auto"/>
        <w:jc w:val="both"/>
      </w:pPr>
      <w:r>
        <w:rPr>
          <w:rFonts w:ascii="Calibri" w:hAnsi="Calibri"/>
          <w:color w:val="1E232D"/>
          <w:sz w:val="17"/>
        </w:rPr>
        <w:t xml:space="preserve">6.1 </w:t>
      </w:r>
      <w:r>
        <w:rPr>
          <w:rFonts w:ascii="Calibri" w:hAnsi="Calibri"/>
          <w:b/>
          <w:color w:val="1E232D"/>
          <w:sz w:val="17"/>
        </w:rPr>
        <w:t>Regulatory Disclaimer:</w:t>
      </w:r>
      <w:r>
        <w:rPr>
          <w:rFonts w:ascii="Calibri" w:hAnsi="Calibri"/>
          <w:color w:val="1E232D"/>
          <w:sz w:val="17"/>
        </w:rPr>
        <w:t xml:space="preserve"> The Software is a commercial POS and inventory management tool and does not replace a licensed Pharmacist's clinical judgment. The Pharmacy remains solely responsible for complying with all </w:t>
      </w:r>
      <w:r>
        <w:rPr>
          <w:rFonts w:ascii="Calibri" w:hAnsi="Calibri"/>
          <w:b/>
          <w:color w:val="1E232D"/>
          <w:sz w:val="17"/>
        </w:rPr>
        <w:t>PCN, NAFDAC, NDLEA</w:t>
      </w:r>
      <w:r>
        <w:rPr>
          <w:rFonts w:ascii="Calibri" w:hAnsi="Calibri"/>
          <w:color w:val="1E232D"/>
          <w:sz w:val="17"/>
        </w:rPr>
        <w:t>, and tax regulations.</w:t>
      </w:r>
    </w:p>
    <w:p>
      <w:pPr>
        <w:spacing w:before="30" w:after="40" w:line="259" w:lineRule="auto"/>
        <w:jc w:val="both"/>
      </w:pPr>
      <w:r>
        <w:rPr>
          <w:rFonts w:ascii="Calibri" w:hAnsi="Calibri"/>
          <w:color w:val="1E232D"/>
          <w:sz w:val="17"/>
        </w:rPr>
        <w:t xml:space="preserve">6.2 </w:t>
      </w:r>
      <w:r>
        <w:rPr>
          <w:rFonts w:ascii="Calibri" w:hAnsi="Calibri"/>
          <w:b/>
          <w:color w:val="1E232D"/>
          <w:sz w:val="17"/>
        </w:rPr>
        <w:t>Limitation of Liability:</w:t>
      </w:r>
      <w:r>
        <w:rPr>
          <w:rFonts w:ascii="Calibri" w:hAnsi="Calibri"/>
          <w:color w:val="1E232D"/>
          <w:sz w:val="17"/>
        </w:rPr>
        <w:t xml:space="preserve"> Neither Party shall be liable for indirect or consequential losses, lost profits, employee theft, or stock shrinkage. Apexlabs' maximum aggregate liability under this Agreement shall not exceed the total Monthly Subscription Fees paid by the Pharmacy in the </w:t>
      </w:r>
      <w:r>
        <w:rPr>
          <w:rFonts w:ascii="Calibri" w:hAnsi="Calibri"/>
          <w:b/>
          <w:color w:val="1E232D"/>
          <w:sz w:val="17"/>
        </w:rPr>
        <w:t>six (6) months</w:t>
      </w:r>
      <w:r>
        <w:rPr>
          <w:rFonts w:ascii="Calibri" w:hAnsi="Calibri"/>
          <w:color w:val="1E232D"/>
          <w:sz w:val="17"/>
        </w:rPr>
        <w:t xml:space="preserve"> preceding the claim.</w:t>
      </w:r>
    </w:p>
    <w:p>
      <w:pPr>
        <w:keepNext/>
        <w:spacing w:before="100" w:after="40"/>
        <w:pBdr>
          <w:bottom w:val="single" w:sz="4" w:space="1" w:color="2563EB"/>
        </w:pBdr>
      </w:pPr>
      <w:r>
        <w:rPr>
          <w:rFonts w:ascii="Calibri" w:hAnsi="Calibri"/>
          <w:b/>
          <w:color w:val="142A4E"/>
          <w:sz w:val="19"/>
        </w:rPr>
        <w:t>7. TERMINATION, DATA EXPORT &amp; GOVERNING LAW</w:t>
      </w:r>
    </w:p>
    <w:p>
      <w:pPr>
        <w:spacing w:before="30" w:after="40" w:line="259" w:lineRule="auto"/>
        <w:jc w:val="both"/>
      </w:pPr>
      <w:r>
        <w:rPr>
          <w:rFonts w:ascii="Calibri" w:hAnsi="Calibri"/>
          <w:color w:val="1E232D"/>
          <w:sz w:val="17"/>
        </w:rPr>
        <w:t xml:space="preserve">7.1 </w:t>
      </w:r>
      <w:r>
        <w:rPr>
          <w:rFonts w:ascii="Calibri" w:hAnsi="Calibri"/>
          <w:b/>
          <w:color w:val="1E232D"/>
          <w:sz w:val="17"/>
        </w:rPr>
        <w:t>Termination:</w:t>
      </w:r>
      <w:r>
        <w:rPr>
          <w:rFonts w:ascii="Calibri" w:hAnsi="Calibri"/>
          <w:color w:val="1E232D"/>
          <w:sz w:val="17"/>
        </w:rPr>
        <w:t xml:space="preserve"> If the Pharmacy elects not to proceed at the end of the 2-Month Trial Period, it may terminate by written notice prior to trial expiration without further fee liability. Thereafter, either Party may terminate this Agreement upon </w:t>
      </w:r>
      <w:r>
        <w:rPr>
          <w:rFonts w:ascii="Calibri" w:hAnsi="Calibri"/>
          <w:b/>
          <w:color w:val="1E232D"/>
          <w:sz w:val="17"/>
        </w:rPr>
        <w:t>30 days' written notice</w:t>
      </w:r>
      <w:r>
        <w:rPr>
          <w:rFonts w:ascii="Calibri" w:hAnsi="Calibri"/>
          <w:color w:val="1E232D"/>
          <w:sz w:val="17"/>
        </w:rPr>
        <w:t xml:space="preserve"> (or </w:t>
      </w:r>
      <w:r>
        <w:rPr>
          <w:rFonts w:ascii="Calibri" w:hAnsi="Calibri"/>
          <w:b/>
          <w:color w:val="1E232D"/>
          <w:sz w:val="17"/>
        </w:rPr>
        <w:t>14 days' written notice</w:t>
      </w:r>
      <w:r>
        <w:rPr>
          <w:rFonts w:ascii="Calibri" w:hAnsi="Calibri"/>
          <w:color w:val="1E232D"/>
          <w:sz w:val="17"/>
        </w:rPr>
        <w:t xml:space="preserve"> for uncured material breach or non-payment exceeding 30 days).</w:t>
      </w:r>
    </w:p>
    <w:p>
      <w:pPr>
        <w:spacing w:before="30" w:after="40" w:line="259" w:lineRule="auto"/>
        <w:jc w:val="both"/>
      </w:pPr>
      <w:r>
        <w:rPr>
          <w:rFonts w:ascii="Calibri" w:hAnsi="Calibri"/>
          <w:color w:val="1E232D"/>
          <w:sz w:val="17"/>
        </w:rPr>
        <w:t xml:space="preserve">7.2 </w:t>
      </w:r>
      <w:r>
        <w:rPr>
          <w:rFonts w:ascii="Calibri" w:hAnsi="Calibri"/>
          <w:b/>
          <w:color w:val="1E232D"/>
          <w:sz w:val="17"/>
        </w:rPr>
        <w:t>Mandatory Data Export:</w:t>
      </w:r>
      <w:r>
        <w:rPr>
          <w:rFonts w:ascii="Calibri" w:hAnsi="Calibri"/>
          <w:color w:val="1E232D"/>
          <w:sz w:val="17"/>
        </w:rPr>
        <w:t xml:space="preserve"> Upon termination for any reason (subject to settlement of any undisputed accrued fees), all software licenses cease and Apexlabs shall, within </w:t>
      </w:r>
      <w:r>
        <w:rPr>
          <w:rFonts w:ascii="Calibri" w:hAnsi="Calibri"/>
          <w:b/>
          <w:color w:val="1E232D"/>
          <w:sz w:val="17"/>
        </w:rPr>
        <w:t>14 days</w:t>
      </w:r>
      <w:r>
        <w:rPr>
          <w:rFonts w:ascii="Calibri" w:hAnsi="Calibri"/>
          <w:color w:val="1E232D"/>
          <w:sz w:val="17"/>
        </w:rPr>
        <w:t xml:space="preserve">, provide the Pharmacy with a complete export of all synchronized </w:t>
      </w:r>
      <w:r>
        <w:rPr>
          <w:rFonts w:ascii="Calibri" w:hAnsi="Calibri"/>
          <w:b/>
          <w:color w:val="1E232D"/>
          <w:sz w:val="17"/>
        </w:rPr>
        <w:t>Client Data</w:t>
      </w:r>
      <w:r>
        <w:rPr>
          <w:rFonts w:ascii="Calibri" w:hAnsi="Calibri"/>
          <w:color w:val="1E232D"/>
          <w:sz w:val="17"/>
        </w:rPr>
        <w:t xml:space="preserve"> (products, stock balances, sales history, and audit logs) in standard </w:t>
      </w:r>
      <w:r>
        <w:rPr>
          <w:rFonts w:ascii="Calibri" w:hAnsi="Calibri"/>
          <w:b/>
          <w:color w:val="1E232D"/>
          <w:sz w:val="17"/>
        </w:rPr>
        <w:t>Microsoft Excel (.xlsx / .csv)</w:t>
      </w:r>
      <w:r>
        <w:rPr>
          <w:rFonts w:ascii="Calibri" w:hAnsi="Calibri"/>
          <w:color w:val="1E232D"/>
          <w:sz w:val="17"/>
        </w:rPr>
        <w:t xml:space="preserve"> format.</w:t>
      </w:r>
    </w:p>
    <w:p>
      <w:pPr>
        <w:spacing w:before="30" w:after="40" w:line="259" w:lineRule="auto"/>
        <w:jc w:val="both"/>
      </w:pPr>
      <w:r>
        <w:rPr>
          <w:rFonts w:ascii="Calibri" w:hAnsi="Calibri"/>
          <w:color w:val="1E232D"/>
          <w:sz w:val="17"/>
        </w:rPr>
        <w:t xml:space="preserve">7.3 </w:t>
      </w:r>
      <w:r>
        <w:rPr>
          <w:rFonts w:ascii="Calibri" w:hAnsi="Calibri"/>
          <w:b/>
          <w:color w:val="1E232D"/>
          <w:sz w:val="17"/>
        </w:rPr>
        <w:t>Governing Law &amp; Disputes:</w:t>
      </w:r>
      <w:r>
        <w:rPr>
          <w:rFonts w:ascii="Calibri" w:hAnsi="Calibri"/>
          <w:color w:val="1E232D"/>
          <w:sz w:val="17"/>
        </w:rPr>
        <w:t xml:space="preserve"> This Agreement constitutes the entire agreement between the Parties and is governed by the laws of the </w:t>
      </w:r>
      <w:r>
        <w:rPr>
          <w:rFonts w:ascii="Calibri" w:hAnsi="Calibri"/>
          <w:b/>
          <w:color w:val="1E232D"/>
          <w:sz w:val="17"/>
        </w:rPr>
        <w:t>Federal Republic of Nigeria</w:t>
      </w:r>
      <w:r>
        <w:rPr>
          <w:rFonts w:ascii="Calibri" w:hAnsi="Calibri"/>
          <w:color w:val="1E232D"/>
          <w:sz w:val="17"/>
        </w:rPr>
        <w:t xml:space="preserve">. Any dispute not resolved amicably within 14 days shall be referred to mediation at the </w:t>
      </w:r>
      <w:r>
        <w:rPr>
          <w:rFonts w:ascii="Calibri" w:hAnsi="Calibri"/>
          <w:b/>
          <w:color w:val="1E232D"/>
          <w:sz w:val="17"/>
        </w:rPr>
        <w:t>Lagos Multi-Door Courthouse (LMDC)</w:t>
      </w:r>
      <w:r>
        <w:rPr>
          <w:rFonts w:ascii="Calibri" w:hAnsi="Calibri"/>
          <w:color w:val="1E232D"/>
          <w:sz w:val="17"/>
        </w:rPr>
        <w:t xml:space="preserve"> under the </w:t>
      </w:r>
      <w:r>
        <w:rPr>
          <w:rFonts w:ascii="Calibri" w:hAnsi="Calibri"/>
          <w:b/>
          <w:color w:val="1E232D"/>
          <w:sz w:val="17"/>
        </w:rPr>
        <w:t>Arbitration and Mediation Act 2023</w:t>
      </w:r>
      <w:r>
        <w:rPr>
          <w:rFonts w:ascii="Calibri" w:hAnsi="Calibri"/>
          <w:color w:val="1E232D"/>
          <w:sz w:val="17"/>
        </w:rPr>
        <w:t xml:space="preserve">, failing which the courts of </w:t>
      </w:r>
      <w:r>
        <w:rPr>
          <w:rFonts w:ascii="Calibri" w:hAnsi="Calibri"/>
          <w:b/>
          <w:color w:val="1E232D"/>
          <w:sz w:val="17"/>
        </w:rPr>
        <w:t>Lagos State</w:t>
      </w:r>
      <w:r>
        <w:rPr>
          <w:rFonts w:ascii="Calibri" w:hAnsi="Calibri"/>
          <w:color w:val="1E232D"/>
          <w:sz w:val="17"/>
        </w:rPr>
        <w:t xml:space="preserve"> shall have jurisdiction.</w:t>
      </w:r>
    </w:p>
    <w:p>
      <w:pPr>
        <w:keepNext/>
        <w:spacing w:before="100" w:after="40"/>
        <w:pBdr>
          <w:bottom w:val="single" w:sz="4" w:space="1" w:color="2563EB"/>
        </w:pBdr>
      </w:pPr>
      <w:r>
        <w:rPr>
          <w:rFonts w:ascii="Calibri" w:hAnsi="Calibri"/>
          <w:b/>
          <w:color w:val="142A4E"/>
          <w:sz w:val="19"/>
        </w:rPr>
        <w:t>SCHEDULE OF 5 AUTHORIZED BRANCHES</w:t>
      </w:r>
    </w:p>
    <w:tbl>
      <w:tblPr>
        <w:tblStyle w:val="TableGrid"/>
        <w:tblW w:type="auto" w:w="0"/>
        <w:jc w:val="center"/>
        <w:tblLook w:firstColumn="1" w:firstRow="1" w:lastColumn="0" w:lastRow="0" w:noHBand="0" w:noVBand="1" w:val="04A0"/>
      </w:tblPr>
      <w:tblGrid>
        <w:gridCol w:w="2064"/>
        <w:gridCol w:w="2064"/>
        <w:gridCol w:w="2064"/>
        <w:gridCol w:w="2064"/>
        <w:gridCol w:w="2064"/>
      </w:tblGrid>
      <w:tr>
        <w:tc>
          <w:tcPr>
            <w:tcW w:type="dxa" w:w="2064"/>
            <w:tcMar>
              <w:top w:w="35" w:type="dxa"/>
              <w:bottom w:w="35" w:type="dxa"/>
              <w:left w:w="70" w:type="dxa"/>
              <w:right w:w="70" w:type="dxa"/>
            </w:tcMar>
            <w:vAlign w:val="center"/>
            <w:shd w:fill="142A4E"/>
          </w:tcPr>
          <w:p>
            <w:pPr>
              <w:spacing w:before="20" w:after="20"/>
            </w:pPr>
            <w:r>
              <w:rPr>
                <w:rFonts w:ascii="Calibri" w:hAnsi="Calibri"/>
                <w:b/>
                <w:color w:val="FFFFFF"/>
                <w:sz w:val="16"/>
              </w:rPr>
              <w:t>Branch #</w:t>
            </w:r>
          </w:p>
        </w:tc>
        <w:tc>
          <w:tcPr>
            <w:tcW w:type="dxa" w:w="2064"/>
            <w:tcMar>
              <w:top w:w="35" w:type="dxa"/>
              <w:bottom w:w="35" w:type="dxa"/>
              <w:left w:w="70" w:type="dxa"/>
              <w:right w:w="70" w:type="dxa"/>
            </w:tcMar>
            <w:vAlign w:val="center"/>
            <w:shd w:fill="142A4E"/>
          </w:tcPr>
          <w:p>
            <w:pPr>
              <w:spacing w:before="20" w:after="20"/>
            </w:pPr>
            <w:r>
              <w:rPr>
                <w:rFonts w:ascii="Calibri" w:hAnsi="Calibri"/>
                <w:b/>
                <w:color w:val="FFFFFF"/>
                <w:sz w:val="16"/>
              </w:rPr>
              <w:t>Branch Name</w:t>
            </w:r>
          </w:p>
        </w:tc>
        <w:tc>
          <w:tcPr>
            <w:tcW w:type="dxa" w:w="2064"/>
            <w:tcMar>
              <w:top w:w="35" w:type="dxa"/>
              <w:bottom w:w="35" w:type="dxa"/>
              <w:left w:w="70" w:type="dxa"/>
              <w:right w:w="70" w:type="dxa"/>
            </w:tcMar>
            <w:vAlign w:val="center"/>
            <w:shd w:fill="142A4E"/>
          </w:tcPr>
          <w:p>
            <w:pPr>
              <w:spacing w:before="20" w:after="20"/>
            </w:pPr>
            <w:r>
              <w:rPr>
                <w:rFonts w:ascii="Calibri" w:hAnsi="Calibri"/>
                <w:b/>
                <w:color w:val="FFFFFF"/>
                <w:sz w:val="16"/>
              </w:rPr>
              <w:t>Physical Address</w:t>
            </w:r>
          </w:p>
        </w:tc>
        <w:tc>
          <w:tcPr>
            <w:tcW w:type="dxa" w:w="2064"/>
            <w:tcMar>
              <w:top w:w="35" w:type="dxa"/>
              <w:bottom w:w="35" w:type="dxa"/>
              <w:left w:w="70" w:type="dxa"/>
              <w:right w:w="70" w:type="dxa"/>
            </w:tcMar>
            <w:vAlign w:val="center"/>
            <w:shd w:fill="142A4E"/>
          </w:tcPr>
          <w:p>
            <w:pPr>
              <w:spacing w:before="20" w:after="20"/>
            </w:pPr>
            <w:r>
              <w:rPr>
                <w:rFonts w:ascii="Calibri" w:hAnsi="Calibri"/>
                <w:b/>
                <w:color w:val="FFFFFF"/>
                <w:sz w:val="16"/>
              </w:rPr>
              <w:t>Branch Contact / Phone</w:t>
            </w:r>
          </w:p>
        </w:tc>
        <w:tc>
          <w:tcPr>
            <w:tcW w:type="dxa" w:w="2064"/>
            <w:tcMar>
              <w:top w:w="35" w:type="dxa"/>
              <w:bottom w:w="35" w:type="dxa"/>
              <w:left w:w="70" w:type="dxa"/>
              <w:right w:w="70" w:type="dxa"/>
            </w:tcMar>
            <w:vAlign w:val="center"/>
            <w:shd w:fill="142A4E"/>
          </w:tcPr>
          <w:p>
            <w:pPr>
              <w:spacing w:before="20" w:after="20"/>
            </w:pPr>
            <w:r>
              <w:rPr>
                <w:rFonts w:ascii="Calibri" w:hAnsi="Calibri"/>
                <w:b/>
                <w:color w:val="FFFFFF"/>
                <w:sz w:val="16"/>
              </w:rPr>
              <w:t>Devices Covered</w:t>
            </w:r>
          </w:p>
        </w:tc>
      </w:tr>
      <w:tr>
        <w:tc>
          <w:tcPr>
            <w:tcW w:type="dxa" w:w="2064"/>
            <w:tcMar>
              <w:top w:w="35" w:type="dxa"/>
              <w:bottom w:w="35" w:type="dxa"/>
              <w:left w:w="70" w:type="dxa"/>
              <w:right w:w="70" w:type="dxa"/>
            </w:tcMar>
            <w:vAlign w:val="center"/>
          </w:tcPr>
          <w:p>
            <w:pPr>
              <w:spacing w:before="20" w:after="20"/>
            </w:pPr>
            <w:r>
              <w:rPr>
                <w:rFonts w:ascii="Calibri" w:hAnsi="Calibri"/>
                <w:b/>
                <w:color w:val="1E232D"/>
                <w:sz w:val="16"/>
              </w:rPr>
              <w:t>1 (Main/HQ)</w:t>
            </w:r>
          </w:p>
        </w:tc>
        <w:tc>
          <w:tcPr>
            <w:tcW w:type="dxa" w:w="2064"/>
            <w:tcMar>
              <w:top w:w="35" w:type="dxa"/>
              <w:bottom w:w="35" w:type="dxa"/>
              <w:left w:w="70" w:type="dxa"/>
              <w:right w:w="70" w:type="dxa"/>
            </w:tcMar>
            <w:vAlign w:val="center"/>
          </w:tcPr>
          <w:p>
            <w:pPr>
              <w:spacing w:before="20" w:after="20"/>
            </w:pPr>
            <w:r>
              <w:rPr>
                <w:rFonts w:ascii="Calibri" w:hAnsi="Calibri"/>
                <w:color w:val="1E232D"/>
                <w:sz w:val="16"/>
              </w:rPr>
              <w:t>[Insert Branch 1]</w:t>
            </w:r>
          </w:p>
        </w:tc>
        <w:tc>
          <w:tcPr>
            <w:tcW w:type="dxa" w:w="2064"/>
            <w:tcMar>
              <w:top w:w="35" w:type="dxa"/>
              <w:bottom w:w="35" w:type="dxa"/>
              <w:left w:w="70" w:type="dxa"/>
              <w:right w:w="70" w:type="dxa"/>
            </w:tcMar>
            <w:vAlign w:val="center"/>
          </w:tcPr>
          <w:p>
            <w:pPr>
              <w:spacing w:before="20" w:after="20"/>
            </w:pPr>
            <w:r>
              <w:rPr>
                <w:rFonts w:ascii="Calibri" w:hAnsi="Calibri"/>
                <w:color w:val="1E232D"/>
                <w:sz w:val="16"/>
              </w:rPr>
              <w:t>[Insert Address]</w:t>
            </w:r>
          </w:p>
        </w:tc>
        <w:tc>
          <w:tcPr>
            <w:tcW w:type="dxa" w:w="2064"/>
            <w:tcMar>
              <w:top w:w="35" w:type="dxa"/>
              <w:bottom w:w="35" w:type="dxa"/>
              <w:left w:w="70" w:type="dxa"/>
              <w:right w:w="70" w:type="dxa"/>
            </w:tcMar>
            <w:vAlign w:val="center"/>
          </w:tcPr>
          <w:p>
            <w:pPr>
              <w:spacing w:before="20" w:after="20"/>
            </w:pPr>
            <w:r>
              <w:rPr>
                <w:rFonts w:ascii="Calibri" w:hAnsi="Calibri"/>
                <w:color w:val="1E232D"/>
                <w:sz w:val="16"/>
              </w:rPr>
              <w:t>[Insert Name &amp; Phone]</w:t>
            </w:r>
          </w:p>
        </w:tc>
        <w:tc>
          <w:tcPr>
            <w:tcW w:type="dxa" w:w="2064"/>
            <w:tcMar>
              <w:top w:w="35" w:type="dxa"/>
              <w:bottom w:w="35" w:type="dxa"/>
              <w:left w:w="70" w:type="dxa"/>
              <w:right w:w="70" w:type="dxa"/>
            </w:tcMar>
            <w:vAlign w:val="center"/>
          </w:tcPr>
          <w:p>
            <w:pPr>
              <w:spacing w:before="20" w:after="20"/>
            </w:pPr>
            <w:r>
              <w:rPr>
                <w:rFonts w:ascii="Calibri" w:hAnsi="Calibri"/>
                <w:color w:val="1E232D"/>
                <w:sz w:val="16"/>
              </w:rPr>
              <w:t>[Up to 3 PCs]</w:t>
            </w:r>
          </w:p>
        </w:tc>
      </w:tr>
      <w:tr>
        <w:tc>
          <w:tcPr>
            <w:tcW w:type="dxa" w:w="2064"/>
            <w:tcMar>
              <w:top w:w="35" w:type="dxa"/>
              <w:bottom w:w="35" w:type="dxa"/>
              <w:left w:w="70" w:type="dxa"/>
              <w:right w:w="70" w:type="dxa"/>
            </w:tcMar>
            <w:vAlign w:val="center"/>
            <w:shd w:fill="F4F7FB"/>
          </w:tcPr>
          <w:p>
            <w:pPr>
              <w:spacing w:before="20" w:after="20"/>
            </w:pPr>
            <w:r>
              <w:rPr>
                <w:rFonts w:ascii="Calibri" w:hAnsi="Calibri"/>
                <w:b/>
                <w:color w:val="1E232D"/>
                <w:sz w:val="16"/>
              </w:rPr>
              <w:t>2</w:t>
            </w:r>
          </w:p>
        </w:tc>
        <w:tc>
          <w:tcPr>
            <w:tcW w:type="dxa" w:w="2064"/>
            <w:tcMar>
              <w:top w:w="35" w:type="dxa"/>
              <w:bottom w:w="35" w:type="dxa"/>
              <w:left w:w="70" w:type="dxa"/>
              <w:right w:w="70" w:type="dxa"/>
            </w:tcMar>
            <w:vAlign w:val="center"/>
            <w:shd w:fill="F4F7FB"/>
          </w:tcPr>
          <w:p>
            <w:pPr>
              <w:spacing w:before="20" w:after="20"/>
            </w:pPr>
            <w:r>
              <w:rPr>
                <w:rFonts w:ascii="Calibri" w:hAnsi="Calibri"/>
                <w:color w:val="1E232D"/>
                <w:sz w:val="16"/>
              </w:rPr>
              <w:t>[Insert Branch 2]</w:t>
            </w:r>
          </w:p>
        </w:tc>
        <w:tc>
          <w:tcPr>
            <w:tcW w:type="dxa" w:w="2064"/>
            <w:tcMar>
              <w:top w:w="35" w:type="dxa"/>
              <w:bottom w:w="35" w:type="dxa"/>
              <w:left w:w="70" w:type="dxa"/>
              <w:right w:w="70" w:type="dxa"/>
            </w:tcMar>
            <w:vAlign w:val="center"/>
            <w:shd w:fill="F4F7FB"/>
          </w:tcPr>
          <w:p>
            <w:pPr>
              <w:spacing w:before="20" w:after="20"/>
            </w:pPr>
            <w:r>
              <w:rPr>
                <w:rFonts w:ascii="Calibri" w:hAnsi="Calibri"/>
                <w:color w:val="1E232D"/>
                <w:sz w:val="16"/>
              </w:rPr>
              <w:t>[Insert Address]</w:t>
            </w:r>
          </w:p>
        </w:tc>
        <w:tc>
          <w:tcPr>
            <w:tcW w:type="dxa" w:w="2064"/>
            <w:tcMar>
              <w:top w:w="35" w:type="dxa"/>
              <w:bottom w:w="35" w:type="dxa"/>
              <w:left w:w="70" w:type="dxa"/>
              <w:right w:w="70" w:type="dxa"/>
            </w:tcMar>
            <w:vAlign w:val="center"/>
            <w:shd w:fill="F4F7FB"/>
          </w:tcPr>
          <w:p>
            <w:pPr>
              <w:spacing w:before="20" w:after="20"/>
            </w:pPr>
            <w:r>
              <w:rPr>
                <w:rFonts w:ascii="Calibri" w:hAnsi="Calibri"/>
                <w:color w:val="1E232D"/>
                <w:sz w:val="16"/>
              </w:rPr>
              <w:t>[Insert Name &amp; Phone]</w:t>
            </w:r>
          </w:p>
        </w:tc>
        <w:tc>
          <w:tcPr>
            <w:tcW w:type="dxa" w:w="2064"/>
            <w:tcMar>
              <w:top w:w="35" w:type="dxa"/>
              <w:bottom w:w="35" w:type="dxa"/>
              <w:left w:w="70" w:type="dxa"/>
              <w:right w:w="70" w:type="dxa"/>
            </w:tcMar>
            <w:vAlign w:val="center"/>
            <w:shd w:fill="F4F7FB"/>
          </w:tcPr>
          <w:p>
            <w:pPr>
              <w:spacing w:before="20" w:after="20"/>
            </w:pPr>
            <w:r>
              <w:rPr>
                <w:rFonts w:ascii="Calibri" w:hAnsi="Calibri"/>
                <w:color w:val="1E232D"/>
                <w:sz w:val="16"/>
              </w:rPr>
              <w:t>[Up to 2 PCs]</w:t>
            </w:r>
          </w:p>
        </w:tc>
      </w:tr>
      <w:tr>
        <w:tc>
          <w:tcPr>
            <w:tcW w:type="dxa" w:w="2064"/>
            <w:tcMar>
              <w:top w:w="35" w:type="dxa"/>
              <w:bottom w:w="35" w:type="dxa"/>
              <w:left w:w="70" w:type="dxa"/>
              <w:right w:w="70" w:type="dxa"/>
            </w:tcMar>
            <w:vAlign w:val="center"/>
          </w:tcPr>
          <w:p>
            <w:pPr>
              <w:spacing w:before="20" w:after="20"/>
            </w:pPr>
            <w:r>
              <w:rPr>
                <w:rFonts w:ascii="Calibri" w:hAnsi="Calibri"/>
                <w:b/>
                <w:color w:val="1E232D"/>
                <w:sz w:val="16"/>
              </w:rPr>
              <w:t>3</w:t>
            </w:r>
          </w:p>
        </w:tc>
        <w:tc>
          <w:tcPr>
            <w:tcW w:type="dxa" w:w="2064"/>
            <w:tcMar>
              <w:top w:w="35" w:type="dxa"/>
              <w:bottom w:w="35" w:type="dxa"/>
              <w:left w:w="70" w:type="dxa"/>
              <w:right w:w="70" w:type="dxa"/>
            </w:tcMar>
            <w:vAlign w:val="center"/>
          </w:tcPr>
          <w:p>
            <w:pPr>
              <w:spacing w:before="20" w:after="20"/>
            </w:pPr>
            <w:r>
              <w:rPr>
                <w:rFonts w:ascii="Calibri" w:hAnsi="Calibri"/>
                <w:color w:val="1E232D"/>
                <w:sz w:val="16"/>
              </w:rPr>
              <w:t>[Insert Branch 3]</w:t>
            </w:r>
          </w:p>
        </w:tc>
        <w:tc>
          <w:tcPr>
            <w:tcW w:type="dxa" w:w="2064"/>
            <w:tcMar>
              <w:top w:w="35" w:type="dxa"/>
              <w:bottom w:w="35" w:type="dxa"/>
              <w:left w:w="70" w:type="dxa"/>
              <w:right w:w="70" w:type="dxa"/>
            </w:tcMar>
            <w:vAlign w:val="center"/>
          </w:tcPr>
          <w:p>
            <w:pPr>
              <w:spacing w:before="20" w:after="20"/>
            </w:pPr>
            <w:r>
              <w:rPr>
                <w:rFonts w:ascii="Calibri" w:hAnsi="Calibri"/>
                <w:color w:val="1E232D"/>
                <w:sz w:val="16"/>
              </w:rPr>
              <w:t>[Insert Address]</w:t>
            </w:r>
          </w:p>
        </w:tc>
        <w:tc>
          <w:tcPr>
            <w:tcW w:type="dxa" w:w="2064"/>
            <w:tcMar>
              <w:top w:w="35" w:type="dxa"/>
              <w:bottom w:w="35" w:type="dxa"/>
              <w:left w:w="70" w:type="dxa"/>
              <w:right w:w="70" w:type="dxa"/>
            </w:tcMar>
            <w:vAlign w:val="center"/>
          </w:tcPr>
          <w:p>
            <w:pPr>
              <w:spacing w:before="20" w:after="20"/>
            </w:pPr>
            <w:r>
              <w:rPr>
                <w:rFonts w:ascii="Calibri" w:hAnsi="Calibri"/>
                <w:color w:val="1E232D"/>
                <w:sz w:val="16"/>
              </w:rPr>
              <w:t>[Insert Name &amp; Phone]</w:t>
            </w:r>
          </w:p>
        </w:tc>
        <w:tc>
          <w:tcPr>
            <w:tcW w:type="dxa" w:w="2064"/>
            <w:tcMar>
              <w:top w:w="35" w:type="dxa"/>
              <w:bottom w:w="35" w:type="dxa"/>
              <w:left w:w="70" w:type="dxa"/>
              <w:right w:w="70" w:type="dxa"/>
            </w:tcMar>
            <w:vAlign w:val="center"/>
          </w:tcPr>
          <w:p>
            <w:pPr>
              <w:spacing w:before="20" w:after="20"/>
            </w:pPr>
            <w:r>
              <w:rPr>
                <w:rFonts w:ascii="Calibri" w:hAnsi="Calibri"/>
                <w:color w:val="1E232D"/>
                <w:sz w:val="16"/>
              </w:rPr>
              <w:t>[Up to 2 PCs]</w:t>
            </w:r>
          </w:p>
        </w:tc>
      </w:tr>
      <w:tr>
        <w:tc>
          <w:tcPr>
            <w:tcW w:type="dxa" w:w="2064"/>
            <w:tcMar>
              <w:top w:w="35" w:type="dxa"/>
              <w:bottom w:w="35" w:type="dxa"/>
              <w:left w:w="70" w:type="dxa"/>
              <w:right w:w="70" w:type="dxa"/>
            </w:tcMar>
            <w:vAlign w:val="center"/>
            <w:shd w:fill="F4F7FB"/>
          </w:tcPr>
          <w:p>
            <w:pPr>
              <w:spacing w:before="20" w:after="20"/>
            </w:pPr>
            <w:r>
              <w:rPr>
                <w:rFonts w:ascii="Calibri" w:hAnsi="Calibri"/>
                <w:b/>
                <w:color w:val="1E232D"/>
                <w:sz w:val="16"/>
              </w:rPr>
              <w:t>4</w:t>
            </w:r>
          </w:p>
        </w:tc>
        <w:tc>
          <w:tcPr>
            <w:tcW w:type="dxa" w:w="2064"/>
            <w:tcMar>
              <w:top w:w="35" w:type="dxa"/>
              <w:bottom w:w="35" w:type="dxa"/>
              <w:left w:w="70" w:type="dxa"/>
              <w:right w:w="70" w:type="dxa"/>
            </w:tcMar>
            <w:vAlign w:val="center"/>
            <w:shd w:fill="F4F7FB"/>
          </w:tcPr>
          <w:p>
            <w:pPr>
              <w:spacing w:before="20" w:after="20"/>
            </w:pPr>
            <w:r>
              <w:rPr>
                <w:rFonts w:ascii="Calibri" w:hAnsi="Calibri"/>
                <w:color w:val="1E232D"/>
                <w:sz w:val="16"/>
              </w:rPr>
              <w:t>[Insert Branch 4]</w:t>
            </w:r>
          </w:p>
        </w:tc>
        <w:tc>
          <w:tcPr>
            <w:tcW w:type="dxa" w:w="2064"/>
            <w:tcMar>
              <w:top w:w="35" w:type="dxa"/>
              <w:bottom w:w="35" w:type="dxa"/>
              <w:left w:w="70" w:type="dxa"/>
              <w:right w:w="70" w:type="dxa"/>
            </w:tcMar>
            <w:vAlign w:val="center"/>
            <w:shd w:fill="F4F7FB"/>
          </w:tcPr>
          <w:p>
            <w:pPr>
              <w:spacing w:before="20" w:after="20"/>
            </w:pPr>
            <w:r>
              <w:rPr>
                <w:rFonts w:ascii="Calibri" w:hAnsi="Calibri"/>
                <w:color w:val="1E232D"/>
                <w:sz w:val="16"/>
              </w:rPr>
              <w:t>[Insert Address]</w:t>
            </w:r>
          </w:p>
        </w:tc>
        <w:tc>
          <w:tcPr>
            <w:tcW w:type="dxa" w:w="2064"/>
            <w:tcMar>
              <w:top w:w="35" w:type="dxa"/>
              <w:bottom w:w="35" w:type="dxa"/>
              <w:left w:w="70" w:type="dxa"/>
              <w:right w:w="70" w:type="dxa"/>
            </w:tcMar>
            <w:vAlign w:val="center"/>
            <w:shd w:fill="F4F7FB"/>
          </w:tcPr>
          <w:p>
            <w:pPr>
              <w:spacing w:before="20" w:after="20"/>
            </w:pPr>
            <w:r>
              <w:rPr>
                <w:rFonts w:ascii="Calibri" w:hAnsi="Calibri"/>
                <w:color w:val="1E232D"/>
                <w:sz w:val="16"/>
              </w:rPr>
              <w:t>[Insert Name &amp; Phone]</w:t>
            </w:r>
          </w:p>
        </w:tc>
        <w:tc>
          <w:tcPr>
            <w:tcW w:type="dxa" w:w="2064"/>
            <w:tcMar>
              <w:top w:w="35" w:type="dxa"/>
              <w:bottom w:w="35" w:type="dxa"/>
              <w:left w:w="70" w:type="dxa"/>
              <w:right w:w="70" w:type="dxa"/>
            </w:tcMar>
            <w:vAlign w:val="center"/>
            <w:shd w:fill="F4F7FB"/>
          </w:tcPr>
          <w:p>
            <w:pPr>
              <w:spacing w:before="20" w:after="20"/>
            </w:pPr>
            <w:r>
              <w:rPr>
                <w:rFonts w:ascii="Calibri" w:hAnsi="Calibri"/>
                <w:color w:val="1E232D"/>
                <w:sz w:val="16"/>
              </w:rPr>
              <w:t>[Up to 2 PCs]</w:t>
            </w:r>
          </w:p>
        </w:tc>
      </w:tr>
      <w:tr>
        <w:tc>
          <w:tcPr>
            <w:tcW w:type="dxa" w:w="2064"/>
            <w:tcMar>
              <w:top w:w="35" w:type="dxa"/>
              <w:bottom w:w="35" w:type="dxa"/>
              <w:left w:w="70" w:type="dxa"/>
              <w:right w:w="70" w:type="dxa"/>
            </w:tcMar>
            <w:vAlign w:val="center"/>
          </w:tcPr>
          <w:p>
            <w:pPr>
              <w:spacing w:before="20" w:after="20"/>
            </w:pPr>
            <w:r>
              <w:rPr>
                <w:rFonts w:ascii="Calibri" w:hAnsi="Calibri"/>
                <w:b/>
                <w:color w:val="1E232D"/>
                <w:sz w:val="16"/>
              </w:rPr>
              <w:t>5</w:t>
            </w:r>
          </w:p>
        </w:tc>
        <w:tc>
          <w:tcPr>
            <w:tcW w:type="dxa" w:w="2064"/>
            <w:tcMar>
              <w:top w:w="35" w:type="dxa"/>
              <w:bottom w:w="35" w:type="dxa"/>
              <w:left w:w="70" w:type="dxa"/>
              <w:right w:w="70" w:type="dxa"/>
            </w:tcMar>
            <w:vAlign w:val="center"/>
          </w:tcPr>
          <w:p>
            <w:pPr>
              <w:spacing w:before="20" w:after="20"/>
            </w:pPr>
            <w:r>
              <w:rPr>
                <w:rFonts w:ascii="Calibri" w:hAnsi="Calibri"/>
                <w:color w:val="1E232D"/>
                <w:sz w:val="16"/>
              </w:rPr>
              <w:t>[Insert Branch 5]</w:t>
            </w:r>
          </w:p>
        </w:tc>
        <w:tc>
          <w:tcPr>
            <w:tcW w:type="dxa" w:w="2064"/>
            <w:tcMar>
              <w:top w:w="35" w:type="dxa"/>
              <w:bottom w:w="35" w:type="dxa"/>
              <w:left w:w="70" w:type="dxa"/>
              <w:right w:w="70" w:type="dxa"/>
            </w:tcMar>
            <w:vAlign w:val="center"/>
          </w:tcPr>
          <w:p>
            <w:pPr>
              <w:spacing w:before="20" w:after="20"/>
            </w:pPr>
            <w:r>
              <w:rPr>
                <w:rFonts w:ascii="Calibri" w:hAnsi="Calibri"/>
                <w:color w:val="1E232D"/>
                <w:sz w:val="16"/>
              </w:rPr>
              <w:t>[Insert Address]</w:t>
            </w:r>
          </w:p>
        </w:tc>
        <w:tc>
          <w:tcPr>
            <w:tcW w:type="dxa" w:w="2064"/>
            <w:tcMar>
              <w:top w:w="35" w:type="dxa"/>
              <w:bottom w:w="35" w:type="dxa"/>
              <w:left w:w="70" w:type="dxa"/>
              <w:right w:w="70" w:type="dxa"/>
            </w:tcMar>
            <w:vAlign w:val="center"/>
          </w:tcPr>
          <w:p>
            <w:pPr>
              <w:spacing w:before="20" w:after="20"/>
            </w:pPr>
            <w:r>
              <w:rPr>
                <w:rFonts w:ascii="Calibri" w:hAnsi="Calibri"/>
                <w:color w:val="1E232D"/>
                <w:sz w:val="16"/>
              </w:rPr>
              <w:t>[Insert Name &amp; Phone]</w:t>
            </w:r>
          </w:p>
        </w:tc>
        <w:tc>
          <w:tcPr>
            <w:tcW w:type="dxa" w:w="2064"/>
            <w:tcMar>
              <w:top w:w="35" w:type="dxa"/>
              <w:bottom w:w="35" w:type="dxa"/>
              <w:left w:w="70" w:type="dxa"/>
              <w:right w:w="70" w:type="dxa"/>
            </w:tcMar>
            <w:vAlign w:val="center"/>
          </w:tcPr>
          <w:p>
            <w:pPr>
              <w:spacing w:before="20" w:after="20"/>
            </w:pPr>
            <w:r>
              <w:rPr>
                <w:rFonts w:ascii="Calibri" w:hAnsi="Calibri"/>
                <w:color w:val="1E232D"/>
                <w:sz w:val="16"/>
              </w:rPr>
              <w:t>[Up to 2 PCs]</w:t>
            </w:r>
          </w:p>
        </w:tc>
      </w:tr>
    </w:tbl>
    <w:p>
      <w:pPr>
        <w:keepNext/>
        <w:spacing w:before="100" w:after="40"/>
        <w:pBdr>
          <w:bottom w:val="single" w:sz="4" w:space="1" w:color="2563EB"/>
        </w:pBdr>
      </w:pPr>
      <w:r>
        <w:rPr>
          <w:rFonts w:ascii="Calibri" w:hAnsi="Calibri"/>
          <w:b/>
          <w:color w:val="142A4E"/>
          <w:sz w:val="19"/>
        </w:rPr>
        <w:t>IN WITNESS WHEREOF, the Parties have executed this Agreement on the Effective Date above:</w:t>
      </w:r>
    </w:p>
    <w:tbl>
      <w:tblPr>
        <w:tblStyle w:val="TableGrid"/>
        <w:tblW w:type="auto" w:w="0"/>
        <w:jc w:val="center"/>
        <w:tblLook w:firstColumn="1" w:firstRow="1" w:lastColumn="0" w:lastRow="0" w:noHBand="0" w:noVBand="1" w:val="04A0"/>
      </w:tblPr>
      <w:tblGrid>
        <w:gridCol w:w="5161"/>
        <w:gridCol w:w="5161"/>
      </w:tblGrid>
      <w:tr>
        <w:tc>
          <w:tcPr>
            <w:tcW w:type="dxa" w:w="5161"/>
            <w:tcMar>
              <w:top w:w="35" w:type="dxa"/>
              <w:bottom w:w="35" w:type="dxa"/>
              <w:left w:w="70" w:type="dxa"/>
              <w:right w:w="70" w:type="dxa"/>
            </w:tcMar>
            <w:vAlign w:val="center"/>
            <w:shd w:fill="142A4E"/>
          </w:tcPr>
          <w:p>
            <w:pPr>
              <w:spacing w:before="20" w:after="20"/>
            </w:pPr>
            <w:r>
              <w:rPr>
                <w:rFonts w:ascii="Calibri" w:hAnsi="Calibri"/>
                <w:b/>
                <w:color w:val="FFFFFF"/>
                <w:sz w:val="16"/>
              </w:rPr>
              <w:t>SIGNED FOR APEXLABS GLOBAL RESOURCES LIMITED (DEVELOPER)</w:t>
            </w:r>
          </w:p>
        </w:tc>
        <w:tc>
          <w:tcPr>
            <w:tcW w:type="dxa" w:w="5161"/>
            <w:tcMar>
              <w:top w:w="35" w:type="dxa"/>
              <w:bottom w:w="35" w:type="dxa"/>
              <w:left w:w="70" w:type="dxa"/>
              <w:right w:w="70" w:type="dxa"/>
            </w:tcMar>
            <w:vAlign w:val="center"/>
            <w:shd w:fill="142A4E"/>
          </w:tcPr>
          <w:p>
            <w:pPr>
              <w:spacing w:before="20" w:after="20"/>
            </w:pPr>
            <w:r>
              <w:rPr>
                <w:rFonts w:ascii="Calibri" w:hAnsi="Calibri"/>
                <w:b/>
                <w:color w:val="FFFFFF"/>
                <w:sz w:val="16"/>
              </w:rPr>
              <w:t>SIGNED FOR THE CLIENT (PHARMACY)</w:t>
            </w:r>
          </w:p>
        </w:tc>
      </w:tr>
      <w:tr>
        <w:tc>
          <w:tcPr>
            <w:tcW w:type="dxa" w:w="5161"/>
            <w:tcMar>
              <w:top w:w="35" w:type="dxa"/>
              <w:bottom w:w="35" w:type="dxa"/>
              <w:left w:w="70" w:type="dxa"/>
              <w:right w:w="70" w:type="dxa"/>
            </w:tcMar>
            <w:vAlign w:val="center"/>
          </w:tcPr>
          <w:p>
            <w:pPr>
              <w:spacing w:before="20" w:after="20"/>
            </w:pPr>
            <w:r>
              <w:rPr>
                <w:rFonts w:ascii="Calibri" w:hAnsi="Calibri"/>
                <w:b/>
                <w:color w:val="1E232D"/>
                <w:sz w:val="16"/>
              </w:rPr>
              <w:t>Authorized Signatory:</w:t>
            </w:r>
            <w:r>
              <w:rPr>
                <w:rFonts w:ascii="Calibri" w:hAnsi="Calibri"/>
                <w:color w:val="1E232D"/>
                <w:sz w:val="16"/>
              </w:rPr>
              <w:t xml:space="preserve"> ADELEKE ADEBAYO MUJEEB</w:t>
            </w:r>
          </w:p>
        </w:tc>
        <w:tc>
          <w:tcPr>
            <w:tcW w:type="dxa" w:w="5161"/>
            <w:tcMar>
              <w:top w:w="35" w:type="dxa"/>
              <w:bottom w:w="35" w:type="dxa"/>
              <w:left w:w="70" w:type="dxa"/>
              <w:right w:w="70" w:type="dxa"/>
            </w:tcMar>
            <w:vAlign w:val="center"/>
          </w:tcPr>
          <w:p>
            <w:pPr>
              <w:spacing w:before="20" w:after="20"/>
            </w:pPr>
            <w:r>
              <w:rPr>
                <w:rFonts w:ascii="Calibri" w:hAnsi="Calibri"/>
                <w:b/>
                <w:color w:val="1E232D"/>
                <w:sz w:val="16"/>
              </w:rPr>
              <w:t>Pharmacy Name:</w:t>
            </w:r>
            <w:r>
              <w:rPr>
                <w:rFonts w:ascii="Calibri" w:hAnsi="Calibri"/>
                <w:color w:val="1E232D"/>
                <w:sz w:val="16"/>
              </w:rPr>
              <w:t xml:space="preserve"> ___________________________________</w:t>
            </w:r>
          </w:p>
        </w:tc>
      </w:tr>
      <w:tr>
        <w:tc>
          <w:tcPr>
            <w:tcW w:type="dxa" w:w="5161"/>
            <w:tcMar>
              <w:top w:w="35" w:type="dxa"/>
              <w:bottom w:w="35" w:type="dxa"/>
              <w:left w:w="70" w:type="dxa"/>
              <w:right w:w="70" w:type="dxa"/>
            </w:tcMar>
            <w:vAlign w:val="center"/>
            <w:shd w:fill="F4F7FB"/>
          </w:tcPr>
          <w:p>
            <w:pPr>
              <w:spacing w:before="20" w:after="20"/>
            </w:pPr>
            <w:r>
              <w:rPr>
                <w:rFonts w:ascii="Calibri" w:hAnsi="Calibri"/>
                <w:b/>
                <w:color w:val="1E232D"/>
                <w:sz w:val="16"/>
              </w:rPr>
              <w:t>Title:</w:t>
            </w:r>
            <w:r>
              <w:rPr>
                <w:rFonts w:ascii="Calibri" w:hAnsi="Calibri"/>
                <w:color w:val="1E232D"/>
                <w:sz w:val="16"/>
              </w:rPr>
              <w:t xml:space="preserve"> Director / Managing Director</w:t>
            </w:r>
          </w:p>
        </w:tc>
        <w:tc>
          <w:tcPr>
            <w:tcW w:type="dxa" w:w="5161"/>
            <w:tcMar>
              <w:top w:w="35" w:type="dxa"/>
              <w:bottom w:w="35" w:type="dxa"/>
              <w:left w:w="70" w:type="dxa"/>
              <w:right w:w="70" w:type="dxa"/>
            </w:tcMar>
            <w:vAlign w:val="center"/>
            <w:shd w:fill="F4F7FB"/>
          </w:tcPr>
          <w:p>
            <w:pPr>
              <w:spacing w:before="20" w:after="20"/>
            </w:pPr>
            <w:r>
              <w:rPr>
                <w:rFonts w:ascii="Calibri" w:hAnsi="Calibri"/>
                <w:b/>
                <w:color w:val="1E232D"/>
                <w:sz w:val="16"/>
              </w:rPr>
              <w:t>Authorized Signatory:</w:t>
            </w:r>
            <w:r>
              <w:rPr>
                <w:rFonts w:ascii="Calibri" w:hAnsi="Calibri"/>
                <w:color w:val="1E232D"/>
                <w:sz w:val="16"/>
              </w:rPr>
              <w:t xml:space="preserve"> ______________________________</w:t>
            </w:r>
          </w:p>
        </w:tc>
      </w:tr>
      <w:tr>
        <w:tc>
          <w:tcPr>
            <w:tcW w:type="dxa" w:w="5161"/>
            <w:tcMar>
              <w:top w:w="35" w:type="dxa"/>
              <w:bottom w:w="35" w:type="dxa"/>
              <w:left w:w="70" w:type="dxa"/>
              <w:right w:w="70" w:type="dxa"/>
            </w:tcMar>
            <w:vAlign w:val="center"/>
          </w:tcPr>
          <w:p>
            <w:pPr>
              <w:spacing w:before="20" w:after="20"/>
            </w:pPr>
            <w:r>
              <w:rPr>
                <w:rFonts w:ascii="Calibri" w:hAnsi="Calibri"/>
                <w:b/>
                <w:color w:val="1E232D"/>
                <w:sz w:val="16"/>
              </w:rPr>
              <w:t>Signature:</w:t>
            </w:r>
            <w:r>
              <w:rPr>
                <w:rFonts w:ascii="Calibri" w:hAnsi="Calibri"/>
                <w:color w:val="1E232D"/>
                <w:sz w:val="16"/>
              </w:rPr>
              <w:t xml:space="preserve"> ___________________________________</w:t>
            </w:r>
          </w:p>
        </w:tc>
        <w:tc>
          <w:tcPr>
            <w:tcW w:type="dxa" w:w="5161"/>
            <w:tcMar>
              <w:top w:w="35" w:type="dxa"/>
              <w:bottom w:w="35" w:type="dxa"/>
              <w:left w:w="70" w:type="dxa"/>
              <w:right w:w="70" w:type="dxa"/>
            </w:tcMar>
            <w:vAlign w:val="center"/>
          </w:tcPr>
          <w:p>
            <w:pPr>
              <w:spacing w:before="20" w:after="20"/>
            </w:pPr>
            <w:r>
              <w:rPr>
                <w:rFonts w:ascii="Calibri" w:hAnsi="Calibri"/>
                <w:b/>
                <w:color w:val="1E232D"/>
                <w:sz w:val="16"/>
              </w:rPr>
              <w:t>Title:</w:t>
            </w:r>
            <w:r>
              <w:rPr>
                <w:rFonts w:ascii="Calibri" w:hAnsi="Calibri"/>
                <w:color w:val="1E232D"/>
                <w:sz w:val="16"/>
              </w:rPr>
              <w:t xml:space="preserve"> _____________________________________________</w:t>
            </w:r>
          </w:p>
        </w:tc>
      </w:tr>
      <w:tr>
        <w:tc>
          <w:tcPr>
            <w:tcW w:type="dxa" w:w="5161"/>
            <w:tcMar>
              <w:top w:w="35" w:type="dxa"/>
              <w:bottom w:w="35" w:type="dxa"/>
              <w:left w:w="70" w:type="dxa"/>
              <w:right w:w="70" w:type="dxa"/>
            </w:tcMar>
            <w:vAlign w:val="center"/>
            <w:shd w:fill="F4F7FB"/>
          </w:tcPr>
          <w:p>
            <w:pPr>
              <w:spacing w:before="20" w:after="20"/>
            </w:pPr>
            <w:r>
              <w:rPr>
                <w:rFonts w:ascii="Calibri" w:hAnsi="Calibri"/>
                <w:b/>
                <w:color w:val="1E232D"/>
                <w:sz w:val="16"/>
              </w:rPr>
              <w:t>Date:</w:t>
            </w:r>
            <w:r>
              <w:rPr>
                <w:rFonts w:ascii="Calibri" w:hAnsi="Calibri"/>
                <w:color w:val="1E232D"/>
                <w:sz w:val="16"/>
              </w:rPr>
              <w:t xml:space="preserve"> ________________________________________</w:t>
            </w:r>
          </w:p>
        </w:tc>
        <w:tc>
          <w:tcPr>
            <w:tcW w:type="dxa" w:w="5161"/>
            <w:tcMar>
              <w:top w:w="35" w:type="dxa"/>
              <w:bottom w:w="35" w:type="dxa"/>
              <w:left w:w="70" w:type="dxa"/>
              <w:right w:w="70" w:type="dxa"/>
            </w:tcMar>
            <w:vAlign w:val="center"/>
            <w:shd w:fill="F4F7FB"/>
          </w:tcPr>
          <w:p>
            <w:pPr>
              <w:spacing w:before="20" w:after="20"/>
            </w:pPr>
            <w:r>
              <w:rPr>
                <w:rFonts w:ascii="Calibri" w:hAnsi="Calibri"/>
                <w:b/>
                <w:color w:val="1E232D"/>
                <w:sz w:val="16"/>
              </w:rPr>
              <w:t>Signature &amp; Stamp:</w:t>
            </w:r>
            <w:r>
              <w:rPr>
                <w:rFonts w:ascii="Calibri" w:hAnsi="Calibri"/>
                <w:color w:val="1E232D"/>
                <w:sz w:val="16"/>
              </w:rPr>
              <w:t xml:space="preserve"> _________________________________</w:t>
            </w:r>
          </w:p>
        </w:tc>
      </w:tr>
      <w:tr>
        <w:tc>
          <w:tcPr>
            <w:tcW w:type="dxa" w:w="5161"/>
            <w:tcMar>
              <w:top w:w="35" w:type="dxa"/>
              <w:bottom w:w="35" w:type="dxa"/>
              <w:left w:w="70" w:type="dxa"/>
              <w:right w:w="70" w:type="dxa"/>
            </w:tcMar>
            <w:vAlign w:val="center"/>
          </w:tcPr>
          <w:p>
            <w:pPr>
              <w:spacing w:before="20" w:after="20"/>
            </w:pPr>
            <w:r>
              <w:rPr>
                <w:rFonts w:ascii="Calibri" w:hAnsi="Calibri"/>
                <w:b/>
                <w:color w:val="1E232D"/>
                <w:sz w:val="16"/>
              </w:rPr>
              <w:t>Witness Name:</w:t>
            </w:r>
            <w:r>
              <w:rPr>
                <w:rFonts w:ascii="Calibri" w:hAnsi="Calibri"/>
                <w:color w:val="1E232D"/>
                <w:sz w:val="16"/>
              </w:rPr>
              <w:t xml:space="preserve"> ________________________________</w:t>
            </w:r>
          </w:p>
        </w:tc>
        <w:tc>
          <w:tcPr>
            <w:tcW w:type="dxa" w:w="5161"/>
            <w:tcMar>
              <w:top w:w="35" w:type="dxa"/>
              <w:bottom w:w="35" w:type="dxa"/>
              <w:left w:w="70" w:type="dxa"/>
              <w:right w:w="70" w:type="dxa"/>
            </w:tcMar>
            <w:vAlign w:val="center"/>
          </w:tcPr>
          <w:p>
            <w:pPr>
              <w:spacing w:before="20" w:after="20"/>
            </w:pPr>
            <w:r>
              <w:rPr>
                <w:rFonts w:ascii="Calibri" w:hAnsi="Calibri"/>
                <w:b/>
                <w:color w:val="1E232D"/>
                <w:sz w:val="16"/>
              </w:rPr>
              <w:t>Date:</w:t>
            </w:r>
            <w:r>
              <w:rPr>
                <w:rFonts w:ascii="Calibri" w:hAnsi="Calibri"/>
                <w:color w:val="1E232D"/>
                <w:sz w:val="16"/>
              </w:rPr>
              <w:t xml:space="preserve"> ______________________________________________</w:t>
            </w:r>
          </w:p>
        </w:tc>
      </w:tr>
      <w:tr>
        <w:tc>
          <w:tcPr>
            <w:tcW w:type="dxa" w:w="5161"/>
            <w:tcMar>
              <w:top w:w="35" w:type="dxa"/>
              <w:bottom w:w="35" w:type="dxa"/>
              <w:left w:w="70" w:type="dxa"/>
              <w:right w:w="70" w:type="dxa"/>
            </w:tcMar>
            <w:vAlign w:val="center"/>
            <w:shd w:fill="F4F7FB"/>
          </w:tcPr>
          <w:p>
            <w:pPr>
              <w:spacing w:before="20" w:after="20"/>
            </w:pPr>
            <w:r>
              <w:rPr>
                <w:rFonts w:ascii="Calibri" w:hAnsi="Calibri"/>
                <w:b/>
                <w:color w:val="1E232D"/>
                <w:sz w:val="16"/>
              </w:rPr>
              <w:t>Witness Signature &amp; Date:</w:t>
            </w:r>
            <w:r>
              <w:rPr>
                <w:rFonts w:ascii="Calibri" w:hAnsi="Calibri"/>
                <w:color w:val="1E232D"/>
                <w:sz w:val="16"/>
              </w:rPr>
              <w:t xml:space="preserve"> _____________________</w:t>
            </w:r>
          </w:p>
        </w:tc>
        <w:tc>
          <w:tcPr>
            <w:tcW w:type="dxa" w:w="5161"/>
            <w:tcMar>
              <w:top w:w="35" w:type="dxa"/>
              <w:bottom w:w="35" w:type="dxa"/>
              <w:left w:w="70" w:type="dxa"/>
              <w:right w:w="70" w:type="dxa"/>
            </w:tcMar>
            <w:vAlign w:val="center"/>
            <w:shd w:fill="F4F7FB"/>
          </w:tcPr>
          <w:p>
            <w:pPr>
              <w:spacing w:before="20" w:after="20"/>
            </w:pPr>
            <w:r>
              <w:rPr>
                <w:rFonts w:ascii="Calibri" w:hAnsi="Calibri"/>
                <w:b/>
                <w:color w:val="1E232D"/>
                <w:sz w:val="16"/>
              </w:rPr>
              <w:t>Witness Name &amp; Signature:</w:t>
            </w:r>
            <w:r>
              <w:rPr>
                <w:rFonts w:ascii="Calibri" w:hAnsi="Calibri"/>
                <w:color w:val="1E232D"/>
                <w:sz w:val="16"/>
              </w:rPr>
              <w:t xml:space="preserve"> __________________________</w:t>
            </w:r>
          </w:p>
        </w:tc>
      </w:tr>
    </w:tbl>
    <w:sectPr w:rsidR="00FC693F" w:rsidRPr="0006063C" w:rsidSect="00034616">
      <w:headerReference w:type="default" r:id="rId9"/>
      <w:footerReference w:type="default" r:id="rId10"/>
      <w:pgSz w:w="11906" w:h="16838"/>
      <w:pgMar w:top="2088" w:right="792" w:bottom="1037" w:left="792" w:header="144" w:footer="11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drawing>
        <wp:inline xmlns:a="http://schemas.openxmlformats.org/drawingml/2006/main" xmlns:pic="http://schemas.openxmlformats.org/drawingml/2006/picture">
          <wp:extent cx="7223760" cy="639548"/>
          <wp:docPr id="1" name="Picture 1"/>
          <wp:cNvGraphicFramePr>
            <a:graphicFrameLocks noChangeAspect="1"/>
          </wp:cNvGraphicFramePr>
          <a:graphic>
            <a:graphicData uri="http://schemas.openxmlformats.org/drawingml/2006/picture">
              <pic:pic>
                <pic:nvPicPr>
                  <pic:cNvPr id="0" name="apexlabs_footer.png"/>
                  <pic:cNvPicPr/>
                </pic:nvPicPr>
                <pic:blipFill>
                  <a:blip r:embed="rId1"/>
                  <a:stretch>
                    <a:fillRect/>
                  </a:stretch>
                </pic:blipFill>
                <pic:spPr>
                  <a:xfrm>
                    <a:off x="0" y="0"/>
                    <a:ext cx="7223760" cy="639548"/>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center"/>
    </w:pPr>
    <w:r>
      <w:drawing>
        <wp:inline xmlns:a="http://schemas.openxmlformats.org/drawingml/2006/main" xmlns:pic="http://schemas.openxmlformats.org/drawingml/2006/picture">
          <wp:extent cx="7223760" cy="1534219"/>
          <wp:docPr id="1" name="Picture 1"/>
          <wp:cNvGraphicFramePr>
            <a:graphicFrameLocks noChangeAspect="1"/>
          </wp:cNvGraphicFramePr>
          <a:graphic>
            <a:graphicData uri="http://schemas.openxmlformats.org/drawingml/2006/picture">
              <pic:pic>
                <pic:nvPicPr>
                  <pic:cNvPr id="0" name="apexlabs_header.png"/>
                  <pic:cNvPicPr/>
                </pic:nvPicPr>
                <pic:blipFill>
                  <a:blip r:embed="rId1"/>
                  <a:stretch>
                    <a:fillRect/>
                  </a:stretch>
                </pic:blipFill>
                <pic:spPr>
                  <a:xfrm>
                    <a:off x="0" y="0"/>
                    <a:ext cx="7223760" cy="153421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32D"/>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