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</w:rPr>
      </w:pPr>
      <w:bookmarkStart w:colFirst="0" w:colLast="0" w:name="_2urf24as9wxz" w:id="0"/>
      <w:bookmarkEnd w:id="0"/>
      <w:r w:rsidDel="00000000" w:rsidR="00000000" w:rsidRPr="00000000">
        <w:rPr>
          <w:b w:val="1"/>
          <w:color w:val="000000"/>
          <w:rtl w:val="0"/>
        </w:rPr>
        <w:t xml:space="preserve">Chatbot Raw Data Audit &amp; Structuring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jr702v8ssxg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Current Fields Present in Raw Export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6870"/>
        <w:tblGridChange w:id="0">
          <w:tblGrid>
            <w:gridCol w:w="2160"/>
            <w:gridCol w:w="68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What It Captures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880859375000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Auto-generated unique ID for each row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User or bot message content (free text)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Type of message (currently only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Timestamp when the message was sent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Timestamp of any message update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contact_number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User’s WhatsApp number (currently used as identifier, needs to be replaced)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Gaps Identified: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lead_id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mlid</w:t>
      </w:r>
      <w:r w:rsidDel="00000000" w:rsidR="00000000" w:rsidRPr="00000000">
        <w:rPr>
          <w:rtl w:val="0"/>
        </w:rPr>
        <w:t xml:space="preserve"> is captured- contact number is used instead, which is not compliant.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necessary fields are missing, which we should capture for future analysis. Once the data is structured, it will become easier to derive insights across campaigns, projects, and user behavior.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c1uqy6513ig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Standardization Needed for Chat Logs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chat data usable, readable, and analytics-ready, the conversation structure needs to be standardized.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Proposed Fields to Capture:</w:t>
      </w:r>
    </w:p>
    <w:tbl>
      <w:tblPr>
        <w:tblStyle w:val="Table2"/>
        <w:tblW w:w="9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7260"/>
        <w:tblGridChange w:id="0">
          <w:tblGrid>
            <w:gridCol w:w="2655"/>
            <w:gridCol w:w="72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mlid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lead_id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Primary identifier (should replace contact number)</w:t>
            </w:r>
          </w:p>
        </w:tc>
      </w:tr>
      <w:tr>
        <w:trPr>
          <w:cantSplit w:val="0"/>
          <w:trHeight w:val="576.09814453124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conversation_id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Unique session ID (e.g., format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ddmmmlidproj</w:t>
            </w:r>
            <w:r w:rsidDel="00000000" w:rsidR="00000000" w:rsidRPr="00000000">
              <w:rPr>
                <w:rtl w:val="0"/>
              </w:rPr>
              <w:t xml:space="preserve"> or a hashed value)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Project to which the lead originally belongs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target_project</w:t>
            </w: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hd w:fill="f4cccc" w:val="clear"/>
              </w:rPr>
            </w:pPr>
            <w:r w:rsidDel="00000000" w:rsidR="00000000" w:rsidRPr="00000000">
              <w:rPr>
                <w:rtl w:val="0"/>
              </w:rPr>
              <w:t xml:space="preserve">Project for which the campaign/chat is intended </w:t>
            </w:r>
            <w:r w:rsidDel="00000000" w:rsidR="00000000" w:rsidRPr="00000000">
              <w:rPr>
                <w:shd w:fill="f4cccc" w:val="clear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optional</w:t>
            </w:r>
            <w:r w:rsidDel="00000000" w:rsidR="00000000" w:rsidRPr="00000000">
              <w:rPr>
                <w:shd w:fill="f4cccc" w:val="clear"/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campaign_utm</w:t>
            </w: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Campaign tag or identifier from where the chat initiated  (</w:t>
            </w: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optional</w:t>
            </w:r>
            <w:r w:rsidDel="00000000" w:rsidR="00000000" w:rsidRPr="00000000">
              <w:rPr>
                <w:i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– can be UTM-based or manually named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in: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Identifying full conversations from a user in one view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user journey duration and flow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which campaigns and projects are driving inbound chats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short, this structure helps in tracking conversations across time, projects, and campaigns, identifying engagement patterns, and integrating with other systems like CRM and sales dashboards.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b4m8q8o0q18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Additional Fields to Extract from Chat Content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the raw message data actionable, the following fields should be extracted through tagging or keyword-based logic:</w:t>
      </w:r>
    </w:p>
    <w:tbl>
      <w:tblPr>
        <w:tblStyle w:val="Table3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6195"/>
        <w:tblGridChange w:id="0">
          <w:tblGrid>
            <w:gridCol w:w="3015"/>
            <w:gridCol w:w="61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What It Captures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If user mentions a price or budget range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If user shares a locality, area, or specific project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unit_size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If the user states square footage or size in sqft/sqm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BHK type mentioned (e.g., 2BHK, 3BHK)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handover_preference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If user expresses urgency or asks about possession timeline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amenities_interest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Mentions of specific amenities (e.g., gym, guest room, coworking, etc.)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If the user mentions facing preferences (e.g., east-facing)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floor_preference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If a preferred floor range is mentioned (e.g., top floor, 5-8)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site_visit_interest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If the user shows interest in visiting the site physically</w:t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virtual_tour_request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If the user asks for a virtual walkthrough or video option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Capturing these elements will help in segmenting leads, understanding preferences, and enhancing personalization across future campaigns.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pgSz w:h="15840" w:w="12240" w:orient="portrait"/>
      <w:pgMar w:bottom="720" w:top="9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