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42D4B"/>
          <w:sz w:val="36"/>
        </w:rPr>
        <w:t>Lead Reactivation Feature Validation — Insights &amp; Conclusion (V1)</w:t>
      </w:r>
    </w:p>
    <w:p>
      <w:pPr>
        <w:spacing w:after="160"/>
      </w:pPr>
      <w:r>
        <w:rPr>
          <w:rFonts w:ascii="Calibri" w:hAnsi="Calibri"/>
          <w:b w:val="0"/>
          <w:sz w:val="22"/>
        </w:rPr>
        <w:t>Grain = LeadId (leadid), not MasterLeadId. One row = one lead journey; the same customer can appear as multiple LeadIds across projects. POS = reactivated after NI (140,130 LeadIds). NEG = never reactivated with NI ≥ 90 days (846,296 LeadIds). Feature windows are leakage-safe: pre-NI + post-NI up to min(NI+90d, reactivation).</w:t>
      </w:r>
    </w:p>
    <w:p>
      <w:pPr>
        <w:pStyle w:val="Heading1"/>
      </w:pPr>
      <w:r>
        <w:rPr>
          <w:rFonts w:ascii="Calibri" w:hAnsi="Calibri"/>
          <w:b/>
          <w:color w:val="1E3C5A"/>
          <w:sz w:val="32"/>
        </w:rPr>
        <w:t>1. Cohort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68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POS (reactivated LeadIds)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140,130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NEG (never reactivated LeadIds)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846,296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Total labeled LeadIds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986,426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Reactivation rate %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14.21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Cross-project customers (unique MLIDs)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153,962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Cross-project NI leads (later positive elsewhere)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247,811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Cross-project with project-fit NI (budget/location/availability/vastu)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28,876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% of cross-project NI leads with project-fit reason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11.70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sz w:val="22"/>
        </w:rPr>
        <w:t>About 14.2% of labeled NI LeadIds are POS. Cross-project rows are additional and use unique masterLeadIds (customers spanning projects).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99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9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rPr>
          <w:rFonts w:ascii="Calibri" w:hAnsi="Calibri"/>
          <w:b w:val="0"/>
          <w:sz w:val="22"/>
        </w:rPr>
        <w:t>Reactivation rate differs by project — include project as a feature or control.</w:t>
      </w:r>
    </w:p>
    <w:p>
      <w:pPr>
        <w:pStyle w:val="Heading1"/>
      </w:pPr>
      <w:r>
        <w:rPr>
          <w:rFonts w:ascii="Calibri" w:hAnsi="Calibri"/>
          <w:b/>
          <w:color w:val="1E3C5A"/>
          <w:sz w:val="32"/>
        </w:rPr>
        <w:t>2. Cross-project reactivation</w:t>
      </w:r>
    </w:p>
    <w:p>
      <w:pPr>
        <w:spacing w:after="160"/>
      </w:pPr>
      <w:r>
        <w:rPr>
          <w:rFonts w:ascii="Calibri" w:hAnsi="Calibri"/>
          <w:b w:val="0"/>
          <w:sz w:val="22"/>
        </w:rPr>
        <w:t>Same masterLeadId went Not Interested on project A, then later reached a positive (non-NI) stage on project B. Project-fit NI = budget / location / availability / vastu.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68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Cross-project pairs (NI lead × later positive on other project)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724,189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Unique masterLeadIds with cross-project return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153,962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Unique NI leads that later went positive on another project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247,811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Of those, NI due to budget/location/availability/vastu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28,876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% of cross-project NI leads with project-fit reason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b w:val="0"/>
                <w:sz w:val="18"/>
              </w:rPr>
              <w:t>11.70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sz w:val="22"/>
        </w:rPr>
        <w:t>Top cross-project flows (NI project → later positive project):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ni_project</w:t>
            </w:r>
          </w:p>
        </w:tc>
        <w:tc>
          <w:tcPr>
            <w:tcW w:type="dxa" w:w="3312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positive_project</w:t>
            </w:r>
          </w:p>
        </w:tc>
        <w:tc>
          <w:tcPr>
            <w:tcW w:type="dxa" w:w="3312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 LeadIds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SPECTRA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LOFT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19,447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LOFT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BROADWAY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18,184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LOFT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LANDMARK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17,058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BROADWAY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LOFT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15,891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LANDMARK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LOFT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14,541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LANDMARK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BROADWAY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13,760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LOFT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SPECTRA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11,968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SPECTRA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BROADWAY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18"/>
              </w:rPr>
              <w:t>11,956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sz w:val="22"/>
        </w:rPr>
        <w:t>~154K customers show a cross-project return. ~29K of those NI journeys had project-fit reasons — strong candidates for project-switch / cross-sell plays.</w:t>
      </w:r>
    </w:p>
    <w:p>
      <w:pPr>
        <w:pStyle w:val="Heading1"/>
      </w:pPr>
      <w:r>
        <w:rPr>
          <w:rFonts w:ascii="Calibri" w:hAnsi="Calibri"/>
          <w:b/>
          <w:color w:val="1E3C5A"/>
          <w:sz w:val="32"/>
        </w:rPr>
        <w:t>3. Which features separate POS from NEG?</w:t>
      </w:r>
    </w:p>
    <w:p>
      <w:pPr>
        <w:spacing w:after="160"/>
      </w:pPr>
      <w:r>
        <w:rPr>
          <w:rFonts w:ascii="Calibri" w:hAnsi="Calibri"/>
          <w:b w:val="0"/>
          <w:sz w:val="22"/>
        </w:rPr>
        <w:t>Tables show LeadId counts with the feature / cohort size (%). Largest positive gaps favour post-NI engagement (calls, especially inbound).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POS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NEG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diff_pp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 call after NI (within 90d)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35,596 / 140,130 (25.4%)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42,524 / 846,296 (5.0%)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20.4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Inbound call after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23,534 / 140,130 (16.8%)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13,834 / 846,296 (1.6%)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15.2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Website visit after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8,377 / 140,130 (6.0%)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2,156 / 846,296 (0.3%)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5.7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WhatsApp inbound after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15,273 / 140,130 (10.9%)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51,357 / 846,296 (6.1%)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4.8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Pre Site Visit before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10,463 / 140,130 (7.5%)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31,610 / 846,296 (3.7%)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3.7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Post Site Visit before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5,917 / 140,130 (4.2%)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16,058 / 846,296 (1.9%)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2.3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60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_di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6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04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_p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9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b/>
          <w:color w:val="1E3C5A"/>
          <w:sz w:val="32"/>
        </w:rPr>
        <w:t>4. Stage &amp; NI reason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stage_before_ni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LeadIds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POS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NEG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reactivation_rate_%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Flat Blocked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706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321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385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45.47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Post Site Visit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21,408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5,657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15,751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26.42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Pre Site Visit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31,667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6,947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24,720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21.94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Lead Initiated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317,665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52,901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264,764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16.65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New Lead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614,560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74,183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540,377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12.07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3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4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rPr>
          <w:rFonts w:ascii="Calibri" w:hAnsi="Calibri"/>
          <w:b w:val="0"/>
          <w:sz w:val="22"/>
        </w:rPr>
        <w:t>Leads that reached Pre/Post Site Visit before dropping to NI return more often than New Lead drops.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ni_reason_tier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LeadIds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POS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NEG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reactivation_rate_%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SOFT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42,339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8,680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33,659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20.5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833,189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121,455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711,734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14.58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HARD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5,725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800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4,925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13.97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105,173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9,195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95,978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8.74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257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5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rPr>
          <w:rFonts w:ascii="Calibri" w:hAnsi="Calibri"/>
          <w:b w:val="0"/>
          <w:sz w:val="22"/>
        </w:rPr>
        <w:t>SOFT reasons reactivate more than HARD/SYSTEM. SYSTEM NI (migration / flow builder / dashboard) should be down-weighted.</w:t>
      </w:r>
    </w:p>
    <w:p>
      <w:pPr>
        <w:pStyle w:val="Heading1"/>
      </w:pPr>
      <w:r>
        <w:rPr>
          <w:rFonts w:ascii="Calibri" w:hAnsi="Calibri"/>
          <w:b/>
          <w:color w:val="1E3C5A"/>
          <w:sz w:val="32"/>
        </w:rPr>
        <w:t>5. Call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POS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NEG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diff_pp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 call after NI (≤90d)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35,596 / 140,130 (25.4%)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42,524 / 846,296 (5.0%)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20.4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Inbound call after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23,534 / 140,130 (16.8%)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13,834 / 846,296 (1.6%)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15.2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 call before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133,821 / 140,130 (95.5%)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795,900 / 846,296 (94.0%)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1.5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9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p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9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rPr>
          <w:rFonts w:ascii="Calibri" w:hAnsi="Calibri"/>
          <w:b w:val="0"/>
          <w:sz w:val="22"/>
        </w:rPr>
        <w:t>Post-NI calls — especially inbound — are the strongest separators. Pre-NI calling is nearly universal and weak alone.</w:t>
      </w:r>
    </w:p>
    <w:p>
      <w:pPr>
        <w:pStyle w:val="Heading1"/>
      </w:pPr>
      <w:r>
        <w:rPr>
          <w:rFonts w:ascii="Calibri" w:hAnsi="Calibri"/>
          <w:b/>
          <w:color w:val="1E3C5A"/>
          <w:sz w:val="32"/>
        </w:rPr>
        <w:t>6. Website analysis</w:t>
      </w:r>
    </w:p>
    <w:p>
      <w:pPr>
        <w:spacing w:after="160"/>
      </w:pPr>
      <w:r>
        <w:rPr>
          <w:rFonts w:ascii="Calibri" w:hAnsi="Calibri"/>
          <w:b w:val="0"/>
          <w:sz w:val="22"/>
        </w:rPr>
        <w:t>Source: Athena visitorlogs joined on lead (LeadId). Sessions counted pre/post NI inside the leakage-safe window. Viewed price = pricesheetsopened &gt; 0 or pages_price populated. Note: join is on visitorlogs.lead (not globalId→visitorId), so coverage can undercount unlinked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POS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NEG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diff_pp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 website session after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8,377 / 140,130 (6.0%)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2,156 / 846,296 (0.3%)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5.7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Viewed price / price sheet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53,471 / 140,130 (38.2%)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366,970 / 846,296 (43.4%)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-5.2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 website session before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50,276 / 140,130 (35.9%)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365,518 / 846,296 (43.2%)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-7.3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22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p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rPr>
          <w:rFonts w:ascii="Calibri" w:hAnsi="Calibri"/>
          <w:b w:val="0"/>
          <w:sz w:val="22"/>
        </w:rPr>
        <w:t>Returning to the website after NI is rare but much more common among POS. Pre-NI browsing / price views are higher in NEG — treat as coverage/confounding, not a chase signal.</w:t>
      </w:r>
    </w:p>
    <w:p>
      <w:pPr>
        <w:pStyle w:val="Heading1"/>
      </w:pPr>
      <w:r>
        <w:rPr>
          <w:rFonts w:ascii="Calibri" w:hAnsi="Calibri"/>
          <w:b/>
          <w:color w:val="1E3C5A"/>
          <w:sz w:val="32"/>
        </w:rPr>
        <w:t>7. WhatsApp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POS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NEG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diff_pp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User WhatsApp inbound after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15,273 / 140,130 (10.9%)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51,357 / 846,296 (6.1%)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4.8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 WhatsApp message after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96,113 / 140,130 (68.6%)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778,462 / 846,296 (92.0%)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-23.4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17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_p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17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rPr>
          <w:rFonts w:ascii="Calibri" w:hAnsi="Calibri"/>
          <w:b w:val="0"/>
          <w:sz w:val="22"/>
        </w:rPr>
        <w:t>Prefer user inbound WhatsApp after NI (15,273 / 140,130 POS vs 51,357 / 846,296 NEG). Total WA volume is higher for NEG (likely automation) — do not use raw WA count as a positive signal.</w:t>
      </w:r>
    </w:p>
    <w:p>
      <w:pPr>
        <w:pStyle w:val="Heading1"/>
      </w:pPr>
      <w:r>
        <w:rPr>
          <w:rFonts w:ascii="Calibri" w:hAnsi="Calibri"/>
          <w:b/>
          <w:color w:val="1E3C5A"/>
          <w:sz w:val="32"/>
        </w:rPr>
        <w:t>8. Metrics to use in the Reactivation Model</w:t>
      </w:r>
    </w:p>
    <w:p>
      <w:pPr>
        <w:spacing w:after="160"/>
      </w:pPr>
      <w:r>
        <w:rPr>
          <w:rFonts w:ascii="Calibri" w:hAnsi="Calibri"/>
          <w:b w:val="0"/>
          <w:sz w:val="22"/>
        </w:rPr>
        <w:t>Shortlist for identifying LeadIds that could be reactivated: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  <w:tc>
          <w:tcPr>
            <w:tcW w:type="dxa" w:w="2484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use_in_model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any_post_ni_inbound / post_ni_inbound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POS 23,534 / 140,130 (16.8%) vs NEG 13,834 / 846,296 (1.6%) (+15 pp). Customer-initiated contact after NI.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Yes — Scenario B (post-NI window)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any_post_ni_call / post_ni_calls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POS 35,596 / 140,130 (25.4%) vs NEG 42,524 / 846,296 (5.0%) (+20 pp). Strongest engagement separator.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days_since_last_call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POS median 30d vs NEG 90d — recency of contact.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Yes (capped at W)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stage_before_ni + had_pre/had_sv before NI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Deeper funnel before NI → higher return rate.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Yes — available at NI time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ni_reason_tier (SOFT vs HARD/SYSTEM)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SOFT ~20.5% vs HARD ~14% vs SYSTEM ~8.7%.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Yes — at NI time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project_name + born_source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Large rate spread; needed as features/controls.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any_post_web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POS 8,377 / 140,130 (6.0%) vs NEG 2,156 / 846,296 (0.3%) — rare but high lift.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Yes when web coverage exists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any_post_wa_inbound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POS 15,273 / 140,130 (10.9%) vs NEG 51,357 / 846,296 (6.1%) (+4.8 pp).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Yes — inbound only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pre_ni_calls (≥5)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+10 pp; intensity before NI.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cross_project / project-fit NI flag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~154K customers NI on A then positive on B; 29K project-fit.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Separate play / feature for multi-project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MODIFY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is_oscillator (ni_count≥2)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Looks strong but leaks label (post-reactivation NI).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Only as prior-cycle count before index NI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MODIFY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any_post_wa (total)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NEG higher (778K / 846K vs 96K / 140K) — automation noise.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No — use inbound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MODIFY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any_pre_web / viewed_price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NEG higher (inverse / coverage).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Investigate; not chase signals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REMOVE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pickup_ratio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No POS/NEG median difference.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REMOVE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website CTA clicks (WA/Call Now)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Near-zero rates.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/>
    <w:p>
      <w:pPr>
        <w:spacing w:after="160"/>
      </w:pPr>
      <w:r>
        <w:rPr>
          <w:rFonts w:ascii="Calibri" w:hAnsi="Calibri"/>
          <w:b/>
          <w:sz w:val="22"/>
        </w:rPr>
        <w:t>Feature scorecard — Keep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diff_pp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1987"/>
            <w:shd w:fill="1F3A5F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bornsource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stage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63.66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source rate spread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days_since_last_call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call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median POS 30.0 vs NEG 90.0 (lower = more recent)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stage_before_ni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stage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33.4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prior stage rate spread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any_post_ni_call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call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20.38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Any call in post-NI window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any_post_ni_inbound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call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15.16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Inbound call in post-NI window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pre_ni_calls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call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10.16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more than equal to 5 calls before NI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ni_reason_tier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stage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6.53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SOFT 20.5% vs HARD 14.0%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any_post_web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website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5.72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Web session in post-NI window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any_post_wa_inbound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whatsapp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4.83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User WA inbound in post-NI window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had_pre_before_ni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stage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3.73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Pre Site Visit before NI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had_sv_before_ni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stage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2.33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Post Site Visit before NI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has_globalid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website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2.03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Has globalId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is_ni_personal_call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stage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1.9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NI reason = Personal Call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viewed_price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website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-5.2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Price page / sheet viewed</w:t>
            </w:r>
          </w:p>
        </w:tc>
      </w:tr>
      <w:tr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any_pre_web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website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-7.31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Keep</w:t>
            </w:r>
          </w:p>
        </w:tc>
        <w:tc>
          <w:tcPr>
            <w:tcW w:type="dxa" w:w="1987"/>
          </w:tcPr>
          <w:p>
            <w:r>
              <w:rPr>
                <w:rFonts w:ascii="Calibri" w:hAnsi="Calibri"/>
                <w:b w:val="0"/>
                <w:sz w:val="18"/>
              </w:rPr>
              <w:t>Web session before NI (NEG higher â interpret carefully)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C5A"/>
          <w:sz w:val="32"/>
        </w:rPr>
        <w:t>9. Conclusion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Successful reactivation is most associated with post-NI engagement (inbound/any call, website return, WhatsApp inbound) inside a fixed observation window — not lifetime totals after the label.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Funnel depth before NI (stage before NI, Pre/Post Site Visit) and NI reason quality (SOFT vs HARD/SYSTEM) are strong at-NI predictors.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Project and born source create large base-rate differences and must be included as features or controls.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Do not use raw oscillator (2+ NI), total WhatsApp volume, pickup ratio alone, or rare website CTAs as primary predictors.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Cross-project paths are material (~154K masterLeadIds): especially when NI was for budget/location/availability/vastu, treat as a project-switch opportunity in addition to same-project reactivation scoring.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Recommended next step: train a reactivation propensity model on currently-NI LeadIds using the HIGH metrics above, scored as-of a 30–90 day post-NI window, with leakage-safe feature windows.</w:t>
      </w:r>
    </w:p>
    <w:p>
      <w:pPr>
        <w:pStyle w:val="Heading1"/>
      </w:pPr>
      <w:r>
        <w:rPr>
          <w:rFonts w:ascii="Calibri" w:hAnsi="Calibri"/>
          <w:b/>
          <w:color w:val="1E3C5A"/>
          <w:sz w:val="32"/>
        </w:rPr>
        <w:t>10. Deliverables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reactivation_feature_validation.ipynb — full POS vs NEG metrics (counts + %)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reactivation_results_summary.ipynb — charts, project/stage/tier, channels, cross-project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reactivation_analysis/*.xlsx — cohort, rates, scorecard, channel, cross-project tables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This document — stakeholder summary (V1)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